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中山市东凤镇集体资产管理有限公司</w:t>
      </w:r>
    </w:p>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
          <w:bCs/>
          <w:sz w:val="44"/>
          <w:szCs w:val="44"/>
        </w:rPr>
        <w:t>土地租赁方案</w:t>
      </w:r>
    </w:p>
    <w:p>
      <w:pPr>
        <w:spacing w:line="600" w:lineRule="exact"/>
        <w:ind w:firstLine="560" w:firstLineChars="200"/>
        <w:rPr>
          <w:rFonts w:ascii="仿宋_GB2312" w:hAnsi="仿宋_GB2312" w:eastAsia="仿宋_GB2312" w:cs="仿宋_GB2312"/>
          <w:sz w:val="28"/>
          <w:szCs w:val="28"/>
        </w:rPr>
      </w:pPr>
    </w:p>
    <w:p>
      <w:pPr>
        <w:spacing w:line="6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中山市东凤镇集体资产管理有限公司所经营管理位于东凤镇民乐16队远洋城背后的地</w:t>
      </w:r>
      <w:r>
        <w:rPr>
          <w:rFonts w:hint="eastAsia" w:ascii="仿宋_GB2312" w:hAnsi="仿宋_GB2312" w:eastAsia="仿宋_GB2312" w:cs="仿宋_GB2312"/>
          <w:sz w:val="24"/>
          <w:lang w:val="en-US" w:eastAsia="zh-CN"/>
        </w:rPr>
        <w:t>块</w:t>
      </w:r>
      <w:r>
        <w:rPr>
          <w:rFonts w:hint="eastAsia" w:ascii="仿宋_GB2312" w:hAnsi="仿宋_GB2312" w:eastAsia="仿宋_GB2312" w:cs="仿宋_GB2312"/>
          <w:sz w:val="24"/>
        </w:rPr>
        <w:t>现面对社会进行公开招租。</w:t>
      </w:r>
    </w:p>
    <w:p>
      <w:pPr>
        <w:spacing w:line="6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一、基本情况：</w:t>
      </w:r>
    </w:p>
    <w:p>
      <w:pPr>
        <w:spacing w:line="6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1、坐落位置：东凤镇民乐16队远洋城背后地块</w:t>
      </w:r>
      <w:r>
        <w:rPr>
          <w:rFonts w:hint="eastAsia" w:ascii="仿宋_GB2312" w:eastAsia="仿宋_GB2312"/>
          <w:sz w:val="24"/>
          <w:lang w:eastAsia="zh-CN"/>
        </w:rPr>
        <w:t>（</w:t>
      </w:r>
      <w:r>
        <w:rPr>
          <w:rFonts w:hint="eastAsia" w:ascii="仿宋_GB2312" w:eastAsia="仿宋_GB2312"/>
          <w:sz w:val="24"/>
          <w:lang w:val="en-US" w:eastAsia="zh-CN"/>
        </w:rPr>
        <w:t>资产编号为</w:t>
      </w:r>
      <w:r>
        <w:rPr>
          <w:rFonts w:hint="eastAsia" w:ascii="仿宋_GB2312" w:eastAsia="仿宋_GB2312"/>
          <w:sz w:val="24"/>
        </w:rPr>
        <w:t>JZ-TD-010</w:t>
      </w:r>
      <w:r>
        <w:rPr>
          <w:rFonts w:hint="eastAsia" w:ascii="仿宋_GB2312" w:eastAsia="仿宋_GB2312"/>
          <w:sz w:val="24"/>
          <w:lang w:eastAsia="zh-CN"/>
        </w:rPr>
        <w:t>）</w:t>
      </w:r>
      <w:r>
        <w:rPr>
          <w:rFonts w:hint="eastAsia" w:ascii="仿宋_GB2312" w:hAnsi="仿宋_GB2312" w:eastAsia="仿宋_GB2312" w:cs="仿宋_GB2312"/>
          <w:sz w:val="24"/>
        </w:rPr>
        <w:t>；</w:t>
      </w:r>
    </w:p>
    <w:p>
      <w:pPr>
        <w:spacing w:line="6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val="en-US" w:eastAsia="zh-CN"/>
        </w:rPr>
        <w:t>总</w:t>
      </w:r>
      <w:r>
        <w:rPr>
          <w:rFonts w:hint="eastAsia" w:ascii="仿宋_GB2312" w:hAnsi="仿宋_GB2312" w:eastAsia="仿宋_GB2312" w:cs="仿宋_GB2312"/>
          <w:sz w:val="24"/>
        </w:rPr>
        <w:t>面积：</w:t>
      </w:r>
      <w:r>
        <w:rPr>
          <w:rFonts w:hint="eastAsia" w:ascii="仿宋_GB2312" w:hAnsi="仿宋_GB2312" w:eastAsia="仿宋_GB2312" w:cs="仿宋_GB2312"/>
          <w:sz w:val="24"/>
          <w:lang w:val="en-US" w:eastAsia="zh-CN"/>
        </w:rPr>
        <w:t>2303.8</w:t>
      </w:r>
      <w:r>
        <w:rPr>
          <w:rFonts w:hint="eastAsia" w:ascii="仿宋_GB2312" w:hAnsi="仿宋_GB2312" w:eastAsia="仿宋_GB2312" w:cs="仿宋_GB2312"/>
          <w:sz w:val="24"/>
        </w:rPr>
        <w:t>平方米，折合</w:t>
      </w:r>
      <w:r>
        <w:rPr>
          <w:rFonts w:hint="eastAsia" w:ascii="仿宋_GB2312" w:hAnsi="仿宋_GB2312" w:eastAsia="仿宋_GB2312" w:cs="仿宋_GB2312"/>
          <w:sz w:val="24"/>
          <w:lang w:val="en-US" w:eastAsia="zh-CN"/>
        </w:rPr>
        <w:t>3.4558</w:t>
      </w:r>
      <w:r>
        <w:rPr>
          <w:rFonts w:hint="eastAsia" w:ascii="仿宋_GB2312" w:hAnsi="仿宋_GB2312" w:eastAsia="仿宋_GB2312" w:cs="仿宋_GB2312"/>
          <w:sz w:val="24"/>
        </w:rPr>
        <w:t>亩</w:t>
      </w:r>
      <w:r>
        <w:rPr>
          <w:rFonts w:hint="eastAsia" w:ascii="仿宋_GB2312" w:hAnsi="仿宋_GB2312" w:eastAsia="仿宋_GB2312" w:cs="仿宋_GB2312"/>
          <w:color w:val="000000" w:themeColor="text1"/>
          <w:sz w:val="24"/>
          <w:lang w:eastAsia="zh-CN"/>
          <w14:textFill>
            <w14:solidFill>
              <w14:schemeClr w14:val="tx1"/>
            </w14:solidFill>
          </w14:textFill>
        </w:rPr>
        <w:t>（以实际测量为准）</w:t>
      </w:r>
      <w:r>
        <w:rPr>
          <w:rFonts w:hint="eastAsia" w:ascii="仿宋_GB2312" w:hAnsi="仿宋_GB2312" w:eastAsia="仿宋_GB2312" w:cs="仿宋_GB2312"/>
          <w:sz w:val="24"/>
        </w:rPr>
        <w:t>；</w:t>
      </w:r>
    </w:p>
    <w:p>
      <w:pPr>
        <w:spacing w:line="600" w:lineRule="exact"/>
        <w:ind w:firstLine="480" w:firstLineChars="200"/>
        <w:rPr>
          <w:rFonts w:hint="eastAsia" w:ascii="仿宋_GB2312" w:hAnsi="仿宋_GB2312" w:eastAsia="仿宋_GB2312" w:cs="仿宋_GB2312"/>
          <w:kern w:val="2"/>
          <w:sz w:val="24"/>
          <w:shd w:val="clear" w:color="auto" w:fill="auto"/>
        </w:rPr>
      </w:pPr>
      <w:r>
        <w:rPr>
          <w:rFonts w:hint="eastAsia" w:ascii="仿宋_GB2312" w:hAnsi="仿宋_GB2312" w:eastAsia="仿宋_GB2312" w:cs="仿宋_GB2312"/>
          <w:sz w:val="24"/>
        </w:rPr>
        <w:t>二、土地情况：</w:t>
      </w:r>
      <w:r>
        <w:rPr>
          <w:rFonts w:hint="eastAsia" w:ascii="仿宋_GB2312" w:hAnsi="仿宋_GB2312" w:eastAsia="仿宋_GB2312" w:cs="仿宋_GB2312"/>
          <w:b w:val="0"/>
          <w:bCs w:val="0"/>
          <w:sz w:val="24"/>
        </w:rPr>
        <w:t>土规</w:t>
      </w:r>
      <w:r>
        <w:rPr>
          <w:rFonts w:hint="eastAsia" w:ascii="仿宋_GB2312" w:hAnsi="仿宋_GB2312" w:eastAsia="仿宋_GB2312" w:cs="仿宋_GB2312"/>
          <w:b w:val="0"/>
          <w:bCs w:val="0"/>
          <w:kern w:val="2"/>
          <w:sz w:val="24"/>
          <w:shd w:val="clear" w:color="auto" w:fill="auto"/>
        </w:rPr>
        <w:t>为</w:t>
      </w:r>
      <w:r>
        <w:rPr>
          <w:rFonts w:hint="eastAsia" w:ascii="仿宋_GB2312" w:hAnsi="仿宋_GB2312" w:eastAsia="仿宋_GB2312" w:cs="仿宋_GB2312"/>
          <w:b w:val="0"/>
          <w:bCs w:val="0"/>
          <w:kern w:val="2"/>
          <w:sz w:val="24"/>
          <w:shd w:val="clear" w:color="auto" w:fill="auto"/>
          <w:lang w:val="en-US" w:eastAsia="zh-CN"/>
        </w:rPr>
        <w:t>建设</w:t>
      </w:r>
      <w:r>
        <w:rPr>
          <w:rFonts w:hint="eastAsia" w:ascii="仿宋_GB2312" w:hAnsi="仿宋_GB2312" w:eastAsia="仿宋_GB2312" w:cs="仿宋_GB2312"/>
          <w:b w:val="0"/>
          <w:bCs w:val="0"/>
          <w:kern w:val="2"/>
          <w:sz w:val="24"/>
          <w:shd w:val="clear" w:color="auto" w:fill="auto"/>
        </w:rPr>
        <w:t>用地</w:t>
      </w:r>
      <w:r>
        <w:rPr>
          <w:rFonts w:hint="eastAsia" w:ascii="仿宋_GB2312" w:hAnsi="仿宋_GB2312" w:eastAsia="仿宋_GB2312" w:cs="仿宋_GB2312"/>
          <w:kern w:val="2"/>
          <w:sz w:val="24"/>
          <w:shd w:val="clear" w:color="auto" w:fill="auto"/>
        </w:rPr>
        <w:t>；</w:t>
      </w:r>
    </w:p>
    <w:p>
      <w:pPr>
        <w:spacing w:line="6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三、租赁方案：</w:t>
      </w:r>
    </w:p>
    <w:p>
      <w:pPr>
        <w:spacing w:line="6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1、规划用途：</w:t>
      </w:r>
      <w:r>
        <w:rPr>
          <w:rFonts w:hint="eastAsia" w:ascii="仿宋_GB2312" w:hAnsi="仿宋_GB2312" w:eastAsia="仿宋_GB2312" w:cs="仿宋_GB2312"/>
          <w:b/>
          <w:bCs/>
          <w:sz w:val="24"/>
          <w:lang w:val="en-US" w:eastAsia="zh-CN"/>
        </w:rPr>
        <w:t>只作</w:t>
      </w:r>
      <w:r>
        <w:rPr>
          <w:rFonts w:hint="eastAsia" w:ascii="仿宋_GB2312" w:hAnsi="仿宋_GB2312" w:eastAsia="仿宋_GB2312" w:cs="仿宋_GB2312"/>
          <w:b/>
          <w:bCs/>
          <w:sz w:val="24"/>
        </w:rPr>
        <w:t>临时堆放或临时工棚使用</w:t>
      </w:r>
      <w:r>
        <w:rPr>
          <w:rFonts w:hint="eastAsia" w:ascii="仿宋_GB2312" w:hAnsi="仿宋_GB2312" w:eastAsia="仿宋_GB2312" w:cs="仿宋_GB2312"/>
          <w:b/>
          <w:bCs/>
          <w:sz w:val="24"/>
          <w:lang w:eastAsia="zh-CN"/>
        </w:rPr>
        <w:t>，</w:t>
      </w:r>
      <w:r>
        <w:rPr>
          <w:rFonts w:hint="eastAsia" w:ascii="仿宋_GB2312" w:hAnsi="仿宋_GB2312" w:eastAsia="仿宋_GB2312" w:cs="仿宋_GB2312"/>
          <w:b/>
          <w:bCs/>
          <w:sz w:val="24"/>
          <w:lang w:val="en-US" w:eastAsia="zh-CN"/>
        </w:rPr>
        <w:t>严禁经营物流仓储、废品收购行业</w:t>
      </w:r>
      <w:r>
        <w:rPr>
          <w:rFonts w:hint="eastAsia" w:ascii="仿宋_GB2312" w:hAnsi="仿宋_GB2312" w:eastAsia="仿宋_GB2312" w:cs="仿宋_GB2312"/>
          <w:sz w:val="24"/>
        </w:rPr>
        <w:t>；</w:t>
      </w:r>
    </w:p>
    <w:p>
      <w:pPr>
        <w:spacing w:line="6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2、租赁期限：</w:t>
      </w:r>
      <w:r>
        <w:rPr>
          <w:rFonts w:hint="eastAsia" w:ascii="仿宋_GB2312" w:hAnsi="仿宋_GB2312" w:eastAsia="仿宋_GB2312" w:cs="仿宋_GB2312"/>
          <w:sz w:val="24"/>
          <w:lang w:val="en-US" w:eastAsia="zh-CN"/>
        </w:rPr>
        <w:t>1</w:t>
      </w:r>
      <w:r>
        <w:rPr>
          <w:rFonts w:hint="eastAsia" w:ascii="仿宋_GB2312" w:hAnsi="仿宋_GB2312" w:eastAsia="仿宋_GB2312" w:cs="仿宋_GB2312"/>
          <w:b/>
          <w:bCs/>
          <w:sz w:val="24"/>
        </w:rPr>
        <w:t>年</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从签订合同起计算</w:t>
      </w:r>
      <w:r>
        <w:rPr>
          <w:rFonts w:hint="eastAsia" w:ascii="仿宋_GB2312" w:hAnsi="仿宋_GB2312" w:eastAsia="仿宋_GB2312" w:cs="仿宋_GB2312"/>
          <w:sz w:val="24"/>
        </w:rPr>
        <w:t>；</w:t>
      </w:r>
    </w:p>
    <w:p>
      <w:pPr>
        <w:spacing w:line="6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3、合同履约保证金：</w:t>
      </w:r>
      <w:r>
        <w:rPr>
          <w:rFonts w:hint="eastAsia" w:ascii="仿宋_GB2312" w:hAnsi="仿宋_GB2312" w:eastAsia="仿宋_GB2312" w:cs="仿宋_GB2312"/>
          <w:sz w:val="24"/>
          <w:lang w:val="en-US" w:eastAsia="zh-CN"/>
        </w:rPr>
        <w:t>5</w:t>
      </w:r>
      <w:r>
        <w:rPr>
          <w:rFonts w:hint="eastAsia" w:ascii="仿宋_GB2312" w:hAnsi="仿宋_GB2312" w:eastAsia="仿宋_GB2312" w:cs="仿宋_GB2312"/>
          <w:b/>
          <w:bCs/>
          <w:sz w:val="24"/>
        </w:rPr>
        <w:t>万元人民币；</w:t>
      </w:r>
    </w:p>
    <w:p>
      <w:pPr>
        <w:spacing w:line="600" w:lineRule="exact"/>
        <w:ind w:firstLine="480" w:firstLineChars="200"/>
        <w:rPr>
          <w:rFonts w:hint="eastAsia" w:ascii="仿宋_GB2312" w:hAnsi="仿宋_GB2312" w:eastAsia="仿宋_GB2312" w:cs="仿宋_GB2312"/>
          <w:b w:val="0"/>
          <w:bCs w:val="0"/>
          <w:color w:val="auto"/>
          <w:sz w:val="24"/>
        </w:rPr>
      </w:pPr>
      <w:r>
        <w:rPr>
          <w:rFonts w:hint="eastAsia" w:ascii="仿宋_GB2312" w:hAnsi="仿宋_GB2312" w:eastAsia="仿宋_GB2312" w:cs="仿宋_GB2312"/>
          <w:sz w:val="24"/>
        </w:rPr>
        <w:t>4、竞投租金底价及其他：</w:t>
      </w:r>
      <w:r>
        <w:rPr>
          <w:rFonts w:hint="eastAsia" w:ascii="仿宋_GB2312" w:hAnsi="仿宋_GB2312" w:eastAsia="仿宋_GB2312" w:cs="仿宋_GB2312"/>
          <w:b w:val="0"/>
          <w:bCs w:val="0"/>
          <w:color w:val="auto"/>
          <w:sz w:val="24"/>
        </w:rPr>
        <w:t>每月每平方米</w:t>
      </w:r>
      <w:r>
        <w:rPr>
          <w:rFonts w:hint="eastAsia" w:ascii="仿宋_GB2312" w:hAnsi="仿宋_GB2312" w:eastAsia="仿宋_GB2312" w:cs="仿宋_GB2312"/>
          <w:b w:val="0"/>
          <w:bCs w:val="0"/>
          <w:color w:val="auto"/>
          <w:sz w:val="24"/>
          <w:lang w:val="en-US" w:eastAsia="zh-CN"/>
        </w:rPr>
        <w:t>4.4</w:t>
      </w:r>
      <w:r>
        <w:rPr>
          <w:rFonts w:hint="eastAsia" w:ascii="仿宋_GB2312" w:hAnsi="仿宋_GB2312" w:eastAsia="仿宋_GB2312" w:cs="仿宋_GB2312"/>
          <w:b w:val="0"/>
          <w:bCs w:val="0"/>
          <w:color w:val="auto"/>
          <w:sz w:val="24"/>
        </w:rPr>
        <w:t>元</w:t>
      </w:r>
      <w:r>
        <w:rPr>
          <w:rFonts w:hint="eastAsia" w:ascii="仿宋_GB2312" w:hAnsi="仿宋_GB2312" w:eastAsia="仿宋_GB2312" w:cs="仿宋_GB2312"/>
          <w:b w:val="0"/>
          <w:bCs w:val="0"/>
          <w:color w:val="auto"/>
          <w:sz w:val="24"/>
          <w:lang w:eastAsia="zh-CN"/>
        </w:rPr>
        <w:t>（</w:t>
      </w:r>
      <w:r>
        <w:rPr>
          <w:rFonts w:hint="eastAsia" w:ascii="仿宋_GB2312" w:hAnsi="仿宋_GB2312" w:eastAsia="仿宋_GB2312" w:cs="仿宋_GB2312"/>
          <w:b w:val="0"/>
          <w:bCs w:val="0"/>
          <w:color w:val="auto"/>
          <w:sz w:val="24"/>
          <w:lang w:val="en-US" w:eastAsia="zh-CN"/>
        </w:rPr>
        <w:t>含税</w:t>
      </w:r>
      <w:r>
        <w:rPr>
          <w:rFonts w:hint="eastAsia" w:ascii="仿宋_GB2312" w:hAnsi="仿宋_GB2312" w:eastAsia="仿宋_GB2312" w:cs="仿宋_GB2312"/>
          <w:b w:val="0"/>
          <w:bCs w:val="0"/>
          <w:color w:val="auto"/>
          <w:sz w:val="24"/>
          <w:lang w:eastAsia="zh-CN"/>
        </w:rPr>
        <w:t>）</w:t>
      </w:r>
      <w:r>
        <w:rPr>
          <w:rFonts w:hint="eastAsia" w:ascii="仿宋_GB2312" w:hAnsi="仿宋_GB2312" w:eastAsia="仿宋_GB2312" w:cs="仿宋_GB2312"/>
          <w:b w:val="0"/>
          <w:bCs w:val="0"/>
          <w:color w:val="auto"/>
          <w:sz w:val="24"/>
        </w:rPr>
        <w:t>，</w:t>
      </w:r>
      <w:r>
        <w:rPr>
          <w:rFonts w:hint="eastAsia" w:ascii="仿宋_GB2312" w:hAnsi="仿宋_GB2312" w:eastAsia="仿宋_GB2312" w:cs="仿宋_GB2312"/>
          <w:b/>
          <w:bCs/>
          <w:color w:val="auto"/>
          <w:sz w:val="24"/>
          <w:shd w:val="clear" w:fill="auto"/>
          <w:lang w:val="en-US" w:eastAsia="zh-CN"/>
        </w:rPr>
        <w:t>无免租期</w:t>
      </w:r>
      <w:r>
        <w:rPr>
          <w:rFonts w:hint="eastAsia" w:ascii="仿宋_GB2312" w:hAnsi="仿宋_GB2312" w:eastAsia="仿宋_GB2312" w:cs="仿宋_GB2312"/>
          <w:b w:val="0"/>
          <w:bCs w:val="0"/>
          <w:color w:val="auto"/>
          <w:sz w:val="24"/>
        </w:rPr>
        <w:t>；</w:t>
      </w:r>
    </w:p>
    <w:p>
      <w:pPr>
        <w:spacing w:line="6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5、租金缴纳方式：每月上缴到中山市东凤镇集体资产管理有限公司账号；</w:t>
      </w:r>
    </w:p>
    <w:p>
      <w:pPr>
        <w:spacing w:line="6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6、计租时间：</w:t>
      </w:r>
      <w:r>
        <w:rPr>
          <w:rFonts w:hint="eastAsia" w:ascii="仿宋_GB2312" w:hAnsi="仿宋_GB2312" w:eastAsia="仿宋_GB2312" w:cs="仿宋_GB2312"/>
          <w:sz w:val="24"/>
          <w:lang w:val="en-US" w:eastAsia="zh-CN"/>
        </w:rPr>
        <w:t>从签订合同起计算，无免租期</w:t>
      </w:r>
      <w:r>
        <w:rPr>
          <w:rFonts w:hint="eastAsia" w:ascii="仿宋_GB2312" w:hAnsi="仿宋_GB2312" w:eastAsia="仿宋_GB2312" w:cs="仿宋_GB2312"/>
          <w:sz w:val="24"/>
        </w:rPr>
        <w:t>。</w:t>
      </w:r>
    </w:p>
    <w:p>
      <w:pPr>
        <w:spacing w:line="6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四、投标报名：</w:t>
      </w:r>
    </w:p>
    <w:p>
      <w:pPr>
        <w:spacing w:line="6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1、参与竞投者须缴纳投标保证金，投标保证金为</w:t>
      </w:r>
      <w:r>
        <w:rPr>
          <w:rFonts w:hint="eastAsia" w:ascii="仿宋_GB2312" w:hAnsi="仿宋_GB2312" w:eastAsia="仿宋_GB2312" w:cs="仿宋_GB2312"/>
          <w:sz w:val="24"/>
          <w:lang w:val="en-US" w:eastAsia="zh-CN"/>
        </w:rPr>
        <w:t>5</w:t>
      </w:r>
      <w:r>
        <w:rPr>
          <w:rFonts w:hint="eastAsia" w:ascii="仿宋_GB2312" w:hAnsi="仿宋_GB2312" w:eastAsia="仿宋_GB2312" w:cs="仿宋_GB2312"/>
          <w:b/>
          <w:bCs/>
          <w:sz w:val="24"/>
        </w:rPr>
        <w:t>万元人民币，竞投者</w:t>
      </w:r>
      <w:r>
        <w:rPr>
          <w:rFonts w:hint="eastAsia" w:ascii="仿宋_GB2312" w:hAnsi="仿宋_GB2312" w:eastAsia="仿宋_GB2312" w:cs="仿宋_GB2312"/>
          <w:sz w:val="24"/>
        </w:rPr>
        <w:t>请于2022</w:t>
      </w:r>
      <w:r>
        <w:rPr>
          <w:rFonts w:hint="eastAsia" w:ascii="仿宋_GB2312" w:hAnsi="仿宋_GB2312" w:eastAsia="仿宋_GB2312" w:cs="仿宋_GB2312"/>
          <w:sz w:val="24"/>
          <w:shd w:val="clear"/>
        </w:rPr>
        <w:t xml:space="preserve">年 </w:t>
      </w:r>
      <w:r>
        <w:rPr>
          <w:rFonts w:hint="eastAsia" w:ascii="仿宋_GB2312" w:hAnsi="仿宋_GB2312" w:eastAsia="仿宋_GB2312" w:cs="仿宋_GB2312"/>
          <w:sz w:val="24"/>
          <w:shd w:val="clear"/>
          <w:lang w:val="en-US" w:eastAsia="zh-CN"/>
        </w:rPr>
        <w:t>9</w:t>
      </w:r>
      <w:r>
        <w:rPr>
          <w:rFonts w:hint="eastAsia" w:ascii="仿宋_GB2312" w:hAnsi="仿宋_GB2312" w:eastAsia="仿宋_GB2312" w:cs="仿宋_GB2312"/>
          <w:sz w:val="24"/>
          <w:shd w:val="clear"/>
        </w:rPr>
        <w:t>月</w:t>
      </w:r>
      <w:r>
        <w:rPr>
          <w:rFonts w:hint="eastAsia" w:ascii="仿宋_GB2312" w:hAnsi="仿宋_GB2312" w:eastAsia="仿宋_GB2312" w:cs="仿宋_GB2312"/>
          <w:sz w:val="24"/>
          <w:highlight w:val="none"/>
          <w:shd w:val="clear"/>
          <w:lang w:val="en-US" w:eastAsia="zh-CN"/>
        </w:rPr>
        <w:t>30</w:t>
      </w:r>
      <w:r>
        <w:rPr>
          <w:rFonts w:hint="eastAsia" w:ascii="仿宋_GB2312" w:hAnsi="仿宋_GB2312" w:eastAsia="仿宋_GB2312" w:cs="仿宋_GB2312"/>
          <w:sz w:val="24"/>
          <w:shd w:val="clear"/>
        </w:rPr>
        <w:t>日</w:t>
      </w:r>
      <w:r>
        <w:rPr>
          <w:rFonts w:hint="eastAsia" w:ascii="仿宋_GB2312" w:hAnsi="仿宋_GB2312" w:eastAsia="仿宋_GB2312" w:cs="仿宋_GB2312"/>
          <w:sz w:val="24"/>
        </w:rPr>
        <w:t xml:space="preserve"> 16：00前自行到兴业银行中山小榄支行缴纳（银行名称：兴业银行中山小榄支行，单位名称：中山市东凤镇集体资产管理有限公司，账号：396020100100186100）。未中标者凭保证金缴款单回执办理退回手续，我司于本次招投标土地租赁合同签订后5日内退还保证金本金，</w:t>
      </w:r>
      <w:r>
        <w:rPr>
          <w:rFonts w:hint="eastAsia" w:ascii="仿宋_GB2312" w:hAnsi="仿宋_GB2312" w:eastAsia="仿宋_GB2312" w:cs="仿宋_GB2312"/>
          <w:b/>
          <w:bCs/>
          <w:sz w:val="24"/>
        </w:rPr>
        <w:t>中标者投标保证金扣除合同履约金后，余额办理退回手续</w:t>
      </w:r>
      <w:r>
        <w:rPr>
          <w:rFonts w:hint="eastAsia" w:ascii="仿宋_GB2312" w:hAnsi="仿宋_GB2312" w:eastAsia="仿宋_GB2312" w:cs="仿宋_GB2312"/>
          <w:sz w:val="24"/>
        </w:rPr>
        <w:t>。</w:t>
      </w:r>
    </w:p>
    <w:p>
      <w:pPr>
        <w:spacing w:line="600" w:lineRule="exact"/>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2、竞投者需具有</w:t>
      </w:r>
      <w:r>
        <w:rPr>
          <w:rFonts w:hint="eastAsia" w:ascii="仿宋_GB2312" w:hAnsi="仿宋_GB2312" w:eastAsia="仿宋_GB2312" w:cs="仿宋_GB2312"/>
          <w:color w:val="auto"/>
          <w:sz w:val="24"/>
          <w:lang w:val="en-US" w:eastAsia="zh-CN"/>
        </w:rPr>
        <w:t>自然人或</w:t>
      </w:r>
      <w:r>
        <w:rPr>
          <w:rFonts w:hint="eastAsia" w:ascii="仿宋_GB2312" w:hAnsi="仿宋_GB2312" w:eastAsia="仿宋_GB2312" w:cs="仿宋_GB2312"/>
          <w:color w:val="auto"/>
          <w:sz w:val="24"/>
        </w:rPr>
        <w:t>独立法人资格企业且承担民事责任的能力；具有良好的商业信誉和健全的财务会计制度；有依法缴纳税收和社会保障资金的良好记录；参加本次招投标前三年内，在经营活动中没有重大违法记录；不接受联合竞投。在报名截止前携带</w:t>
      </w:r>
      <w:r>
        <w:rPr>
          <w:rFonts w:hint="eastAsia" w:ascii="仿宋_GB2312" w:hAnsi="仿宋_GB2312" w:eastAsia="仿宋_GB2312" w:cs="仿宋_GB2312"/>
          <w:color w:val="auto"/>
          <w:sz w:val="24"/>
          <w:lang w:val="en-US" w:eastAsia="zh-CN"/>
        </w:rPr>
        <w:t>自然人/</w:t>
      </w:r>
      <w:r>
        <w:rPr>
          <w:rFonts w:hint="eastAsia" w:ascii="仿宋_GB2312" w:hAnsi="仿宋_GB2312" w:eastAsia="仿宋_GB2312" w:cs="仿宋_GB2312"/>
          <w:color w:val="auto"/>
          <w:sz w:val="24"/>
        </w:rPr>
        <w:t>法人身份证、营业执照、保证金缴款单回执等资料到我司进行登记，领取投标确认书参加投标。</w:t>
      </w:r>
    </w:p>
    <w:p>
      <w:pPr>
        <w:spacing w:line="6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3、招标人不组织现场踏夦，投标人须自行对租赁物进行踏夦，了解租赁物现状情况。</w:t>
      </w:r>
    </w:p>
    <w:p>
      <w:pPr>
        <w:spacing w:line="6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w:t>
      </w:r>
      <w:r>
        <w:rPr>
          <w:rFonts w:hint="eastAsia" w:ascii="仿宋_GB2312" w:hAnsi="仿宋_GB2312" w:eastAsia="仿宋_GB2312" w:cs="仿宋_GB2312"/>
          <w:b/>
          <w:bCs/>
          <w:sz w:val="24"/>
        </w:rPr>
        <w:t>如项目用地在租赁期间涉及违法用地相关情况，承租方无条件服从处理，相关费用及责任由承租方承担，如承租方在整改期内未完成整改，我司有权使用承租方所缴纳的按金用于处理该地块的违法用地所产生的费用。</w:t>
      </w:r>
    </w:p>
    <w:p>
      <w:pPr>
        <w:spacing w:line="6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五、投标：</w:t>
      </w:r>
    </w:p>
    <w:p>
      <w:pPr>
        <w:spacing w:line="6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1、招投标方式和评标办法：采取现场明标出价方式竞投，出价最高且高于底价者为中标单位。</w:t>
      </w:r>
    </w:p>
    <w:p>
      <w:pPr>
        <w:spacing w:line="6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2、第一次竞价可平价，之后每次竞价增加幅度不少</w:t>
      </w:r>
      <w:r>
        <w:rPr>
          <w:rFonts w:hint="eastAsia" w:ascii="仿宋_GB2312" w:hAnsi="仿宋_GB2312" w:eastAsia="仿宋_GB2312" w:cs="仿宋_GB2312"/>
          <w:sz w:val="24"/>
          <w:shd w:val="clear"/>
        </w:rPr>
        <w:t>于0.</w:t>
      </w:r>
      <w:r>
        <w:rPr>
          <w:rFonts w:hint="eastAsia" w:ascii="仿宋_GB2312" w:hAnsi="仿宋_GB2312" w:eastAsia="仿宋_GB2312" w:cs="仿宋_GB2312"/>
          <w:sz w:val="24"/>
          <w:shd w:val="clear"/>
          <w:lang w:val="en-US" w:eastAsia="zh-CN"/>
        </w:rPr>
        <w:t>5</w:t>
      </w:r>
      <w:r>
        <w:rPr>
          <w:rFonts w:hint="eastAsia" w:ascii="仿宋_GB2312" w:hAnsi="仿宋_GB2312" w:eastAsia="仿宋_GB2312" w:cs="仿宋_GB2312"/>
          <w:sz w:val="24"/>
          <w:shd w:val="clear"/>
        </w:rPr>
        <w:t>元</w:t>
      </w:r>
      <w:r>
        <w:rPr>
          <w:rFonts w:hint="eastAsia" w:ascii="仿宋_GB2312" w:hAnsi="仿宋_GB2312" w:eastAsia="仿宋_GB2312" w:cs="仿宋_GB2312"/>
          <w:sz w:val="24"/>
        </w:rPr>
        <w:t>每平方米。</w:t>
      </w:r>
    </w:p>
    <w:p>
      <w:pPr>
        <w:spacing w:line="6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3、如参与竞投者本人无法到场、则代理人需携带委托书和身份证复印件（需加盖公章）到场代理参与竞标。</w:t>
      </w:r>
    </w:p>
    <w:p>
      <w:pPr>
        <w:spacing w:line="6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4、不限参加竞投单位数量，如只有一家单位登记竞租也正常开标。</w:t>
      </w:r>
    </w:p>
    <w:p>
      <w:pPr>
        <w:spacing w:line="6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六、招投标时间安排：</w:t>
      </w:r>
    </w:p>
    <w:p>
      <w:pPr>
        <w:spacing w:line="600" w:lineRule="exact"/>
        <w:ind w:firstLine="480" w:firstLineChars="200"/>
        <w:rPr>
          <w:rFonts w:ascii="仿宋_GB2312" w:hAnsi="仿宋_GB2312" w:eastAsia="仿宋_GB2312" w:cs="仿宋_GB2312"/>
          <w:sz w:val="24"/>
          <w:highlight w:val="none"/>
        </w:rPr>
      </w:pPr>
      <w:r>
        <w:rPr>
          <w:rFonts w:hint="eastAsia" w:ascii="仿宋_GB2312" w:hAnsi="仿宋_GB2312" w:eastAsia="仿宋_GB2312" w:cs="仿宋_GB2312"/>
          <w:sz w:val="24"/>
        </w:rPr>
        <w:t>竞标报名截止</w:t>
      </w:r>
      <w:r>
        <w:rPr>
          <w:rFonts w:hint="eastAsia" w:ascii="仿宋_GB2312" w:hAnsi="仿宋_GB2312" w:eastAsia="仿宋_GB2312" w:cs="仿宋_GB2312"/>
          <w:sz w:val="24"/>
          <w:highlight w:val="none"/>
        </w:rPr>
        <w:t xml:space="preserve">：2022年 </w:t>
      </w:r>
      <w:r>
        <w:rPr>
          <w:rFonts w:hint="eastAsia" w:ascii="仿宋_GB2312" w:hAnsi="仿宋_GB2312" w:eastAsia="仿宋_GB2312" w:cs="仿宋_GB2312"/>
          <w:sz w:val="24"/>
          <w:highlight w:val="none"/>
          <w:lang w:val="en-US" w:eastAsia="zh-CN"/>
        </w:rPr>
        <w:t>9</w:t>
      </w:r>
      <w:r>
        <w:rPr>
          <w:rFonts w:hint="eastAsia" w:ascii="仿宋_GB2312" w:hAnsi="仿宋_GB2312" w:eastAsia="仿宋_GB2312" w:cs="仿宋_GB2312"/>
          <w:sz w:val="24"/>
          <w:highlight w:val="none"/>
        </w:rPr>
        <w:t>月</w:t>
      </w:r>
      <w:r>
        <w:rPr>
          <w:rFonts w:hint="eastAsia" w:ascii="仿宋_GB2312" w:hAnsi="仿宋_GB2312" w:eastAsia="仿宋_GB2312" w:cs="仿宋_GB2312"/>
          <w:sz w:val="24"/>
          <w:highlight w:val="none"/>
          <w:lang w:val="en-US" w:eastAsia="zh-CN"/>
        </w:rPr>
        <w:t>30</w:t>
      </w:r>
      <w:r>
        <w:rPr>
          <w:rFonts w:hint="eastAsia" w:ascii="仿宋_GB2312" w:hAnsi="仿宋_GB2312" w:eastAsia="仿宋_GB2312" w:cs="仿宋_GB2312"/>
          <w:sz w:val="24"/>
          <w:highlight w:val="none"/>
        </w:rPr>
        <w:t>日16：00；</w:t>
      </w:r>
    </w:p>
    <w:p>
      <w:pPr>
        <w:spacing w:line="600" w:lineRule="exact"/>
        <w:ind w:firstLine="480" w:firstLineChars="2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公开竞标日期：2022年</w:t>
      </w:r>
      <w:r>
        <w:rPr>
          <w:rFonts w:hint="eastAsia" w:ascii="仿宋_GB2312" w:hAnsi="仿宋_GB2312" w:eastAsia="仿宋_GB2312" w:cs="仿宋_GB2312"/>
          <w:sz w:val="24"/>
          <w:highlight w:val="none"/>
          <w:lang w:val="en-US" w:eastAsia="zh-CN"/>
        </w:rPr>
        <w:t>10</w:t>
      </w:r>
      <w:r>
        <w:rPr>
          <w:rFonts w:hint="eastAsia" w:ascii="仿宋_GB2312" w:hAnsi="仿宋_GB2312" w:eastAsia="仿宋_GB2312" w:cs="仿宋_GB2312"/>
          <w:sz w:val="24"/>
          <w:highlight w:val="none"/>
        </w:rPr>
        <w:t>月</w:t>
      </w:r>
      <w:r>
        <w:rPr>
          <w:rFonts w:hint="eastAsia" w:ascii="仿宋_GB2312" w:hAnsi="仿宋_GB2312" w:eastAsia="仿宋_GB2312" w:cs="仿宋_GB2312"/>
          <w:sz w:val="24"/>
          <w:highlight w:val="none"/>
          <w:lang w:val="en-US" w:eastAsia="zh-CN"/>
        </w:rPr>
        <w:t>8</w:t>
      </w:r>
      <w:r>
        <w:rPr>
          <w:rFonts w:hint="eastAsia" w:ascii="仿宋_GB2312" w:hAnsi="仿宋_GB2312" w:eastAsia="仿宋_GB2312" w:cs="仿宋_GB2312"/>
          <w:sz w:val="24"/>
          <w:highlight w:val="none"/>
        </w:rPr>
        <w:t>日10：</w:t>
      </w:r>
      <w:r>
        <w:rPr>
          <w:rFonts w:hint="eastAsia" w:ascii="仿宋_GB2312" w:hAnsi="仿宋_GB2312" w:eastAsia="仿宋_GB2312" w:cs="仿宋_GB2312"/>
          <w:sz w:val="24"/>
          <w:highlight w:val="none"/>
          <w:lang w:val="en-US" w:eastAsia="zh-CN"/>
        </w:rPr>
        <w:t>3</w:t>
      </w:r>
      <w:r>
        <w:rPr>
          <w:rFonts w:hint="eastAsia" w:ascii="仿宋_GB2312" w:hAnsi="仿宋_GB2312" w:eastAsia="仿宋_GB2312" w:cs="仿宋_GB2312"/>
          <w:sz w:val="24"/>
          <w:highlight w:val="none"/>
        </w:rPr>
        <w:t>0；</w:t>
      </w:r>
    </w:p>
    <w:p>
      <w:pPr>
        <w:spacing w:line="60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公开竞标地址：东凤镇凤翔大道13号综治信访维稳中心五楼开标室</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lang w:val="en-US" w:eastAsia="zh-CN"/>
        </w:rPr>
        <w:t>地点有变化将会电话通知）</w:t>
      </w:r>
      <w:r>
        <w:rPr>
          <w:rFonts w:hint="eastAsia" w:ascii="仿宋_GB2312" w:hAnsi="仿宋_GB2312" w:eastAsia="仿宋_GB2312" w:cs="仿宋_GB2312"/>
          <w:color w:val="auto"/>
          <w:sz w:val="24"/>
        </w:rPr>
        <w:t>；</w:t>
      </w:r>
    </w:p>
    <w:p>
      <w:pPr>
        <w:spacing w:line="6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竞标者迟到10分钟以上作弃权处理；</w:t>
      </w:r>
    </w:p>
    <w:p>
      <w:pPr>
        <w:spacing w:line="6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七、其他：</w:t>
      </w:r>
    </w:p>
    <w:p>
      <w:pPr>
        <w:spacing w:line="6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1、中标单位在中标通知书发出之日起三十日内必须缴清合同履约保证金和签订合同，逾期不签订合同，则视作弃标处理，并没收投标保证金。</w:t>
      </w:r>
    </w:p>
    <w:p>
      <w:pPr>
        <w:spacing w:line="6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2、其他租赁条款于租赁合同中约定。</w:t>
      </w:r>
    </w:p>
    <w:p>
      <w:pPr>
        <w:spacing w:line="6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3、此租赁方案最终解释权归我司。</w:t>
      </w:r>
    </w:p>
    <w:p>
      <w:pPr>
        <w:spacing w:line="600" w:lineRule="exact"/>
        <w:ind w:firstLine="480" w:firstLineChars="200"/>
        <w:rPr>
          <w:rFonts w:ascii="仿宋_GB2312" w:hAnsi="仿宋_GB2312" w:eastAsia="仿宋_GB2312" w:cs="仿宋_GB2312"/>
          <w:sz w:val="24"/>
        </w:rPr>
      </w:pPr>
      <w:bookmarkStart w:id="0" w:name="_GoBack"/>
      <w:bookmarkEnd w:id="0"/>
    </w:p>
    <w:p>
      <w:pPr>
        <w:spacing w:line="600" w:lineRule="exact"/>
        <w:jc w:val="right"/>
        <w:rPr>
          <w:rFonts w:ascii="仿宋_GB2312" w:hAnsi="仿宋_GB2312" w:eastAsia="仿宋_GB2312" w:cs="仿宋_GB2312"/>
          <w:sz w:val="24"/>
        </w:rPr>
      </w:pPr>
      <w:r>
        <w:rPr>
          <w:rFonts w:hint="eastAsia" w:ascii="仿宋_GB2312" w:hAnsi="仿宋_GB2312" w:eastAsia="仿宋_GB2312" w:cs="仿宋_GB2312"/>
          <w:sz w:val="24"/>
        </w:rPr>
        <w:t xml:space="preserve">                      中山市东凤镇集体资产管理有限公司</w:t>
      </w:r>
    </w:p>
    <w:p>
      <w:pPr>
        <w:spacing w:line="600" w:lineRule="exact"/>
        <w:ind w:firstLine="4080" w:firstLineChars="1700"/>
        <w:jc w:val="center"/>
        <w:rPr>
          <w:rFonts w:ascii="仿宋_GB2312" w:hAnsi="仿宋_GB2312" w:eastAsia="仿宋_GB2312" w:cs="仿宋_GB2312"/>
          <w:sz w:val="24"/>
        </w:rPr>
      </w:pPr>
      <w:r>
        <w:rPr>
          <w:rFonts w:hint="eastAsia" w:ascii="仿宋_GB2312" w:hAnsi="仿宋_GB2312" w:eastAsia="仿宋_GB2312" w:cs="仿宋_GB2312"/>
          <w:sz w:val="24"/>
        </w:rPr>
        <w:t xml:space="preserve">       2022年</w:t>
      </w:r>
      <w:r>
        <w:rPr>
          <w:rFonts w:hint="eastAsia" w:ascii="仿宋_GB2312" w:hAnsi="仿宋_GB2312" w:eastAsia="仿宋_GB2312" w:cs="仿宋_GB2312"/>
          <w:sz w:val="24"/>
          <w:lang w:val="en-US" w:eastAsia="zh-CN"/>
        </w:rPr>
        <w:t>9</w:t>
      </w:r>
      <w:r>
        <w:rPr>
          <w:rFonts w:hint="eastAsia" w:ascii="仿宋_GB2312" w:hAnsi="仿宋_GB2312" w:eastAsia="仿宋_GB2312" w:cs="仿宋_GB2312"/>
          <w:sz w:val="24"/>
        </w:rPr>
        <w:t>月</w:t>
      </w:r>
      <w:r>
        <w:rPr>
          <w:rFonts w:hint="eastAsia" w:ascii="仿宋_GB2312" w:hAnsi="仿宋_GB2312" w:eastAsia="仿宋_GB2312" w:cs="仿宋_GB2312"/>
          <w:sz w:val="24"/>
          <w:highlight w:val="none"/>
          <w:lang w:val="en-US" w:eastAsia="zh-CN"/>
        </w:rPr>
        <w:t>26</w:t>
      </w:r>
      <w:r>
        <w:rPr>
          <w:rFonts w:hint="eastAsia" w:ascii="仿宋_GB2312" w:hAnsi="仿宋_GB2312" w:eastAsia="仿宋_GB2312" w:cs="仿宋_GB2312"/>
          <w:sz w:val="24"/>
        </w:rPr>
        <w:t>日</w:t>
      </w:r>
    </w:p>
    <w:p>
      <w:pPr>
        <w:spacing w:line="600" w:lineRule="exact"/>
        <w:rPr>
          <w:rFonts w:ascii="仿宋_GB2312" w:hAnsi="仿宋_GB2312" w:eastAsia="仿宋_GB2312" w:cs="仿宋_GB2312"/>
          <w:sz w:val="24"/>
        </w:rPr>
      </w:pPr>
    </w:p>
    <w:p>
      <w:pPr>
        <w:spacing w:line="600" w:lineRule="exact"/>
        <w:rPr>
          <w:rFonts w:ascii="仿宋_GB2312" w:hAnsi="仿宋_GB2312" w:eastAsia="仿宋_GB2312" w:cs="仿宋_GB2312"/>
          <w:sz w:val="24"/>
        </w:rPr>
      </w:pPr>
      <w:r>
        <w:rPr>
          <w:rFonts w:hint="eastAsia" w:ascii="仿宋_GB2312" w:hAnsi="仿宋_GB2312" w:eastAsia="仿宋_GB2312" w:cs="仿宋_GB2312"/>
          <w:sz w:val="24"/>
        </w:rPr>
        <w:t xml:space="preserve">     </w:t>
      </w:r>
    </w:p>
    <w:p>
      <w:pP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both"/>
        <w:rPr>
          <w:rFonts w:ascii="仿宋_GB2312" w:hAnsi="仿宋_GB2312" w:eastAsia="仿宋_GB2312" w:cs="仿宋_GB2312"/>
          <w:sz w:val="24"/>
        </w:rPr>
      </w:pPr>
    </w:p>
    <w:p>
      <w:pPr>
        <w:spacing w:line="240" w:lineRule="auto"/>
        <w:rPr>
          <w:rFonts w:hint="eastAsia" w:ascii="仿宋_GB2312" w:hAnsi="仿宋_GB2312" w:eastAsia="仿宋_GB2312" w:cs="仿宋_GB2312"/>
          <w:bCs/>
          <w:sz w:val="24"/>
          <w:lang w:eastAsia="zh-CN"/>
        </w:rPr>
      </w:pPr>
      <w:r>
        <w:rPr>
          <w:rFonts w:hint="eastAsia" w:ascii="仿宋_GB2312" w:hAnsi="仿宋_GB2312" w:eastAsia="仿宋_GB2312" w:cs="仿宋_GB2312"/>
          <w:bCs/>
          <w:sz w:val="24"/>
          <w:lang w:eastAsia="zh-CN"/>
        </w:rPr>
        <w:object>
          <v:shape id="_x0000_i1025" o:spt="75" type="#_x0000_t75" style="height:0.05pt;width:0.05pt;" o:ole="t" filled="f" stroked="f" coordsize="21600,21600">
            <v:path/>
            <v:fill on="f" focussize="0,0"/>
            <v:stroke on="f"/>
            <v:imagedata o:title=""/>
            <o:lock v:ext="edit" aspectratio="t"/>
            <w10:wrap type="none"/>
            <w10:anchorlock/>
          </v:shape>
          <o:OLEObject Type="Embed" ProgID="PDF.NtkoDocument" ShapeID="_x0000_i1025" DrawAspect="Content" ObjectID="_1468075725" r:id="rId4">
            <o:LockedField>false</o:LockedField>
          </o:OLEObject>
        </w:object>
      </w:r>
      <w:r>
        <w:rPr>
          <w:rFonts w:hint="eastAsia" w:ascii="仿宋_GB2312" w:hAnsi="仿宋_GB2312" w:eastAsia="仿宋_GB2312" w:cs="仿宋_GB2312"/>
          <w:bCs/>
          <w:sz w:val="24"/>
          <w:lang w:eastAsia="zh-CN"/>
        </w:rPr>
        <w:object>
          <v:shape id="_x0000_i1026" o:spt="75" type="#_x0000_t75" style="height:0.05pt;width:0.05pt;" o:ole="t" filled="f" stroked="f" coordsize="21600,21600">
            <v:path/>
            <v:fill on="f" focussize="0,0"/>
            <v:stroke on="f"/>
            <v:imagedata o:title=""/>
            <o:lock v:ext="edit" aspectratio="t"/>
            <w10:wrap type="none"/>
            <w10:anchorlock/>
          </v:shape>
          <o:OLEObject Type="Embed" ProgID="PDF.NtkoDocument" ShapeID="_x0000_i1026" DrawAspect="Content" ObjectID="_1468075726" r:id="rId5">
            <o:LockedField>false</o:LockedField>
          </o:OLEObject>
        </w:object>
      </w:r>
    </w:p>
    <w:sectPr>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yYzk1NzU5NTVkMjI1MDFlNTkxZjQwYzJmZjg4MDkifQ=="/>
  </w:docVars>
  <w:rsids>
    <w:rsidRoot w:val="03F950B3"/>
    <w:rsid w:val="001F13C4"/>
    <w:rsid w:val="00417199"/>
    <w:rsid w:val="00B131DE"/>
    <w:rsid w:val="014E2016"/>
    <w:rsid w:val="02225B04"/>
    <w:rsid w:val="028C1C37"/>
    <w:rsid w:val="02A3212A"/>
    <w:rsid w:val="02DA31CE"/>
    <w:rsid w:val="03192A63"/>
    <w:rsid w:val="033F64AC"/>
    <w:rsid w:val="03DC12C8"/>
    <w:rsid w:val="03F950B3"/>
    <w:rsid w:val="04671D43"/>
    <w:rsid w:val="049F6EBF"/>
    <w:rsid w:val="05135729"/>
    <w:rsid w:val="056E4C75"/>
    <w:rsid w:val="06571569"/>
    <w:rsid w:val="06960937"/>
    <w:rsid w:val="06B225AA"/>
    <w:rsid w:val="06DF732D"/>
    <w:rsid w:val="07150918"/>
    <w:rsid w:val="07C8261D"/>
    <w:rsid w:val="088272FC"/>
    <w:rsid w:val="09092820"/>
    <w:rsid w:val="09A40150"/>
    <w:rsid w:val="09A51CF6"/>
    <w:rsid w:val="0A026946"/>
    <w:rsid w:val="0A8063B2"/>
    <w:rsid w:val="0AD71FDC"/>
    <w:rsid w:val="0AFC78DB"/>
    <w:rsid w:val="0B3470E9"/>
    <w:rsid w:val="0B42574F"/>
    <w:rsid w:val="0C0575D6"/>
    <w:rsid w:val="0CC22C27"/>
    <w:rsid w:val="0CEB79B6"/>
    <w:rsid w:val="0D1F46A8"/>
    <w:rsid w:val="0D5648B3"/>
    <w:rsid w:val="0D5D1E33"/>
    <w:rsid w:val="0D8A3D55"/>
    <w:rsid w:val="0E217A0D"/>
    <w:rsid w:val="0EC85179"/>
    <w:rsid w:val="0ECB20EF"/>
    <w:rsid w:val="0EF867D8"/>
    <w:rsid w:val="0F331B47"/>
    <w:rsid w:val="0FCB2390"/>
    <w:rsid w:val="10064E79"/>
    <w:rsid w:val="101F6482"/>
    <w:rsid w:val="11172C3F"/>
    <w:rsid w:val="11205904"/>
    <w:rsid w:val="11C00FCB"/>
    <w:rsid w:val="12177E4F"/>
    <w:rsid w:val="126F6B43"/>
    <w:rsid w:val="1296379D"/>
    <w:rsid w:val="137D6E83"/>
    <w:rsid w:val="13AF28B4"/>
    <w:rsid w:val="13E938AE"/>
    <w:rsid w:val="14111648"/>
    <w:rsid w:val="14134014"/>
    <w:rsid w:val="1420043D"/>
    <w:rsid w:val="14B62FDB"/>
    <w:rsid w:val="14D50C8C"/>
    <w:rsid w:val="15985B50"/>
    <w:rsid w:val="15EB04A7"/>
    <w:rsid w:val="160A4130"/>
    <w:rsid w:val="1626316B"/>
    <w:rsid w:val="16822081"/>
    <w:rsid w:val="16AD601B"/>
    <w:rsid w:val="16FB273F"/>
    <w:rsid w:val="171F0B4E"/>
    <w:rsid w:val="1723614E"/>
    <w:rsid w:val="17362653"/>
    <w:rsid w:val="176E50CD"/>
    <w:rsid w:val="17844D1D"/>
    <w:rsid w:val="18EF792C"/>
    <w:rsid w:val="195E7A48"/>
    <w:rsid w:val="1AB52163"/>
    <w:rsid w:val="1BBB05A8"/>
    <w:rsid w:val="1C9507D1"/>
    <w:rsid w:val="1CE224AB"/>
    <w:rsid w:val="1D9A7599"/>
    <w:rsid w:val="1DED2E92"/>
    <w:rsid w:val="1E4A5D6E"/>
    <w:rsid w:val="1E6010AD"/>
    <w:rsid w:val="1E8042D1"/>
    <w:rsid w:val="1ECE074D"/>
    <w:rsid w:val="1EDC4952"/>
    <w:rsid w:val="1F2530BC"/>
    <w:rsid w:val="1F6558D9"/>
    <w:rsid w:val="1F6B68E4"/>
    <w:rsid w:val="1FB1599C"/>
    <w:rsid w:val="1FBB1E79"/>
    <w:rsid w:val="1FDB326A"/>
    <w:rsid w:val="205E0E49"/>
    <w:rsid w:val="20642FC5"/>
    <w:rsid w:val="20BA1C84"/>
    <w:rsid w:val="20D4107B"/>
    <w:rsid w:val="20E03B5B"/>
    <w:rsid w:val="20F01695"/>
    <w:rsid w:val="217335FC"/>
    <w:rsid w:val="22156CE4"/>
    <w:rsid w:val="2223713B"/>
    <w:rsid w:val="22E75C59"/>
    <w:rsid w:val="22EC3966"/>
    <w:rsid w:val="23044166"/>
    <w:rsid w:val="232E6BAA"/>
    <w:rsid w:val="24165E98"/>
    <w:rsid w:val="24526F62"/>
    <w:rsid w:val="254217E9"/>
    <w:rsid w:val="25D42C9E"/>
    <w:rsid w:val="2657792D"/>
    <w:rsid w:val="26D65E98"/>
    <w:rsid w:val="2718491B"/>
    <w:rsid w:val="272B3197"/>
    <w:rsid w:val="275246BA"/>
    <w:rsid w:val="27541A0C"/>
    <w:rsid w:val="27DC3828"/>
    <w:rsid w:val="28326D13"/>
    <w:rsid w:val="28826A67"/>
    <w:rsid w:val="28D56233"/>
    <w:rsid w:val="28DB46F9"/>
    <w:rsid w:val="293860D3"/>
    <w:rsid w:val="295A6F2D"/>
    <w:rsid w:val="298D1387"/>
    <w:rsid w:val="29966760"/>
    <w:rsid w:val="29A273A6"/>
    <w:rsid w:val="29BD71F2"/>
    <w:rsid w:val="2C4F328B"/>
    <w:rsid w:val="2D142458"/>
    <w:rsid w:val="2DAF6424"/>
    <w:rsid w:val="2DED00DE"/>
    <w:rsid w:val="2E48548F"/>
    <w:rsid w:val="2EB6254E"/>
    <w:rsid w:val="308C555A"/>
    <w:rsid w:val="30CF2632"/>
    <w:rsid w:val="31BE4652"/>
    <w:rsid w:val="327A35A5"/>
    <w:rsid w:val="33854A6A"/>
    <w:rsid w:val="338755D5"/>
    <w:rsid w:val="34321152"/>
    <w:rsid w:val="34342ADD"/>
    <w:rsid w:val="34E16FD5"/>
    <w:rsid w:val="357A2DF7"/>
    <w:rsid w:val="358E1531"/>
    <w:rsid w:val="35F230BE"/>
    <w:rsid w:val="365D5B74"/>
    <w:rsid w:val="371A55F7"/>
    <w:rsid w:val="378A3583"/>
    <w:rsid w:val="37B301B3"/>
    <w:rsid w:val="37DD15AA"/>
    <w:rsid w:val="37EF74E3"/>
    <w:rsid w:val="383D7ACD"/>
    <w:rsid w:val="384922DC"/>
    <w:rsid w:val="388126AB"/>
    <w:rsid w:val="395814C1"/>
    <w:rsid w:val="39D5362D"/>
    <w:rsid w:val="3B985F13"/>
    <w:rsid w:val="3BC10589"/>
    <w:rsid w:val="3BEE647B"/>
    <w:rsid w:val="3C4E3D67"/>
    <w:rsid w:val="3D09356D"/>
    <w:rsid w:val="3D4F7673"/>
    <w:rsid w:val="3DC15734"/>
    <w:rsid w:val="3DEF08B7"/>
    <w:rsid w:val="3E8B6E6B"/>
    <w:rsid w:val="3EA8016D"/>
    <w:rsid w:val="3EC1337A"/>
    <w:rsid w:val="3EC920DF"/>
    <w:rsid w:val="3FD05513"/>
    <w:rsid w:val="401C54B7"/>
    <w:rsid w:val="403F356D"/>
    <w:rsid w:val="40666C3C"/>
    <w:rsid w:val="408E1C60"/>
    <w:rsid w:val="42925DB2"/>
    <w:rsid w:val="43E121C2"/>
    <w:rsid w:val="44273E90"/>
    <w:rsid w:val="44402BE0"/>
    <w:rsid w:val="445D3ECD"/>
    <w:rsid w:val="446D132E"/>
    <w:rsid w:val="44D426B2"/>
    <w:rsid w:val="44D62253"/>
    <w:rsid w:val="44DA3BDA"/>
    <w:rsid w:val="45FC035A"/>
    <w:rsid w:val="46490E91"/>
    <w:rsid w:val="4763007B"/>
    <w:rsid w:val="4777373A"/>
    <w:rsid w:val="48570D42"/>
    <w:rsid w:val="4869097E"/>
    <w:rsid w:val="488204E6"/>
    <w:rsid w:val="48B015BC"/>
    <w:rsid w:val="4AD72E64"/>
    <w:rsid w:val="4CA07692"/>
    <w:rsid w:val="4CCD0CE7"/>
    <w:rsid w:val="4DBC54F4"/>
    <w:rsid w:val="4DF964ED"/>
    <w:rsid w:val="4E7534AA"/>
    <w:rsid w:val="4EAD5FF0"/>
    <w:rsid w:val="4ECF7C23"/>
    <w:rsid w:val="4F9A794C"/>
    <w:rsid w:val="501E0C85"/>
    <w:rsid w:val="50DF4077"/>
    <w:rsid w:val="51B23801"/>
    <w:rsid w:val="51B2384A"/>
    <w:rsid w:val="523D327B"/>
    <w:rsid w:val="52AD3104"/>
    <w:rsid w:val="53183004"/>
    <w:rsid w:val="53634E6C"/>
    <w:rsid w:val="5484322E"/>
    <w:rsid w:val="55282AE9"/>
    <w:rsid w:val="555000AA"/>
    <w:rsid w:val="555863B5"/>
    <w:rsid w:val="55BF4A09"/>
    <w:rsid w:val="56095F34"/>
    <w:rsid w:val="56234B89"/>
    <w:rsid w:val="56A371A7"/>
    <w:rsid w:val="56BB0300"/>
    <w:rsid w:val="56E40AED"/>
    <w:rsid w:val="57367B21"/>
    <w:rsid w:val="585D5D16"/>
    <w:rsid w:val="589F510A"/>
    <w:rsid w:val="590E6229"/>
    <w:rsid w:val="59460507"/>
    <w:rsid w:val="5A061102"/>
    <w:rsid w:val="5A1D20BD"/>
    <w:rsid w:val="5A25451B"/>
    <w:rsid w:val="5A3A08DE"/>
    <w:rsid w:val="5A7D069D"/>
    <w:rsid w:val="5A871BA1"/>
    <w:rsid w:val="5C8517F7"/>
    <w:rsid w:val="5CBE05CB"/>
    <w:rsid w:val="5CE24F56"/>
    <w:rsid w:val="5CF74D72"/>
    <w:rsid w:val="5E603522"/>
    <w:rsid w:val="5E6A0D35"/>
    <w:rsid w:val="5EC63C31"/>
    <w:rsid w:val="6088424F"/>
    <w:rsid w:val="60F805B7"/>
    <w:rsid w:val="61037EE4"/>
    <w:rsid w:val="614D3A8F"/>
    <w:rsid w:val="616450AE"/>
    <w:rsid w:val="61677C4E"/>
    <w:rsid w:val="618225BF"/>
    <w:rsid w:val="620E1DAE"/>
    <w:rsid w:val="623F2D40"/>
    <w:rsid w:val="625815F7"/>
    <w:rsid w:val="636075AA"/>
    <w:rsid w:val="63A82CBF"/>
    <w:rsid w:val="63D12D5E"/>
    <w:rsid w:val="63D33948"/>
    <w:rsid w:val="65EA7A9D"/>
    <w:rsid w:val="66490CE5"/>
    <w:rsid w:val="665252EA"/>
    <w:rsid w:val="66D703A9"/>
    <w:rsid w:val="66E445EF"/>
    <w:rsid w:val="67F17DEA"/>
    <w:rsid w:val="67FF0BAF"/>
    <w:rsid w:val="68910D87"/>
    <w:rsid w:val="69220D1D"/>
    <w:rsid w:val="69434E95"/>
    <w:rsid w:val="6968541B"/>
    <w:rsid w:val="69D772C1"/>
    <w:rsid w:val="6B0A3ABB"/>
    <w:rsid w:val="6B526CC7"/>
    <w:rsid w:val="6CB35FF2"/>
    <w:rsid w:val="6DBB5132"/>
    <w:rsid w:val="6DF350A8"/>
    <w:rsid w:val="6E4C0482"/>
    <w:rsid w:val="709578E2"/>
    <w:rsid w:val="70D81CAD"/>
    <w:rsid w:val="71123B06"/>
    <w:rsid w:val="7129402F"/>
    <w:rsid w:val="718B5FBC"/>
    <w:rsid w:val="723F4D5F"/>
    <w:rsid w:val="72C15E53"/>
    <w:rsid w:val="743261FE"/>
    <w:rsid w:val="74401358"/>
    <w:rsid w:val="74422B89"/>
    <w:rsid w:val="747C110F"/>
    <w:rsid w:val="74C94F26"/>
    <w:rsid w:val="75AD70A7"/>
    <w:rsid w:val="75EA2590"/>
    <w:rsid w:val="763C70D4"/>
    <w:rsid w:val="7662716B"/>
    <w:rsid w:val="769413F2"/>
    <w:rsid w:val="769A2FDC"/>
    <w:rsid w:val="76CB3DEA"/>
    <w:rsid w:val="76F41296"/>
    <w:rsid w:val="77AE3DED"/>
    <w:rsid w:val="78220A5F"/>
    <w:rsid w:val="79786DA9"/>
    <w:rsid w:val="7B1C5BFA"/>
    <w:rsid w:val="7B632193"/>
    <w:rsid w:val="7BDD1603"/>
    <w:rsid w:val="7C86358B"/>
    <w:rsid w:val="7CA5759A"/>
    <w:rsid w:val="7CA8189B"/>
    <w:rsid w:val="7D5055FC"/>
    <w:rsid w:val="7D761851"/>
    <w:rsid w:val="7DF34208"/>
    <w:rsid w:val="7E0A5EA5"/>
    <w:rsid w:val="7EE63520"/>
    <w:rsid w:val="7F0F1F7F"/>
    <w:rsid w:val="7FCD2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customStyle="1" w:styleId="5">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oleObject" Target="embeddings/oleObject2.bin"/><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1227</Words>
  <Characters>1340</Characters>
  <Lines>11</Lines>
  <Paragraphs>3</Paragraphs>
  <TotalTime>1</TotalTime>
  <ScaleCrop>false</ScaleCrop>
  <LinksUpToDate>false</LinksUpToDate>
  <CharactersWithSpaces>1397</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2021-07-27T02:39:00Z</dcterms:created>
  <dc:creator>__Mr.zuo</dc:creator>
  <cp:lastModifiedBy>温文彬</cp:lastModifiedBy>
  <cp:lastPrinted>2022-03-25T02:13:00Z</cp:lastPrinted>
  <dcterms:modified xsi:type="dcterms:W3CDTF">2022-09-26T02:42:14Z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D70BDE8A026748BD8F25A6A30660BB8D</vt:lpwstr>
  </property>
</Properties>
</file>