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/>
          <w:color w:val="000000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58" w:afterLines="60" w:afterAutospacing="0" w:line="60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重大活动食品安全监督管理工作日报表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9" w:beforeLines="4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重大活动餐饮服务提供者名称：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填表人：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填表日期：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18" w:afterLines="2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黑体" w:cs="Times New Roman"/>
          <w:color w:val="000000"/>
          <w:kern w:val="2"/>
          <w:sz w:val="30"/>
          <w:szCs w:val="30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0"/>
          <w:szCs w:val="30"/>
          <w:lang w:val="en-US" w:eastAsia="zh-CN" w:bidi="ar"/>
        </w:rPr>
        <w:t>一、基本情况</w:t>
      </w:r>
    </w:p>
    <w:tbl>
      <w:tblPr>
        <w:tblStyle w:val="4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餐次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就餐地点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供餐形式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用餐人数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食谱是否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对应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更改食谱情况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早餐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中餐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晚餐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118" w:afterLines="20" w:afterAutospacing="0" w:line="600" w:lineRule="exact"/>
        <w:ind w:left="0" w:right="0"/>
        <w:jc w:val="both"/>
        <w:rPr>
          <w:rFonts w:hint="eastAsia" w:ascii="Times New Roman" w:hAnsi="Times New Roman" w:eastAsia="黑体" w:cs="Times New Roman"/>
          <w:color w:val="000000"/>
          <w:kern w:val="2"/>
          <w:sz w:val="30"/>
          <w:szCs w:val="30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0"/>
          <w:szCs w:val="30"/>
          <w:lang w:val="en-US" w:eastAsia="zh-CN" w:bidi="ar"/>
        </w:rPr>
        <w:t>二、保障记录</w:t>
      </w:r>
    </w:p>
    <w:tbl>
      <w:tblPr>
        <w:tblStyle w:val="4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6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检查内容</w:t>
            </w:r>
          </w:p>
        </w:tc>
        <w:tc>
          <w:tcPr>
            <w:tcW w:w="6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食材验收、食品贮存、人员健康管理、食材粗加工、食材切配、餐饮具及工用具清洗消毒和保洁、食品烹饪、凉菜及水果加工、面点加工、备餐供餐、食品留样、集体用餐配送单位食品运输配送等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检查记录</w:t>
            </w:r>
          </w:p>
        </w:tc>
        <w:tc>
          <w:tcPr>
            <w:tcW w:w="6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1.快速检测情况：当日共快检     组，其中阳性检出样品   组。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不合格样品为：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2.现场检查情况：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存在问题处理情况</w:t>
            </w:r>
          </w:p>
        </w:tc>
        <w:tc>
          <w:tcPr>
            <w:tcW w:w="6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医疗组就诊情况</w:t>
            </w:r>
          </w:p>
        </w:tc>
        <w:tc>
          <w:tcPr>
            <w:tcW w:w="6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其他情况</w:t>
            </w:r>
          </w:p>
        </w:tc>
        <w:tc>
          <w:tcPr>
            <w:tcW w:w="6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1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D49AC"/>
    <w:rsid w:val="1CF33ECD"/>
    <w:rsid w:val="722D49AC"/>
    <w:rsid w:val="7889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eastAsia="宋体" w:cs="宋体"/>
      <w:sz w:val="21"/>
      <w:szCs w:val="21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2022-09-19T07:11:00Z</dcterms:created>
  <dc:creator>张春艳</dc:creator>
  <cp:lastModifiedBy>张春艳</cp:lastModifiedBy>
  <dcterms:modified xsi:type="dcterms:W3CDTF">2022-09-19T07:17:38Z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AA1AADC26D754CCEBF74AB3AAE841002</vt:lpwstr>
  </property>
</Properties>
</file>