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中山市润兴服装有限公司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4977130" cy="382397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中山市润兴服装有限公司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向我局申请变更名下用地的规划条件。我局已受理其申请，按照城乡规划相关法律、法规的有关规定，现对申请变更规划条件事项进行公示，公示如下：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不动产权证号（土地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中府国用（2009）第易040145号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中山市润兴服装有限公司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中山市三角镇高平村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6735.7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05-4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lang w:eastAsia="zh-CN"/>
        </w:rPr>
        <w:t>控制性详细规划建设指标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三类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05-4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0%、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下沉式绿地率推荐值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：≥40%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透水铺装率推荐值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：≥50%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三类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0%、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下沉式绿地率推荐值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：≥40%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透水铺装率推荐值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：≥50%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C57350"/>
    <w:rsid w:val="18003413"/>
    <w:rsid w:val="1E52514A"/>
    <w:rsid w:val="1E572F00"/>
    <w:rsid w:val="201E1D25"/>
    <w:rsid w:val="24170CDF"/>
    <w:rsid w:val="2A143102"/>
    <w:rsid w:val="2AF60D41"/>
    <w:rsid w:val="2C4D5A52"/>
    <w:rsid w:val="30414AB6"/>
    <w:rsid w:val="313F3437"/>
    <w:rsid w:val="36D72A86"/>
    <w:rsid w:val="37D55DA6"/>
    <w:rsid w:val="38F62E66"/>
    <w:rsid w:val="391E1CDA"/>
    <w:rsid w:val="39D817E8"/>
    <w:rsid w:val="3C9C770E"/>
    <w:rsid w:val="41AD1261"/>
    <w:rsid w:val="420E0105"/>
    <w:rsid w:val="42A735A9"/>
    <w:rsid w:val="43FD28CD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AC21775"/>
    <w:rsid w:val="7BB963E2"/>
    <w:rsid w:val="7DEC5DD7"/>
    <w:rsid w:val="7EBB3157"/>
    <w:rsid w:val="7F01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12</TotalTime>
  <ScaleCrop>false</ScaleCrop>
  <LinksUpToDate>false</LinksUpToDate>
  <CharactersWithSpaces>709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2022-08-08T07:03:05Z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