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textAlignment w:val="auto"/>
        <w:outlineLvl w:val="9"/>
        <w:rPr>
          <w:rFonts w:hint="eastAsia" w:ascii="黑体" w:hAnsi="黑体" w:eastAsia="黑体" w:cs="黑体"/>
          <w:snapToGrid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附件</w:t>
      </w:r>
    </w:p>
    <w:p>
      <w:pPr>
        <w:overflowPunct/>
        <w:autoSpaceDE/>
        <w:autoSpaceDN/>
        <w:adjustRightInd/>
        <w:snapToGrid/>
        <w:spacing w:line="240" w:lineRule="auto"/>
        <w:rPr>
          <w:rFonts w:hint="eastAsia" w:ascii="Calibri" w:hAnsi="Calibri" w:eastAsia="宋体" w:cs="Times New Roman"/>
          <w:snapToGrid/>
          <w:spacing w:val="0"/>
          <w:kern w:val="2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jc w:val="center"/>
        <w:textAlignment w:val="auto"/>
        <w:rPr>
          <w:rFonts w:hint="eastAsia" w:ascii="微软简标宋" w:hAnsi="微软简标宋" w:eastAsia="微软简标宋" w:cs="微软简标宋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</w:pPr>
      <w:bookmarkStart w:id="0" w:name="_GoBack"/>
      <w:r>
        <w:rPr>
          <w:rFonts w:hint="eastAsia" w:ascii="微软简标宋" w:hAnsi="微软简标宋" w:eastAsia="微软简标宋" w:cs="微软简标宋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  <w:t>古镇镇工改产业项目投资申请函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4" w:lineRule="exact"/>
        <w:jc w:val="center"/>
        <w:textAlignment w:val="auto"/>
        <w:rPr>
          <w:rFonts w:hint="eastAsia" w:ascii="微软简标宋" w:hAnsi="微软简标宋" w:eastAsia="微软简标宋" w:cs="微软简标宋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</w:pPr>
      <w:r>
        <w:rPr>
          <w:rFonts w:hint="eastAsia" w:ascii="微软简标宋" w:hAnsi="微软简标宋" w:eastAsia="微软简标宋" w:cs="微软简标宋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  <w:t>（模板）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alibri" w:hAnsi="Calibri" w:eastAsia="仿宋_GB2312" w:cs="Times New Roman"/>
          <w:snapToGrid/>
          <w:color w:val="auto"/>
          <w:spacing w:val="0"/>
          <w:kern w:val="2"/>
          <w:sz w:val="32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Times New Roman" w:hAnsi="Times New Roman" w:eastAsia="仿宋_GB2312" w:cs="Times New Roman"/>
          <w:snapToGrid/>
          <w:color w:val="auto"/>
          <w:spacing w:val="6"/>
          <w:kern w:val="2"/>
          <w:sz w:val="32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spacing w:val="6"/>
          <w:kern w:val="2"/>
          <w:sz w:val="32"/>
          <w:szCs w:val="24"/>
          <w:u w:val="none"/>
          <w:lang w:val="en-US" w:eastAsia="zh-CN"/>
        </w:rPr>
        <w:t>中山市古镇镇人民政府：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right="0" w:rightChars="0" w:firstLine="664" w:firstLineChars="200"/>
        <w:textAlignment w:val="auto"/>
        <w:outlineLvl w:val="9"/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根据《古镇镇村镇低效工业园改造升级产业项目准入细则》的指引，本公司的XX项目符合政策要求，现向贵单位审核。项目基本情况如下：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firstLine="664" w:firstLineChars="200"/>
        <w:textAlignment w:val="auto"/>
        <w:rPr>
          <w:rFonts w:hint="eastAsia" w:ascii="Times New Roman" w:hAnsi="Times New Roman" w:eastAsia="黑体" w:cs="黑体"/>
          <w:snapToGrid/>
          <w:color w:val="auto"/>
          <w:spacing w:val="6"/>
          <w:kern w:val="2"/>
          <w:sz w:val="32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snapToGrid/>
          <w:color w:val="auto"/>
          <w:spacing w:val="6"/>
          <w:kern w:val="2"/>
          <w:sz w:val="32"/>
          <w:szCs w:val="24"/>
          <w:u w:val="none"/>
          <w:lang w:val="en-US" w:eastAsia="zh-CN"/>
        </w:rPr>
        <w:t>一、项目方基本情况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包括但不限于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公司名称，成立日期，企业住所，注册资本，主营业务，市场应用，客户群体，近三年营收、纳税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、毛利率、净利润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（如有）等。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firstLine="664" w:firstLineChars="200"/>
        <w:textAlignment w:val="auto"/>
        <w:rPr>
          <w:rFonts w:hint="eastAsia" w:ascii="Times New Roman" w:hAnsi="Times New Roman" w:eastAsia="黑体" w:cs="黑体"/>
          <w:snapToGrid/>
          <w:color w:val="auto"/>
          <w:spacing w:val="6"/>
          <w:kern w:val="2"/>
          <w:sz w:val="32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snapToGrid/>
          <w:color w:val="auto"/>
          <w:spacing w:val="6"/>
          <w:kern w:val="2"/>
          <w:sz w:val="32"/>
          <w:szCs w:val="24"/>
          <w:u w:val="none"/>
          <w:lang w:val="en-US" w:eastAsia="zh-CN"/>
        </w:rPr>
        <w:t>二、XXX项目基本情况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firstLine="664" w:firstLineChars="200"/>
        <w:jc w:val="left"/>
        <w:textAlignment w:val="auto"/>
        <w:rPr>
          <w:rFonts w:hint="eastAsia" w:ascii="Times New Roman" w:hAnsi="Times New Roman" w:eastAsia="楷体_GB2312" w:cs="楷体_GB2312"/>
          <w:snapToGrid/>
          <w:color w:val="auto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楷体_GB2312" w:cs="楷体_GB2312"/>
          <w:snapToGrid/>
          <w:color w:val="auto"/>
          <w:spacing w:val="6"/>
          <w:kern w:val="2"/>
          <w:sz w:val="32"/>
          <w:szCs w:val="22"/>
          <w:lang w:val="en-US" w:eastAsia="zh-CN"/>
        </w:rPr>
        <w:t>（一）基本情况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包括但不限于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投资总额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，资金来源，可实现的年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产值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、年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税收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（税收强度）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土地权属，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主要建设内容，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产线安排，主导产业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主要进驻企业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承担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运营、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履约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监管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的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公司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试产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运营情况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（如有）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等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firstLine="664" w:firstLineChars="200"/>
        <w:jc w:val="left"/>
        <w:textAlignment w:val="auto"/>
        <w:rPr>
          <w:rFonts w:hint="default" w:ascii="Times New Roman" w:hAnsi="Times New Roman" w:eastAsia="楷体_GB2312" w:cs="楷体_GB2312"/>
          <w:snapToGrid/>
          <w:color w:val="auto"/>
          <w:spacing w:val="6"/>
          <w:kern w:val="2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楷体_GB2312"/>
          <w:snapToGrid/>
          <w:color w:val="auto"/>
          <w:spacing w:val="6"/>
          <w:kern w:val="2"/>
          <w:sz w:val="32"/>
          <w:szCs w:val="22"/>
          <w:lang w:val="en-US" w:eastAsia="zh-CN"/>
        </w:rPr>
        <w:t>（二）规划建设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包括但不限于地块信息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建设内容，建筑面积，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容积率，动工日期，竣工日期，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工改模式（产权交易、自主开发等）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对进驻企业的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履约监管方式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等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64" w:firstLineChars="200"/>
        <w:jc w:val="left"/>
        <w:textAlignment w:val="auto"/>
        <w:rPr>
          <w:rFonts w:hint="default" w:ascii="Times New Roman" w:hAnsi="Times New Roman" w:eastAsia="黑体" w:cs="Times New Roman"/>
          <w:snapToGrid/>
          <w:color w:val="auto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snapToGrid/>
          <w:color w:val="auto"/>
          <w:spacing w:val="6"/>
          <w:kern w:val="2"/>
          <w:sz w:val="32"/>
          <w:szCs w:val="2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napToGrid/>
          <w:color w:val="auto"/>
          <w:spacing w:val="6"/>
          <w:kern w:val="2"/>
          <w:sz w:val="32"/>
          <w:szCs w:val="22"/>
          <w:lang w:val="en-US" w:eastAsia="zh-CN"/>
        </w:rPr>
        <w:t>、项目亮点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包括但不限于园区拟进驻企业的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行业地位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、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科技研发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、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管理团队</w:t>
      </w: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、市场份额，投资方运营项目经验及案例</w:t>
      </w:r>
      <w:r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right="0" w:rightChars="0" w:firstLine="664" w:firstLineChars="200"/>
        <w:textAlignment w:val="auto"/>
        <w:outlineLvl w:val="9"/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本公司对上述内容、数字的真实性、完整性、合规性、一致性负责。现请贵单位审核XX项目并出具意见。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right="0" w:rightChars="0" w:firstLine="664" w:firstLineChars="200"/>
        <w:textAlignment w:val="auto"/>
        <w:outlineLvl w:val="9"/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right="0" w:rightChars="0" w:firstLine="664" w:firstLineChars="200"/>
        <w:textAlignment w:val="auto"/>
        <w:outlineLvl w:val="9"/>
        <w:rPr>
          <w:rFonts w:hint="default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  <w:t>附件：XX项目投资计划书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right="0" w:rightChars="0" w:firstLine="664" w:firstLineChars="200"/>
        <w:textAlignment w:val="auto"/>
        <w:outlineLvl w:val="9"/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right="0" w:rightChars="0" w:firstLine="664" w:firstLineChars="200"/>
        <w:textAlignment w:val="auto"/>
        <w:outlineLvl w:val="9"/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/>
        <w:jc w:val="right"/>
        <w:textAlignment w:val="auto"/>
        <w:rPr>
          <w:rFonts w:hint="default" w:ascii="Times New Roman" w:hAnsi="Times New Roman" w:eastAsia="仿宋_GB2312" w:cs="Helvetica"/>
          <w:snapToGrid w:val="0"/>
          <w:color w:val="auto"/>
          <w:spacing w:val="6"/>
          <w:kern w:val="3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Helvetica"/>
          <w:snapToGrid w:val="0"/>
          <w:color w:val="auto"/>
          <w:spacing w:val="6"/>
          <w:kern w:val="32"/>
          <w:sz w:val="32"/>
          <w:szCs w:val="32"/>
          <w:highlight w:val="none"/>
          <w:u w:val="none"/>
          <w:lang w:val="en-US" w:eastAsia="zh-CN" w:bidi="ar-SA"/>
        </w:rPr>
        <w:t>XX（公司全称）</w:t>
      </w:r>
      <w:r>
        <w:rPr>
          <w:rFonts w:hint="eastAsia" w:ascii="Times New Roman" w:hAnsi="Times New Roman" w:cs="Helvetica"/>
          <w:snapToGrid w:val="0"/>
          <w:color w:val="auto"/>
          <w:spacing w:val="6"/>
          <w:kern w:val="32"/>
          <w:sz w:val="32"/>
          <w:szCs w:val="32"/>
          <w:highlight w:val="none"/>
          <w:u w:val="none"/>
          <w:lang w:val="en-US" w:eastAsia="zh-CN" w:bidi="ar-SA"/>
        </w:rPr>
        <w:t>　　</w:t>
      </w:r>
    </w:p>
    <w:p>
      <w:pPr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 w:val="0"/>
        <w:snapToGrid w:val="0"/>
        <w:spacing w:line="336" w:lineRule="auto"/>
        <w:ind w:left="0"/>
        <w:jc w:val="right"/>
        <w:textAlignment w:val="auto"/>
        <w:rPr>
          <w:rFonts w:hint="eastAsia" w:ascii="Times New Roman" w:hAnsi="Times New Roman" w:eastAsia="仿宋_GB2312" w:cs="Helvetica"/>
          <w:snapToGrid w:val="0"/>
          <w:color w:val="auto"/>
          <w:spacing w:val="6"/>
          <w:kern w:val="3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Helvetica"/>
          <w:snapToGrid w:val="0"/>
          <w:color w:val="auto"/>
          <w:spacing w:val="6"/>
          <w:kern w:val="32"/>
          <w:sz w:val="32"/>
          <w:szCs w:val="32"/>
          <w:highlight w:val="none"/>
          <w:u w:val="none"/>
          <w:lang w:val="en-US" w:eastAsia="zh-CN" w:bidi="ar-SA"/>
        </w:rPr>
        <w:t>XX年XX月XX日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36" w:lineRule="auto"/>
        <w:ind w:left="0" w:right="0" w:rightChars="0" w:firstLine="664" w:firstLineChars="200"/>
        <w:textAlignment w:val="auto"/>
        <w:outlineLvl w:val="9"/>
        <w:rPr>
          <w:rFonts w:hint="eastAsia" w:ascii="Times New Roman" w:hAnsi="Times New Roman" w:eastAsia="仿宋_GB2312" w:cs="仿宋"/>
          <w:color w:val="auto"/>
          <w:spacing w:val="6"/>
          <w:kern w:val="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/>
        <w:jc w:val="center"/>
        <w:textAlignment w:val="auto"/>
        <w:rPr>
          <w:rFonts w:hint="eastAsia" w:ascii="Times New Roman" w:hAnsi="Times New Roman" w:eastAsia="仿宋_GB2312" w:cs="Times New Roman"/>
          <w:snapToGrid/>
          <w:color w:val="auto"/>
          <w:spacing w:val="6"/>
          <w:kern w:val="2"/>
          <w:sz w:val="32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spacing w:val="6"/>
          <w:kern w:val="2"/>
          <w:sz w:val="32"/>
          <w:szCs w:val="24"/>
          <w:u w:val="none"/>
          <w:lang w:val="en-US" w:eastAsia="zh-CN"/>
        </w:rPr>
        <w:t>（联系人：XXX，联系电话：XXXXXXX）</w:t>
      </w:r>
    </w:p>
    <w:p/>
    <w:sectPr>
      <w:footerReference r:id="rId5" w:type="default"/>
      <w:pgSz w:w="11906" w:h="16838"/>
      <w:pgMar w:top="2211" w:right="1531" w:bottom="1871" w:left="1531" w:header="851" w:footer="1474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53975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K6Xte1wAAAAoBAAAPAAAAAAAAAAEAIAAAACIAAABkcnMvZG93bnJldi54bWxQ&#10;SwECFAAUAAAACACHTuJASLb2J9wCAAAkBgAADgAAAAAAAAABACAAAAAmAQAAZHJzL2Uyb0RvYy54&#10;bWxQSwUGAAAAAAYABgBZAQAAd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64CFF"/>
    <w:rsid w:val="13D64CFF"/>
    <w:rsid w:val="2D7F3B90"/>
    <w:rsid w:val="55F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中山市古镇镇人民政府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2022-07-28T09:12:00Z</dcterms:created>
  <dc:creator>何燕欢</dc:creator>
  <cp:lastModifiedBy>何燕欢</cp:lastModifiedBy>
  <dcterms:modified xsi:type="dcterms:W3CDTF">2022-07-28T09:15:57Z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