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color w:val="auto"/>
          <w:spacing w:val="6"/>
          <w:sz w:val="44"/>
          <w:szCs w:val="44"/>
          <w:lang w:val="en-US" w:eastAsia="zh-CN"/>
        </w:rPr>
      </w:pPr>
      <w:r>
        <w:rPr>
          <w:rFonts w:hint="eastAsia" w:ascii="Times New Roman" w:hAnsi="Times New Roman" w:eastAsia="方正小标宋简体" w:cs="方正小标宋简体"/>
          <w:b w:val="0"/>
          <w:bCs w:val="0"/>
          <w:color w:val="auto"/>
          <w:spacing w:val="6"/>
          <w:sz w:val="44"/>
          <w:szCs w:val="44"/>
          <w:lang w:val="en-US" w:eastAsia="zh-CN"/>
        </w:rPr>
        <w:t>中山市政府质量奖评审准则</w:t>
      </w:r>
    </w:p>
    <w:p>
      <w:pPr>
        <w:pStyle w:val="2"/>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
        </w:rPr>
      </w:pPr>
      <w:r>
        <w:rPr>
          <w:rFonts w:hint="eastAsia" w:ascii="Times New Roman" w:hAnsi="Times New Roman" w:eastAsia="仿宋_GB2312" w:cs="仿宋_GB2312"/>
          <w:color w:val="000000"/>
          <w:sz w:val="32"/>
          <w:szCs w:val="32"/>
        </w:rPr>
        <w:t>根据《</w:t>
      </w:r>
      <w:r>
        <w:rPr>
          <w:rFonts w:hint="eastAsia" w:ascii="Times New Roman" w:hAnsi="Times New Roman" w:eastAsia="仿宋_GB2312" w:cs="仿宋_GB2312"/>
          <w:color w:val="000000"/>
          <w:sz w:val="32"/>
          <w:szCs w:val="32"/>
          <w:lang w:val="en-US" w:eastAsia="zh-CN"/>
        </w:rPr>
        <w:t>中山市政府质量奖管理办法</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中府办〔2021〕46号</w:t>
      </w:r>
      <w:r>
        <w:rPr>
          <w:rFonts w:hint="eastAsia" w:ascii="Times New Roman" w:hAnsi="Times New Roman" w:cs="仿宋_GB2312"/>
          <w:color w:val="000000"/>
          <w:sz w:val="32"/>
          <w:szCs w:val="32"/>
          <w:lang w:eastAsia="zh-CN"/>
        </w:rPr>
        <w:t>，</w:t>
      </w:r>
      <w:r>
        <w:rPr>
          <w:rFonts w:hint="eastAsia" w:ascii="Times New Roman" w:hAnsi="Times New Roman" w:eastAsia="仿宋_GB2312" w:cs="仿宋_GB2312"/>
          <w:color w:val="000000"/>
          <w:sz w:val="32"/>
          <w:szCs w:val="32"/>
          <w:lang w:eastAsia="zh-CN"/>
        </w:rPr>
        <w:t>以下简称《</w:t>
      </w:r>
      <w:r>
        <w:rPr>
          <w:rFonts w:hint="eastAsia" w:eastAsia="仿宋_GB2312" w:cs="仿宋_GB2312"/>
          <w:color w:val="000000"/>
          <w:sz w:val="32"/>
          <w:szCs w:val="32"/>
          <w:lang w:eastAsia="zh-CN"/>
        </w:rPr>
        <w:t>管理</w:t>
      </w:r>
      <w:r>
        <w:rPr>
          <w:rFonts w:hint="eastAsia" w:ascii="Times New Roman" w:hAnsi="Times New Roman" w:eastAsia="仿宋_GB2312" w:cs="仿宋_GB2312"/>
          <w:color w:val="000000"/>
          <w:sz w:val="32"/>
          <w:szCs w:val="32"/>
          <w:lang w:eastAsia="zh-CN"/>
        </w:rPr>
        <w:t>办法》）</w:t>
      </w:r>
      <w:r>
        <w:rPr>
          <w:rFonts w:hint="eastAsia" w:ascii="Times New Roman" w:hAnsi="Times New Roman" w:eastAsia="仿宋_GB2312" w:cs="仿宋_GB2312"/>
          <w:color w:val="000000"/>
          <w:sz w:val="32"/>
          <w:szCs w:val="32"/>
        </w:rPr>
        <w:t>规定，</w:t>
      </w:r>
      <w:r>
        <w:rPr>
          <w:rFonts w:hint="eastAsia" w:ascii="Times New Roman" w:hAnsi="Times New Roman" w:eastAsia="仿宋_GB2312" w:cs="仿宋_GB2312"/>
          <w:color w:val="000000"/>
          <w:sz w:val="32"/>
          <w:szCs w:val="32"/>
          <w:lang w:val="en-US" w:eastAsia="zh-CN"/>
        </w:rPr>
        <w:t>参照《广东省政府质量奖（组织）评审准则》、</w:t>
      </w:r>
      <w:r>
        <w:rPr>
          <w:rFonts w:hint="default" w:ascii="Times New Roman" w:hAnsi="Times New Roman" w:eastAsia="仿宋_GB2312" w:cs="仿宋_GB2312"/>
          <w:color w:val="000000"/>
          <w:sz w:val="32"/>
          <w:szCs w:val="32"/>
          <w:lang w:eastAsia="zh-CN"/>
        </w:rPr>
        <w:t>GB</w:t>
      </w: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lang w:eastAsia="zh-CN"/>
        </w:rPr>
        <w:t>T 19580《卓越绩效评价准则》</w:t>
      </w:r>
      <w:r>
        <w:rPr>
          <w:rFonts w:hint="eastAsia"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rPr>
        <w:t>制订</w:t>
      </w:r>
      <w:r>
        <w:rPr>
          <w:rFonts w:hint="eastAsia" w:ascii="Times New Roman" w:hAnsi="Times New Roman" w:eastAsia="仿宋_GB2312" w:cs="仿宋_GB2312"/>
          <w:color w:val="000000"/>
          <w:sz w:val="32"/>
          <w:szCs w:val="32"/>
          <w:lang w:eastAsia="zh-CN"/>
        </w:rPr>
        <w:t>中山市</w:t>
      </w:r>
      <w:r>
        <w:rPr>
          <w:rFonts w:hint="eastAsia" w:ascii="Times New Roman" w:hAnsi="Times New Roman" w:eastAsia="仿宋_GB2312" w:cs="仿宋_GB2312"/>
          <w:color w:val="000000"/>
          <w:sz w:val="32"/>
          <w:szCs w:val="32"/>
        </w:rPr>
        <w:t>政府质量奖</w:t>
      </w:r>
      <w:r>
        <w:rPr>
          <w:rFonts w:hint="eastAsia" w:ascii="Times New Roman" w:hAnsi="Times New Roman" w:eastAsia="仿宋_GB2312" w:cs="仿宋_GB2312"/>
          <w:color w:val="000000"/>
          <w:sz w:val="32"/>
          <w:szCs w:val="32"/>
          <w:lang w:val="en-US" w:eastAsia="zh-CN"/>
        </w:rPr>
        <w:t>评审准则</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
        </w:rPr>
        <w:t>评审内容如下：</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一、指标</w:t>
      </w:r>
      <w:r>
        <w:rPr>
          <w:rFonts w:hint="eastAsia" w:ascii="Times New Roman" w:hAnsi="Times New Roman" w:eastAsia="黑体" w:cs="黑体"/>
          <w:color w:val="000000"/>
          <w:sz w:val="32"/>
          <w:szCs w:val="32"/>
          <w:lang w:eastAsia="zh-CN"/>
        </w:rPr>
        <w:t>设置</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中山市</w:t>
      </w:r>
      <w:r>
        <w:rPr>
          <w:rFonts w:hint="eastAsia" w:ascii="Times New Roman" w:hAnsi="Times New Roman" w:eastAsia="仿宋_GB2312" w:cs="仿宋_GB2312"/>
          <w:color w:val="000000"/>
          <w:sz w:val="32"/>
          <w:szCs w:val="32"/>
        </w:rPr>
        <w:t>政府质量奖的评审领域具体设置为制造业、服务业、工程建设业、医疗机构（医院科室、专项医疗团队和社区医疗机构）、教育机构（义务教育阶段</w:t>
      </w:r>
      <w:r>
        <w:rPr>
          <w:rFonts w:hint="default" w:ascii="Times New Roman" w:hAnsi="Times New Roman" w:eastAsia="仿宋_GB2312" w:cs="仿宋_GB2312"/>
          <w:color w:val="000000"/>
          <w:sz w:val="32"/>
          <w:szCs w:val="32"/>
        </w:rPr>
        <w:t>小学、初中</w:t>
      </w:r>
      <w:r>
        <w:rPr>
          <w:rFonts w:hint="eastAsia" w:ascii="Times New Roman" w:hAnsi="Times New Roman" w:eastAsia="仿宋_GB2312" w:cs="仿宋_GB2312"/>
          <w:color w:val="000000"/>
          <w:sz w:val="32"/>
          <w:szCs w:val="32"/>
        </w:rPr>
        <w:t>学校和职业院校）</w:t>
      </w:r>
      <w:r>
        <w:rPr>
          <w:rFonts w:hint="eastAsia" w:ascii="Times New Roman" w:hAnsi="Times New Roman" w:eastAsia="仿宋_GB2312" w:cs="仿宋_GB2312"/>
          <w:color w:val="000000"/>
          <w:sz w:val="32"/>
          <w:szCs w:val="32"/>
          <w:lang w:val="en-US" w:eastAsia="zh-CN"/>
        </w:rPr>
        <w:t>等</w:t>
      </w:r>
      <w:r>
        <w:rPr>
          <w:rFonts w:hint="eastAsia" w:ascii="Times New Roman" w:hAnsi="Times New Roman" w:cs="仿宋_GB2312"/>
          <w:color w:val="000000"/>
          <w:sz w:val="32"/>
          <w:szCs w:val="32"/>
          <w:lang w:val="en-US" w:eastAsia="zh-CN"/>
        </w:rPr>
        <w:t>5</w:t>
      </w:r>
      <w:r>
        <w:rPr>
          <w:rFonts w:hint="eastAsia" w:ascii="Times New Roman" w:hAnsi="Times New Roman" w:eastAsia="仿宋_GB2312" w:cs="仿宋_GB2312"/>
          <w:color w:val="000000"/>
          <w:sz w:val="32"/>
          <w:szCs w:val="32"/>
          <w:lang w:val="en-US" w:eastAsia="zh-CN"/>
        </w:rPr>
        <w:t>大类组织</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评审准则包括</w:t>
      </w:r>
      <w:r>
        <w:rPr>
          <w:rFonts w:hint="eastAsia" w:ascii="Times New Roman" w:hAnsi="Times New Roman" w:eastAsia="仿宋_GB2312" w:cs="仿宋_GB2312"/>
          <w:color w:val="000000"/>
          <w:sz w:val="32"/>
          <w:szCs w:val="32"/>
        </w:rPr>
        <w:t>领导、质量、创新、品牌和效益等5</w:t>
      </w:r>
      <w:r>
        <w:rPr>
          <w:rFonts w:hint="eastAsia" w:ascii="Times New Roman" w:hAnsi="Times New Roman" w:eastAsia="仿宋_GB2312" w:cs="仿宋_GB2312"/>
          <w:color w:val="000000"/>
          <w:sz w:val="32"/>
          <w:szCs w:val="32"/>
          <w:lang w:val="en-US" w:eastAsia="zh-CN"/>
        </w:rPr>
        <w:t>大部分</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由</w:t>
      </w:r>
      <w:r>
        <w:rPr>
          <w:rFonts w:hint="eastAsia" w:ascii="Times New Roman" w:hAnsi="Times New Roman" w:eastAsia="仿宋_GB2312" w:cs="仿宋_GB2312"/>
          <w:color w:val="000000"/>
          <w:sz w:val="32"/>
          <w:szCs w:val="32"/>
        </w:rPr>
        <w:t>一级评价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、二级评价</w:t>
      </w:r>
      <w:r>
        <w:rPr>
          <w:rFonts w:hint="eastAsia" w:ascii="Times New Roman" w:hAnsi="Times New Roman" w:eastAsia="仿宋_GB2312" w:cs="仿宋_GB2312"/>
          <w:color w:val="000000"/>
          <w:sz w:val="32"/>
          <w:szCs w:val="32"/>
          <w:lang w:eastAsia="zh-CN"/>
        </w:rPr>
        <w:t>指标</w:t>
      </w:r>
      <w:r>
        <w:rPr>
          <w:rFonts w:hint="eastAsia" w:ascii="Times New Roman" w:hAnsi="Times New Roman" w:eastAsia="仿宋_GB2312" w:cs="仿宋_GB2312"/>
          <w:color w:val="000000"/>
          <w:sz w:val="32"/>
          <w:szCs w:val="32"/>
        </w:rPr>
        <w:t>和</w:t>
      </w:r>
      <w:r>
        <w:rPr>
          <w:rFonts w:hint="eastAsia" w:eastAsia="仿宋_GB2312" w:cs="仿宋_GB2312"/>
          <w:color w:val="000000"/>
          <w:sz w:val="32"/>
          <w:szCs w:val="32"/>
          <w:lang w:eastAsia="zh-CN"/>
        </w:rPr>
        <w:t>评价</w:t>
      </w:r>
      <w:r>
        <w:rPr>
          <w:rFonts w:hint="eastAsia" w:ascii="Times New Roman" w:hAnsi="Times New Roman" w:eastAsia="仿宋_GB2312" w:cs="仿宋_GB2312"/>
          <w:color w:val="000000"/>
          <w:sz w:val="32"/>
          <w:szCs w:val="32"/>
        </w:rPr>
        <w:t>要点三部分</w:t>
      </w:r>
      <w:r>
        <w:rPr>
          <w:rFonts w:hint="eastAsia" w:ascii="Times New Roman" w:hAnsi="Times New Roman" w:eastAsia="仿宋_GB2312" w:cs="仿宋_GB2312"/>
          <w:color w:val="000000"/>
          <w:sz w:val="32"/>
          <w:szCs w:val="32"/>
          <w:lang w:val="en-US" w:eastAsia="zh-CN"/>
        </w:rPr>
        <w:t>组成</w:t>
      </w:r>
      <w:r>
        <w:rPr>
          <w:rFonts w:hint="eastAsia" w:ascii="Times New Roman" w:hAnsi="Times New Roman" w:eastAsia="仿宋_GB2312" w:cs="仿宋_GB2312"/>
          <w:color w:val="000000"/>
          <w:sz w:val="32"/>
          <w:szCs w:val="32"/>
        </w:rPr>
        <w:t>。</w:t>
      </w:r>
    </w:p>
    <w:p>
      <w:pPr>
        <w:widowControl w:val="0"/>
        <w:pBdr>
          <w:top w:val="none" w:color="auto" w:sz="0" w:space="0"/>
          <w:left w:val="none" w:color="auto" w:sz="0" w:space="0"/>
          <w:bottom w:val="none" w:color="auto" w:sz="0" w:space="0"/>
          <w:right w:val="none" w:color="auto" w:sz="0" w:space="0"/>
        </w:pBdr>
        <w:spacing w:line="580" w:lineRule="exact"/>
        <w:ind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制造业、服务业、工程建设业</w:t>
      </w:r>
      <w:r>
        <w:rPr>
          <w:rFonts w:hint="eastAsia" w:ascii="Times New Roman" w:hAnsi="Times New Roman" w:eastAsia="仿宋_GB2312" w:cs="仿宋_GB2312"/>
          <w:color w:val="000000"/>
          <w:sz w:val="32"/>
          <w:szCs w:val="32"/>
          <w:lang w:val="en-US" w:eastAsia="zh-CN"/>
        </w:rPr>
        <w:t>组织评价</w:t>
      </w:r>
      <w:r>
        <w:rPr>
          <w:rFonts w:hint="eastAsia" w:ascii="Times New Roman" w:hAnsi="Times New Roman" w:eastAsia="仿宋_GB2312" w:cs="仿宋_GB2312"/>
          <w:color w:val="000000"/>
          <w:sz w:val="32"/>
          <w:szCs w:val="32"/>
        </w:rPr>
        <w:t>指标</w:t>
      </w:r>
      <w:r>
        <w:rPr>
          <w:rFonts w:hint="eastAsia" w:ascii="Times New Roman" w:hAnsi="Times New Roman" w:eastAsia="仿宋_GB2312" w:cs="仿宋_GB2312"/>
          <w:color w:val="000000"/>
          <w:sz w:val="32"/>
          <w:szCs w:val="32"/>
          <w:lang w:val="en-US" w:eastAsia="zh-CN"/>
        </w:rPr>
        <w:t>及</w:t>
      </w:r>
      <w:r>
        <w:rPr>
          <w:rFonts w:hint="eastAsia" w:ascii="Times New Roman" w:hAnsi="Times New Roman" w:eastAsia="仿宋_GB2312" w:cs="仿宋_GB2312"/>
          <w:color w:val="000000"/>
          <w:sz w:val="32"/>
          <w:szCs w:val="32"/>
        </w:rPr>
        <w:t>分值分布如表1所示。</w:t>
      </w:r>
    </w:p>
    <w:p>
      <w:pPr>
        <w:pStyle w:val="2"/>
        <w:ind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表1  </w:t>
      </w:r>
      <w:r>
        <w:rPr>
          <w:rFonts w:hint="eastAsia" w:ascii="仿宋_GB2312" w:hAnsi="仿宋_GB2312" w:eastAsia="仿宋_GB2312" w:cs="仿宋_GB2312"/>
          <w:sz w:val="28"/>
          <w:szCs w:val="28"/>
          <w:lang w:eastAsia="zh-CN"/>
        </w:rPr>
        <w:t>中山市</w:t>
      </w:r>
      <w:r>
        <w:rPr>
          <w:rFonts w:hint="eastAsia" w:ascii="仿宋_GB2312" w:hAnsi="仿宋_GB2312" w:eastAsia="仿宋_GB2312" w:cs="仿宋_GB2312"/>
          <w:sz w:val="28"/>
          <w:szCs w:val="28"/>
        </w:rPr>
        <w:t>政府质量奖制造业、服务业、工程建设业评价指标</w:t>
      </w:r>
    </w:p>
    <w:tbl>
      <w:tblPr>
        <w:tblStyle w:val="7"/>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88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一级评价指标</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黑体" w:hAnsi="黑体" w:eastAsia="黑体" w:cs="黑体"/>
                <w:b w:val="0"/>
                <w:bCs w:val="0"/>
                <w:color w:val="000000"/>
                <w:spacing w:val="0"/>
                <w:w w:val="100"/>
                <w:sz w:val="24"/>
                <w:szCs w:val="24"/>
              </w:rPr>
            </w:pPr>
            <w:r>
              <w:rPr>
                <w:rFonts w:hint="eastAsia" w:ascii="黑体" w:hAnsi="黑体" w:eastAsia="黑体" w:cs="黑体"/>
                <w:b w:val="0"/>
                <w:bCs w:val="0"/>
                <w:color w:val="000000"/>
                <w:spacing w:val="0"/>
                <w:w w:val="100"/>
                <w:sz w:val="24"/>
                <w:szCs w:val="24"/>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cs="Times New Roman"/>
                <w:color w:val="000000"/>
                <w:spacing w:val="0"/>
                <w:w w:val="100"/>
                <w:sz w:val="24"/>
                <w:szCs w:val="24"/>
                <w:lang w:val="en-US" w:eastAsia="zh-CN"/>
              </w:rPr>
              <w:t xml:space="preserve">  </w:t>
            </w:r>
            <w:r>
              <w:rPr>
                <w:rFonts w:hint="eastAsia" w:ascii="Times New Roman" w:hAnsi="Times New Roman" w:eastAsia="宋体" w:cs="Times New Roman"/>
                <w:color w:val="000000"/>
                <w:spacing w:val="0"/>
                <w:w w:val="100"/>
                <w:sz w:val="24"/>
                <w:szCs w:val="24"/>
                <w:lang w:val="en-US" w:eastAsia="zh-CN"/>
              </w:rPr>
              <w:t>1.</w:t>
            </w:r>
            <w:r>
              <w:rPr>
                <w:rFonts w:hint="default" w:ascii="Times New Roman" w:hAnsi="Times New Roman" w:eastAsia="宋体" w:cs="Times New Roman"/>
                <w:color w:val="000000"/>
                <w:spacing w:val="0"/>
                <w:w w:val="100"/>
                <w:sz w:val="24"/>
                <w:szCs w:val="24"/>
              </w:rPr>
              <w:t>1企业家精神（30分）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w:t>
            </w:r>
            <w:r>
              <w:rPr>
                <w:rFonts w:hint="eastAsia"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组织文化（</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战略管理（</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组织治理（</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1.</w:t>
            </w:r>
            <w:r>
              <w:rPr>
                <w:rFonts w:hint="eastAsia" w:ascii="Times New Roman" w:hAnsi="Times New Roman" w:eastAsia="宋体" w:cs="Times New Roman"/>
                <w:color w:val="000000"/>
                <w:spacing w:val="0"/>
                <w:w w:val="100"/>
                <w:sz w:val="24"/>
                <w:szCs w:val="24"/>
                <w:lang w:val="en-US" w:eastAsia="zh-CN"/>
              </w:rPr>
              <w:t>5</w:t>
            </w:r>
            <w:r>
              <w:rPr>
                <w:rFonts w:hint="default" w:ascii="Times New Roman" w:hAnsi="Times New Roman" w:eastAsia="宋体" w:cs="Times New Roman"/>
                <w:color w:val="000000"/>
                <w:spacing w:val="0"/>
                <w:w w:val="100"/>
                <w:sz w:val="24"/>
                <w:szCs w:val="24"/>
              </w:rPr>
              <w:t>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default"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.1管理体系</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.2顾客需求</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.3质量协同</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.4质量基础</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.5教育培训</w:t>
            </w:r>
            <w:r>
              <w:rPr>
                <w:rFonts w:hint="default" w:ascii="Times New Roman" w:hAnsi="Times New Roman" w:eastAsia="宋体" w:cs="Times New Roman"/>
                <w:color w:val="000000"/>
                <w:spacing w:val="0"/>
                <w:w w:val="100"/>
                <w:sz w:val="24"/>
                <w:szCs w:val="24"/>
              </w:rPr>
              <w:t>（</w:t>
            </w:r>
            <w:r>
              <w:rPr>
                <w:rFonts w:hint="default"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sz w:val="24"/>
                <w:szCs w:val="24"/>
                <w:lang w:val="en-US" w:eastAsia="zh-CN"/>
              </w:rPr>
            </w:pPr>
            <w:r>
              <w:rPr>
                <w:rFonts w:hint="default" w:ascii="Times New Roman" w:hAnsi="Times New Roman" w:eastAsia="宋体" w:cs="Times New Roman"/>
                <w:spacing w:val="0"/>
                <w:w w:val="100"/>
                <w:sz w:val="24"/>
                <w:szCs w:val="24"/>
                <w:lang w:val="en-US" w:eastAsia="zh-CN"/>
              </w:rPr>
              <w:t>2</w:t>
            </w:r>
            <w:r>
              <w:rPr>
                <w:rFonts w:hint="default" w:ascii="Times New Roman" w:hAnsi="Times New Roman" w:eastAsia="宋体" w:cs="Times New Roman"/>
                <w:spacing w:val="0"/>
                <w:w w:val="100"/>
                <w:sz w:val="24"/>
                <w:szCs w:val="24"/>
              </w:rPr>
              <w:t>.6</w:t>
            </w:r>
            <w:r>
              <w:rPr>
                <w:rFonts w:hint="default" w:ascii="Times New Roman" w:hAnsi="Times New Roman" w:eastAsia="宋体" w:cs="Times New Roman"/>
                <w:spacing w:val="0"/>
                <w:w w:val="100"/>
                <w:sz w:val="24"/>
                <w:szCs w:val="24"/>
                <w:lang w:val="en-US" w:eastAsia="zh-CN"/>
              </w:rPr>
              <w:t>工匠精神（40分）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lang w:val="en-US" w:eastAsia="zh-CN"/>
              </w:rPr>
              <w:t>2.7</w:t>
            </w:r>
            <w:r>
              <w:rPr>
                <w:rFonts w:hint="default" w:ascii="Times New Roman" w:hAnsi="Times New Roman" w:eastAsia="宋体" w:cs="Times New Roman"/>
                <w:spacing w:val="0"/>
                <w:w w:val="100"/>
                <w:sz w:val="24"/>
                <w:szCs w:val="24"/>
              </w:rPr>
              <w:t>质量</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color w:val="000000"/>
                <w:spacing w:val="0"/>
                <w:w w:val="100"/>
                <w:sz w:val="24"/>
                <w:szCs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8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default"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kern w:val="0"/>
                <w:sz w:val="24"/>
                <w:szCs w:val="24"/>
                <w:lang w:val="en-US" w:eastAsia="zh-CN" w:bidi="ar"/>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w:t>
            </w:r>
            <w:r>
              <w:rPr>
                <w:rFonts w:hint="default" w:ascii="Times New Roman" w:hAnsi="Times New Roman" w:eastAsia="宋体" w:cs="Times New Roman"/>
                <w:color w:val="000000"/>
                <w:spacing w:val="0"/>
                <w:w w:val="100"/>
                <w:sz w:val="24"/>
                <w:szCs w:val="24"/>
                <w:lang w:val="en-US" w:eastAsia="zh-CN"/>
              </w:rPr>
              <w:t>动力变革</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kern w:val="0"/>
                <w:sz w:val="24"/>
                <w:szCs w:val="24"/>
                <w:lang w:val="en-US" w:eastAsia="zh-CN" w:bidi="ar"/>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kern w:val="0"/>
                <w:sz w:val="24"/>
                <w:szCs w:val="24"/>
                <w:lang w:val="en-US" w:eastAsia="zh-CN" w:bidi="ar"/>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.3管理创新（45分）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.4技术创新（45分）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4.品牌（</w:t>
            </w:r>
            <w:r>
              <w:rPr>
                <w:rFonts w:hint="default" w:ascii="Times New Roman" w:hAnsi="Times New Roman" w:eastAsia="宋体" w:cs="Times New Roman"/>
                <w:color w:val="000000"/>
                <w:spacing w:val="0"/>
                <w:w w:val="100"/>
                <w:sz w:val="24"/>
                <w:szCs w:val="24"/>
                <w:lang w:val="en-US" w:eastAsia="zh-CN"/>
              </w:rPr>
              <w:t>100</w:t>
            </w:r>
            <w:r>
              <w:rPr>
                <w:rFonts w:hint="default" w:ascii="Times New Roman" w:hAnsi="Times New Roman" w:eastAsia="宋体" w:cs="Times New Roman"/>
                <w:color w:val="000000"/>
                <w:spacing w:val="0"/>
                <w:w w:val="100"/>
                <w:sz w:val="24"/>
                <w:szCs w:val="24"/>
              </w:rPr>
              <w:t>分）</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4.1品牌规划</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4.2品牌管理</w:t>
            </w:r>
            <w:r>
              <w:rPr>
                <w:rFonts w:hint="default" w:ascii="Times New Roman" w:hAnsi="Times New Roman" w:eastAsia="宋体" w:cs="Times New Roman"/>
                <w:color w:val="000000"/>
                <w:spacing w:val="0"/>
                <w:w w:val="100"/>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spacing w:val="0"/>
                <w:w w:val="100"/>
                <w:sz w:val="24"/>
                <w:szCs w:val="24"/>
              </w:rPr>
              <w:t>4.3品牌保护</w:t>
            </w:r>
            <w:r>
              <w:rPr>
                <w:rFonts w:hint="default" w:ascii="Times New Roman" w:hAnsi="Times New Roman" w:eastAsia="宋体" w:cs="Times New Roman"/>
                <w:color w:val="000000"/>
                <w:spacing w:val="0"/>
                <w:w w:val="1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80"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default" w:ascii="Times New Roman" w:hAnsi="Times New Roman" w:eastAsia="宋体" w:cs="Times New Roman"/>
                <w:color w:val="000000"/>
                <w:spacing w:val="0"/>
                <w:w w:val="100"/>
                <w:sz w:val="24"/>
                <w:szCs w:val="24"/>
                <w:lang w:val="en-US" w:eastAsia="zh-CN"/>
              </w:rPr>
              <w:t>250</w:t>
            </w:r>
            <w:r>
              <w:rPr>
                <w:rFonts w:hint="default" w:ascii="Times New Roman" w:hAnsi="Times New Roman" w:eastAsia="宋体" w:cs="Times New Roman"/>
                <w:color w:val="000000"/>
                <w:spacing w:val="0"/>
                <w:w w:val="100"/>
                <w:sz w:val="24"/>
                <w:szCs w:val="24"/>
              </w:rPr>
              <w:t>分）</w:t>
            </w: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kern w:val="0"/>
                <w:sz w:val="24"/>
                <w:szCs w:val="24"/>
                <w:lang w:val="en-US" w:eastAsia="zh-CN" w:bidi="ar"/>
              </w:rPr>
            </w:pPr>
            <w:r>
              <w:rPr>
                <w:rFonts w:hint="default" w:ascii="Times New Roman" w:hAnsi="Times New Roman" w:eastAsia="宋体" w:cs="Times New Roman"/>
                <w:spacing w:val="0"/>
                <w:w w:val="100"/>
                <w:sz w:val="24"/>
                <w:szCs w:val="24"/>
                <w:lang w:val="en-US" w:eastAsia="zh-CN"/>
              </w:rPr>
              <w:t>5.1</w:t>
            </w:r>
            <w:r>
              <w:rPr>
                <w:rFonts w:hint="default" w:ascii="Times New Roman" w:hAnsi="Times New Roman" w:eastAsia="宋体" w:cs="Times New Roman"/>
                <w:spacing w:val="0"/>
                <w:w w:val="100"/>
                <w:sz w:val="24"/>
                <w:szCs w:val="24"/>
              </w:rPr>
              <w:t>质量水平（</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kern w:val="0"/>
                <w:sz w:val="24"/>
                <w:szCs w:val="24"/>
                <w:lang w:val="en-US" w:eastAsia="zh-CN" w:bidi="ar"/>
              </w:rPr>
            </w:pPr>
            <w:r>
              <w:rPr>
                <w:rFonts w:hint="default" w:ascii="Times New Roman" w:hAnsi="Times New Roman" w:eastAsia="宋体" w:cs="Times New Roman"/>
                <w:spacing w:val="0"/>
                <w:w w:val="100"/>
                <w:sz w:val="24"/>
                <w:szCs w:val="24"/>
                <w:lang w:val="en-US" w:eastAsia="zh-CN"/>
              </w:rPr>
              <w:t>5.2</w:t>
            </w:r>
            <w:r>
              <w:rPr>
                <w:rFonts w:hint="default" w:ascii="Times New Roman" w:hAnsi="Times New Roman" w:eastAsia="宋体" w:cs="Times New Roman"/>
                <w:spacing w:val="0"/>
                <w:w w:val="100"/>
                <w:sz w:val="24"/>
                <w:szCs w:val="24"/>
              </w:rPr>
              <w:t>创新价值（</w:t>
            </w:r>
            <w:r>
              <w:rPr>
                <w:rFonts w:hint="default" w:ascii="Times New Roman" w:hAnsi="Times New Roman" w:eastAsia="宋体" w:cs="Times New Roman"/>
                <w:spacing w:val="0"/>
                <w:w w:val="100"/>
                <w:sz w:val="24"/>
                <w:szCs w:val="24"/>
                <w:lang w:val="en-US" w:eastAsia="zh-CN"/>
              </w:rPr>
              <w:t>3</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80"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kern w:val="0"/>
                <w:sz w:val="24"/>
                <w:szCs w:val="24"/>
                <w:lang w:val="en-US" w:eastAsia="zh-CN" w:bidi="ar"/>
              </w:rPr>
            </w:pPr>
            <w:r>
              <w:rPr>
                <w:rFonts w:hint="default" w:ascii="Times New Roman" w:hAnsi="Times New Roman" w:eastAsia="宋体" w:cs="Times New Roman"/>
                <w:spacing w:val="0"/>
                <w:w w:val="100"/>
                <w:sz w:val="24"/>
                <w:szCs w:val="24"/>
                <w:lang w:val="en-US" w:eastAsia="zh-CN"/>
              </w:rPr>
              <w:t>5.3</w:t>
            </w:r>
            <w:r>
              <w:rPr>
                <w:rFonts w:hint="default" w:ascii="Times New Roman" w:hAnsi="Times New Roman" w:eastAsia="宋体" w:cs="Times New Roman"/>
                <w:spacing w:val="0"/>
                <w:w w:val="100"/>
                <w:sz w:val="24"/>
                <w:szCs w:val="24"/>
              </w:rPr>
              <w:t>品牌影响（30分）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continue"/>
            <w:noWrap w:val="0"/>
            <w:vAlign w:val="top"/>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绿色成效（</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80" w:type="dxa"/>
            <w:vMerge w:val="continue"/>
            <w:noWrap w:val="0"/>
            <w:vAlign w:val="top"/>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5</w:t>
            </w:r>
            <w:r>
              <w:rPr>
                <w:rFonts w:hint="default" w:ascii="Times New Roman" w:hAnsi="Times New Roman" w:eastAsia="宋体" w:cs="Times New Roman"/>
                <w:spacing w:val="0"/>
                <w:w w:val="100"/>
                <w:sz w:val="24"/>
                <w:szCs w:val="24"/>
              </w:rPr>
              <w:t>效率</w:t>
            </w:r>
            <w:r>
              <w:rPr>
                <w:rFonts w:hint="default" w:ascii="Times New Roman" w:hAnsi="Times New Roman" w:eastAsia="宋体" w:cs="Times New Roman"/>
                <w:spacing w:val="0"/>
                <w:w w:val="100"/>
                <w:sz w:val="24"/>
                <w:szCs w:val="24"/>
                <w:lang w:val="en-US" w:eastAsia="zh-CN"/>
              </w:rPr>
              <w:t>变革</w:t>
            </w:r>
            <w:r>
              <w:rPr>
                <w:rFonts w:hint="default" w:ascii="Times New Roman" w:hAnsi="Times New Roman" w:eastAsia="宋体" w:cs="Times New Roman"/>
                <w:spacing w:val="0"/>
                <w:w w:val="100"/>
                <w:sz w:val="24"/>
                <w:szCs w:val="24"/>
              </w:rPr>
              <w:t>（</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880" w:type="dxa"/>
            <w:vMerge w:val="continue"/>
            <w:noWrap w:val="0"/>
            <w:vAlign w:val="top"/>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6</w:t>
            </w:r>
            <w:r>
              <w:rPr>
                <w:rFonts w:hint="default" w:ascii="Times New Roman" w:hAnsi="Times New Roman" w:eastAsia="宋体" w:cs="Times New Roman"/>
                <w:spacing w:val="0"/>
                <w:w w:val="100"/>
                <w:sz w:val="24"/>
                <w:szCs w:val="24"/>
              </w:rPr>
              <w:t>经济效益（</w:t>
            </w:r>
            <w:r>
              <w:rPr>
                <w:rFonts w:hint="default" w:ascii="Times New Roman" w:hAnsi="Times New Roman" w:eastAsia="宋体" w:cs="Times New Roman"/>
                <w:spacing w:val="0"/>
                <w:w w:val="100"/>
                <w:sz w:val="24"/>
                <w:szCs w:val="24"/>
                <w:lang w:val="en-US" w:eastAsia="zh-CN"/>
              </w:rPr>
              <w:t>4</w:t>
            </w:r>
            <w:r>
              <w:rPr>
                <w:rFonts w:hint="default" w:ascii="Times New Roman" w:hAnsi="Times New Roman" w:eastAsia="宋体" w:cs="Times New Roman"/>
                <w:spacing w:val="0"/>
                <w:w w:val="10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80" w:type="dxa"/>
            <w:vMerge w:val="continue"/>
            <w:noWrap w:val="0"/>
            <w:vAlign w:val="top"/>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center"/>
              <w:textAlignment w:val="auto"/>
              <w:rPr>
                <w:rFonts w:hint="default" w:ascii="Times New Roman" w:hAnsi="Times New Roman" w:eastAsia="宋体" w:cs="Times New Roman"/>
                <w:color w:val="000000"/>
                <w:spacing w:val="0"/>
                <w:w w:val="100"/>
                <w:sz w:val="24"/>
                <w:szCs w:val="24"/>
              </w:rPr>
            </w:pPr>
          </w:p>
        </w:tc>
        <w:tc>
          <w:tcPr>
            <w:tcW w:w="6288"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ind w:left="0" w:leftChars="0" w:right="0" w:rightChars="0"/>
              <w:jc w:val="center"/>
              <w:textAlignment w:val="auto"/>
              <w:rPr>
                <w:rFonts w:hint="default" w:ascii="Times New Roman" w:hAnsi="Times New Roman" w:eastAsia="宋体" w:cs="Times New Roman"/>
                <w:spacing w:val="0"/>
                <w:w w:val="100"/>
                <w:sz w:val="24"/>
                <w:szCs w:val="24"/>
              </w:rPr>
            </w:pPr>
            <w:r>
              <w:rPr>
                <w:rFonts w:hint="default" w:ascii="Times New Roman" w:hAnsi="Times New Roman" w:eastAsia="宋体" w:cs="Times New Roman"/>
                <w:spacing w:val="0"/>
                <w:w w:val="100"/>
                <w:sz w:val="24"/>
                <w:szCs w:val="24"/>
              </w:rPr>
              <w:t>5.</w:t>
            </w:r>
            <w:r>
              <w:rPr>
                <w:rFonts w:hint="default" w:ascii="Times New Roman" w:hAnsi="Times New Roman" w:eastAsia="宋体" w:cs="Times New Roman"/>
                <w:spacing w:val="0"/>
                <w:w w:val="100"/>
                <w:sz w:val="24"/>
                <w:szCs w:val="24"/>
                <w:lang w:val="en-US" w:eastAsia="zh-CN"/>
              </w:rPr>
              <w:t>7</w:t>
            </w:r>
            <w:r>
              <w:rPr>
                <w:rFonts w:hint="default" w:ascii="Times New Roman" w:hAnsi="Times New Roman" w:eastAsia="宋体" w:cs="Times New Roman"/>
                <w:spacing w:val="0"/>
                <w:w w:val="100"/>
                <w:sz w:val="24"/>
                <w:szCs w:val="24"/>
              </w:rPr>
              <w:t>社会效益（30分）</w:t>
            </w:r>
          </w:p>
        </w:tc>
      </w:tr>
    </w:tbl>
    <w:p>
      <w:pPr>
        <w:pBdr>
          <w:top w:val="none" w:color="auto" w:sz="0" w:space="0"/>
          <w:left w:val="none" w:color="auto" w:sz="0" w:space="0"/>
          <w:bottom w:val="none" w:color="auto" w:sz="0" w:space="0"/>
          <w:right w:val="none" w:color="auto" w:sz="0" w:space="0"/>
        </w:pBdr>
        <w:ind w:firstLine="640" w:firstLineChars="200"/>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pacing w:val="0"/>
          <w:w w:val="100"/>
          <w:sz w:val="32"/>
          <w:szCs w:val="32"/>
        </w:rPr>
        <w:t>医疗机构（医院科室、专项医疗团队和社区医疗机构）</w:t>
      </w:r>
      <w:r>
        <w:rPr>
          <w:rFonts w:hint="default" w:ascii="Times New Roman" w:hAnsi="Times New Roman" w:eastAsia="仿宋_GB2312" w:cs="仿宋_GB2312"/>
          <w:color w:val="000000"/>
          <w:spacing w:val="0"/>
          <w:w w:val="100"/>
          <w:sz w:val="32"/>
          <w:szCs w:val="32"/>
          <w:lang w:val="en-US" w:eastAsia="zh-CN"/>
        </w:rPr>
        <w:t>组织</w:t>
      </w:r>
      <w:r>
        <w:rPr>
          <w:rFonts w:hint="default" w:ascii="Times New Roman" w:hAnsi="Times New Roman" w:eastAsia="仿宋_GB2312" w:cs="仿宋_GB2312"/>
          <w:color w:val="000000"/>
          <w:sz w:val="32"/>
          <w:szCs w:val="32"/>
          <w:lang w:val="en-US" w:eastAsia="zh-CN"/>
        </w:rPr>
        <w:t>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分值分布如表2所示。</w:t>
      </w:r>
    </w:p>
    <w:p>
      <w:pPr>
        <w:pStyle w:val="2"/>
        <w:ind w:firstLine="2240" w:firstLineChars="800"/>
        <w:rPr>
          <w:rFonts w:hint="default"/>
        </w:rPr>
      </w:pPr>
      <w:r>
        <w:rPr>
          <w:rFonts w:hint="default" w:ascii="Times New Roman" w:hAnsi="Times New Roman" w:eastAsia="仿宋_GB2312" w:cs="仿宋_GB2312"/>
          <w:color w:val="000000"/>
          <w:sz w:val="28"/>
          <w:szCs w:val="28"/>
        </w:rPr>
        <w:t xml:space="preserve">表2 </w:t>
      </w:r>
      <w:r>
        <w:rPr>
          <w:rFonts w:hint="eastAsia" w:ascii="Times New Roman" w:hAnsi="Times New Roman" w:eastAsia="仿宋_GB2312" w:cs="仿宋_GB2312"/>
          <w:color w:val="000000"/>
          <w:sz w:val="28"/>
          <w:szCs w:val="28"/>
          <w:lang w:val="en-US" w:eastAsia="zh-CN"/>
        </w:rPr>
        <w:t>中山市</w:t>
      </w:r>
      <w:r>
        <w:rPr>
          <w:rFonts w:hint="default" w:ascii="Times New Roman" w:hAnsi="Times New Roman" w:eastAsia="仿宋_GB2312" w:cs="仿宋_GB2312"/>
          <w:color w:val="000000"/>
          <w:sz w:val="28"/>
          <w:szCs w:val="28"/>
        </w:rPr>
        <w:t>政府质量奖医疗机构评</w:t>
      </w:r>
      <w:r>
        <w:rPr>
          <w:rFonts w:hint="default" w:ascii="Times New Roman" w:hAnsi="Times New Roman" w:eastAsia="仿宋_GB2312" w:cs="仿宋_GB2312"/>
          <w:color w:val="000000"/>
          <w:sz w:val="28"/>
          <w:szCs w:val="28"/>
          <w:lang w:val="en-US"/>
        </w:rPr>
        <w:t>价</w:t>
      </w:r>
      <w:r>
        <w:rPr>
          <w:rFonts w:hint="default" w:ascii="Times New Roman" w:hAnsi="Times New Roman" w:eastAsia="仿宋_GB2312" w:cs="仿宋_GB2312"/>
          <w:color w:val="000000"/>
          <w:sz w:val="28"/>
          <w:szCs w:val="28"/>
        </w:rPr>
        <w:t>指标</w:t>
      </w:r>
    </w:p>
    <w:tbl>
      <w:tblPr>
        <w:tblStyle w:val="7"/>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897"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897"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1.1团队建设（50分）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1.2文化理念（50分）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1.3社会责任（50分）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97"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w:t>
            </w:r>
            <w:r>
              <w:rPr>
                <w:rFonts w:hint="eastAsia" w:ascii="Times New Roman" w:hAnsi="Times New Roman" w:eastAsia="宋体" w:cs="Times New Roman"/>
                <w:color w:val="000000"/>
                <w:spacing w:val="0"/>
                <w:w w:val="100"/>
                <w:sz w:val="24"/>
                <w:szCs w:val="24"/>
                <w:lang w:val="en-US" w:eastAsia="zh-CN"/>
              </w:rPr>
              <w:t>00</w:t>
            </w:r>
            <w:r>
              <w:rPr>
                <w:rFonts w:hint="default" w:ascii="Times New Roman" w:hAnsi="Times New Roman" w:eastAsia="宋体" w:cs="Times New Roman"/>
                <w:color w:val="000000"/>
                <w:spacing w:val="0"/>
                <w:w w:val="100"/>
                <w:sz w:val="24"/>
                <w:szCs w:val="24"/>
              </w:rPr>
              <w:t>分）</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.1质量管理（60分）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.2质量安全（70分）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.3医防协同（50分）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.4教育培训（65分）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.5持续改进（55分）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897"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.1创新能力（80分）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.2服务创新（60分）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897"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4.1医患关系（75分）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4.2医务保护（75分）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897"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w:t>
            </w:r>
            <w:r>
              <w:rPr>
                <w:rFonts w:hint="eastAsia" w:ascii="Times New Roman" w:hAnsi="Times New Roman" w:eastAsia="宋体" w:cs="Times New Roman"/>
                <w:color w:val="000000"/>
                <w:spacing w:val="0"/>
                <w:w w:val="100"/>
                <w:sz w:val="24"/>
                <w:szCs w:val="24"/>
                <w:lang w:val="en-US" w:eastAsia="zh-CN"/>
              </w:rPr>
              <w:t>200</w:t>
            </w:r>
            <w:r>
              <w:rPr>
                <w:rFonts w:hint="default" w:ascii="Times New Roman" w:hAnsi="Times New Roman" w:eastAsia="宋体" w:cs="Times New Roman"/>
                <w:color w:val="000000"/>
                <w:spacing w:val="0"/>
                <w:w w:val="100"/>
                <w:sz w:val="24"/>
                <w:szCs w:val="24"/>
              </w:rPr>
              <w:t>分）</w:t>
            </w: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质量水平（50分）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eastAsia" w:ascii="Times New Roman" w:hAnsi="Times New Roman" w:eastAsia="宋体" w:cs="Times New Roman"/>
                <w:color w:val="000000"/>
                <w:spacing w:val="0"/>
                <w:w w:val="100"/>
                <w:sz w:val="24"/>
                <w:szCs w:val="24"/>
                <w:lang w:val="en-US" w:eastAsia="zh-CN"/>
              </w:rPr>
              <w:t>5.3</w:t>
            </w:r>
            <w:r>
              <w:rPr>
                <w:rFonts w:hint="default" w:ascii="Times New Roman" w:hAnsi="Times New Roman" w:eastAsia="宋体" w:cs="Times New Roman"/>
                <w:color w:val="000000"/>
                <w:spacing w:val="0"/>
                <w:w w:val="100"/>
                <w:sz w:val="24"/>
                <w:szCs w:val="24"/>
              </w:rPr>
              <w:t>运营绩效（50分）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97"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p>
        </w:tc>
        <w:tc>
          <w:tcPr>
            <w:tcW w:w="633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社会评价（50分）</w:t>
            </w:r>
          </w:p>
        </w:tc>
      </w:tr>
    </w:tbl>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教育机构（义务教育阶段小学、初中学校和职业院校）</w:t>
      </w:r>
      <w:r>
        <w:rPr>
          <w:rFonts w:hint="default" w:ascii="Times New Roman" w:hAnsi="Times New Roman" w:eastAsia="仿宋_GB2312" w:cs="仿宋_GB2312"/>
          <w:color w:val="000000"/>
          <w:sz w:val="32"/>
          <w:szCs w:val="32"/>
          <w:lang w:val="en-US" w:eastAsia="zh-CN"/>
        </w:rPr>
        <w:t>组织评价</w:t>
      </w:r>
      <w:r>
        <w:rPr>
          <w:rFonts w:hint="default" w:ascii="Times New Roman" w:hAnsi="Times New Roman" w:eastAsia="仿宋_GB2312" w:cs="仿宋_GB2312"/>
          <w:color w:val="000000"/>
          <w:sz w:val="32"/>
          <w:szCs w:val="32"/>
        </w:rPr>
        <w:t>指标</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分值分布如表3所示。</w:t>
      </w:r>
    </w:p>
    <w:p>
      <w:pPr>
        <w:pStyle w:val="2"/>
        <w:ind w:firstLine="2240" w:firstLineChars="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表3  中山市政府质量奖教育机构评价指标</w:t>
      </w:r>
    </w:p>
    <w:tbl>
      <w:tblPr>
        <w:tblStyle w:val="7"/>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noWrap w:val="0"/>
            <w:vAlign w:val="center"/>
          </w:tcPr>
          <w:p>
            <w:pPr>
              <w:pStyle w:val="5"/>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一级评价指标</w:t>
            </w:r>
          </w:p>
        </w:tc>
        <w:tc>
          <w:tcPr>
            <w:tcW w:w="6301" w:type="dxa"/>
            <w:noWrap w:val="0"/>
            <w:vAlign w:val="center"/>
          </w:tcPr>
          <w:p>
            <w:pPr>
              <w:pStyle w:val="5"/>
              <w:spacing w:before="0" w:beforeAutospacing="0" w:after="0" w:afterAutospacing="0" w:line="26" w:lineRule="atLeast"/>
              <w:jc w:val="center"/>
              <w:rPr>
                <w:rFonts w:hint="default" w:ascii="Times New Roman" w:hAnsi="Times New Roman" w:eastAsia="黑体" w:cs="黑体"/>
                <w:b w:val="0"/>
                <w:bCs w:val="0"/>
                <w:color w:val="000000"/>
                <w:szCs w:val="22"/>
              </w:rPr>
            </w:pPr>
            <w:r>
              <w:rPr>
                <w:rFonts w:hint="default" w:ascii="Times New Roman" w:hAnsi="Times New Roman" w:eastAsia="黑体" w:cs="黑体"/>
                <w:b w:val="0"/>
                <w:bCs w:val="0"/>
                <w:color w:val="000000"/>
                <w:szCs w:val="22"/>
              </w:rPr>
              <w:t>二级评价指标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1.领导（150分）</w:t>
            </w: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1.1文化理念（30分）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1.2办学方向（50分）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1.3学校管理（40分）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1.4社会责任（30分）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2.质量（300分）</w:t>
            </w: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.1管理体系（60分）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.2教学质量（60分）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.3质量安全（60分）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.4师资素养（60分）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default" w:ascii="Times New Roman" w:hAnsi="Times New Roman" w:eastAsia="宋体" w:cs="Times New Roman"/>
                <w:color w:val="000000"/>
                <w:spacing w:val="0"/>
                <w:w w:val="100"/>
                <w:sz w:val="24"/>
                <w:szCs w:val="24"/>
                <w:lang w:val="en-US" w:eastAsia="zh-CN"/>
              </w:rPr>
              <w:t>2</w:t>
            </w:r>
            <w:r>
              <w:rPr>
                <w:rFonts w:hint="default" w:ascii="Times New Roman" w:hAnsi="Times New Roman" w:eastAsia="宋体" w:cs="Times New Roman"/>
                <w:color w:val="000000"/>
                <w:spacing w:val="0"/>
                <w:w w:val="100"/>
                <w:sz w:val="24"/>
                <w:szCs w:val="24"/>
              </w:rPr>
              <w:t>.5质量改进（60分）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3.创新（200分）</w:t>
            </w: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.1创新平台（80分）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.2管理创新（60分）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.3技术创新（60分）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w:t>
            </w:r>
            <w:r>
              <w:rPr>
                <w:rFonts w:hint="default" w:ascii="Times New Roman" w:hAnsi="Times New Roman" w:eastAsia="宋体" w:cs="Times New Roman"/>
                <w:color w:val="000000"/>
                <w:spacing w:val="0"/>
                <w:w w:val="100"/>
                <w:sz w:val="24"/>
                <w:szCs w:val="24"/>
                <w:lang w:eastAsia="zh-CN"/>
              </w:rPr>
              <w:t>品牌</w:t>
            </w:r>
            <w:r>
              <w:rPr>
                <w:rFonts w:hint="default" w:ascii="Times New Roman" w:hAnsi="Times New Roman" w:eastAsia="宋体" w:cs="Times New Roman"/>
                <w:color w:val="000000"/>
                <w:spacing w:val="0"/>
                <w:w w:val="100"/>
                <w:sz w:val="24"/>
                <w:szCs w:val="24"/>
              </w:rPr>
              <w:t>（150分）</w:t>
            </w: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4.1学校条件（50分）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4.2沟通反馈（50分）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4.3办学评价（50分）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5.效益（200分）</w:t>
            </w: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5.1</w:t>
            </w:r>
            <w:r>
              <w:rPr>
                <w:rFonts w:hint="default" w:ascii="Times New Roman" w:hAnsi="Times New Roman" w:eastAsia="宋体" w:cs="Times New Roman"/>
                <w:color w:val="000000"/>
                <w:spacing w:val="0"/>
                <w:w w:val="100"/>
                <w:sz w:val="24"/>
                <w:szCs w:val="24"/>
              </w:rPr>
              <w:t>教学水平（50分）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lang w:val="en-US" w:eastAsia="zh-CN"/>
              </w:rPr>
            </w:pPr>
            <w:r>
              <w:rPr>
                <w:rFonts w:hint="eastAsia" w:ascii="Times New Roman" w:hAnsi="Times New Roman" w:eastAsia="宋体" w:cs="Times New Roman"/>
                <w:color w:val="000000"/>
                <w:spacing w:val="0"/>
                <w:w w:val="100"/>
                <w:sz w:val="24"/>
                <w:szCs w:val="24"/>
                <w:lang w:val="en-US" w:eastAsia="zh-CN"/>
              </w:rPr>
              <w:t>5.2</w:t>
            </w:r>
            <w:r>
              <w:rPr>
                <w:rFonts w:hint="default" w:ascii="Times New Roman" w:hAnsi="Times New Roman" w:eastAsia="宋体" w:cs="Times New Roman"/>
                <w:color w:val="000000"/>
                <w:spacing w:val="0"/>
                <w:w w:val="100"/>
                <w:sz w:val="24"/>
                <w:szCs w:val="24"/>
              </w:rPr>
              <w:t>创新价值（50分）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3</w:t>
            </w:r>
            <w:r>
              <w:rPr>
                <w:rFonts w:hint="default" w:ascii="Times New Roman" w:hAnsi="Times New Roman" w:eastAsia="宋体" w:cs="Times New Roman"/>
                <w:color w:val="000000"/>
                <w:spacing w:val="0"/>
                <w:w w:val="100"/>
                <w:sz w:val="24"/>
                <w:szCs w:val="24"/>
              </w:rPr>
              <w:t>社会认可（50分）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09"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p>
        </w:tc>
        <w:tc>
          <w:tcPr>
            <w:tcW w:w="6301"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jc w:val="center"/>
              <w:textAlignment w:val="auto"/>
              <w:rPr>
                <w:rFonts w:hint="default" w:ascii="Times New Roman" w:hAnsi="Times New Roman" w:eastAsia="宋体" w:cs="Times New Roman"/>
                <w:color w:val="000000"/>
                <w:spacing w:val="0"/>
                <w:w w:val="100"/>
                <w:sz w:val="24"/>
                <w:szCs w:val="24"/>
              </w:rPr>
            </w:pPr>
            <w:r>
              <w:rPr>
                <w:rFonts w:hint="default" w:ascii="Times New Roman" w:hAnsi="Times New Roman" w:eastAsia="宋体" w:cs="Times New Roman"/>
                <w:color w:val="000000"/>
                <w:spacing w:val="0"/>
                <w:w w:val="100"/>
                <w:sz w:val="24"/>
                <w:szCs w:val="24"/>
              </w:rPr>
              <w:t>5.</w:t>
            </w:r>
            <w:r>
              <w:rPr>
                <w:rFonts w:hint="eastAsia" w:ascii="Times New Roman" w:hAnsi="Times New Roman" w:eastAsia="宋体" w:cs="Times New Roman"/>
                <w:color w:val="000000"/>
                <w:spacing w:val="0"/>
                <w:w w:val="100"/>
                <w:sz w:val="24"/>
                <w:szCs w:val="24"/>
                <w:lang w:val="en-US" w:eastAsia="zh-CN"/>
              </w:rPr>
              <w:t>4</w:t>
            </w:r>
            <w:r>
              <w:rPr>
                <w:rFonts w:hint="default" w:ascii="Times New Roman" w:hAnsi="Times New Roman" w:eastAsia="宋体" w:cs="Times New Roman"/>
                <w:color w:val="000000"/>
                <w:spacing w:val="0"/>
                <w:w w:val="100"/>
                <w:sz w:val="24"/>
                <w:szCs w:val="24"/>
              </w:rPr>
              <w:t>社会效益（50分）</w:t>
            </w:r>
          </w:p>
        </w:tc>
      </w:tr>
    </w:tbl>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二、核心指标</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lang w:eastAsia="zh-CN"/>
        </w:rPr>
        <w:t>（一）</w:t>
      </w:r>
      <w:r>
        <w:rPr>
          <w:rFonts w:hint="eastAsia" w:ascii="Times New Roman" w:hAnsi="Times New Roman" w:eastAsia="楷体_GB2312" w:cs="楷体_GB2312"/>
          <w:color w:val="000000"/>
          <w:sz w:val="32"/>
          <w:szCs w:val="32"/>
        </w:rPr>
        <w:t>领导</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val="en-US" w:eastAsia="zh-CN"/>
        </w:rPr>
        <w:t>——弘扬企业家精神，在增强爱国情怀、勇于创新、诚信守法、承担社会责任和拓展国际视野等方面不断提升，成为新时代推动高质量发展的生力军。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val="en-US" w:eastAsia="zh-CN"/>
        </w:rPr>
        <w:t>——</w:t>
      </w:r>
      <w:r>
        <w:rPr>
          <w:rFonts w:hint="default" w:ascii="Times New Roman" w:hAnsi="Times New Roman" w:eastAsia="仿宋_GB2312" w:cs="仿宋_GB2312"/>
          <w:color w:val="000000"/>
          <w:sz w:val="32"/>
          <w:szCs w:val="32"/>
        </w:rPr>
        <w:t>建立组织统一的宗旨和方向，加强组织文化建设，</w:t>
      </w:r>
      <w:r>
        <w:rPr>
          <w:rFonts w:hint="eastAsia" w:ascii="Times New Roman" w:hAnsi="Times New Roman" w:eastAsia="仿宋_GB2312" w:cs="仿宋_GB2312"/>
          <w:color w:val="000000"/>
          <w:sz w:val="32"/>
          <w:szCs w:val="32"/>
          <w:lang w:val="en-US" w:eastAsia="zh-CN"/>
        </w:rPr>
        <w:t>构建和谐劳资关系，</w:t>
      </w:r>
      <w:r>
        <w:rPr>
          <w:rFonts w:hint="default" w:ascii="Times New Roman" w:hAnsi="Times New Roman" w:eastAsia="仿宋_GB2312" w:cs="仿宋_GB2312"/>
          <w:color w:val="000000"/>
          <w:sz w:val="32"/>
          <w:szCs w:val="32"/>
        </w:rPr>
        <w:t>营造引导全体员工积极参与</w:t>
      </w:r>
      <w:r>
        <w:rPr>
          <w:rFonts w:hint="eastAsia" w:ascii="Times New Roman" w:hAnsi="Times New Roman" w:eastAsia="仿宋_GB2312" w:cs="仿宋_GB2312"/>
          <w:color w:val="000000"/>
          <w:sz w:val="32"/>
          <w:szCs w:val="32"/>
          <w:lang w:val="en-US" w:eastAsia="zh-CN"/>
        </w:rPr>
        <w:t>质量活动</w:t>
      </w:r>
      <w:r>
        <w:rPr>
          <w:rFonts w:hint="default" w:ascii="Times New Roman" w:hAnsi="Times New Roman" w:eastAsia="仿宋_GB2312" w:cs="仿宋_GB2312"/>
          <w:color w:val="000000"/>
          <w:sz w:val="32"/>
          <w:szCs w:val="32"/>
        </w:rPr>
        <w:t>的环境</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强化战略管理，使组织的战略、方针、过程和资源协调一致，以实现其目标</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树立创新是第一动力</w:t>
      </w:r>
      <w:r>
        <w:rPr>
          <w:rFonts w:hint="eastAsia" w:ascii="Times New Roman" w:hAnsi="Times New Roman" w:eastAsia="仿宋_GB2312" w:cs="仿宋_GB2312"/>
          <w:color w:val="000000"/>
          <w:sz w:val="32"/>
          <w:szCs w:val="32"/>
          <w:lang w:val="en-US" w:eastAsia="zh-CN"/>
        </w:rPr>
        <w:t>、人才是第一资源</w:t>
      </w:r>
      <w:r>
        <w:rPr>
          <w:rFonts w:hint="default" w:ascii="Times New Roman" w:hAnsi="Times New Roman" w:eastAsia="仿宋_GB2312" w:cs="仿宋_GB2312"/>
          <w:color w:val="000000"/>
          <w:sz w:val="32"/>
          <w:szCs w:val="32"/>
          <w:lang w:val="en-US" w:eastAsia="zh-CN"/>
        </w:rPr>
        <w:t>的理念，</w:t>
      </w:r>
      <w:r>
        <w:rPr>
          <w:rFonts w:hint="default" w:ascii="Times New Roman" w:hAnsi="Times New Roman" w:eastAsia="仿宋_GB2312" w:cs="仿宋_GB2312"/>
          <w:color w:val="000000"/>
          <w:sz w:val="32"/>
          <w:szCs w:val="32"/>
        </w:rPr>
        <w:t>有效进行组织治理</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履行社会责任</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追求卓越效益</w:t>
      </w:r>
      <w:r>
        <w:rPr>
          <w:rFonts w:hint="default" w:ascii="Times New Roman" w:hAnsi="Times New Roman" w:eastAsia="仿宋_GB2312" w:cs="仿宋_GB2312"/>
          <w:color w:val="000000"/>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（二）质量</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整合管理体系提升运营效能</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识别并满足顾客及其他利益相关方的需求和期望</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减少抱怨和投诉</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增强产业链自主可控能力实现质量协同</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加强质量基础设施建设提升质量</w:t>
      </w:r>
      <w:r>
        <w:rPr>
          <w:rFonts w:hint="eastAsia" w:ascii="Times New Roman" w:hAnsi="Times New Roman" w:eastAsia="仿宋_GB2312" w:cs="仿宋_GB2312"/>
          <w:color w:val="000000"/>
          <w:sz w:val="32"/>
          <w:szCs w:val="32"/>
          <w:lang w:eastAsia="zh-CN"/>
        </w:rPr>
        <w:t>管理</w:t>
      </w:r>
      <w:r>
        <w:rPr>
          <w:rFonts w:hint="default" w:ascii="Times New Roman" w:hAnsi="Times New Roman" w:eastAsia="仿宋_GB2312" w:cs="仿宋_GB2312"/>
          <w:color w:val="000000"/>
          <w:sz w:val="32"/>
          <w:szCs w:val="32"/>
        </w:rPr>
        <w:t>水平</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强化教育培训提升员工质量素养</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实施质量变革，</w:t>
      </w:r>
      <w:r>
        <w:rPr>
          <w:rFonts w:hint="default" w:ascii="Times New Roman" w:hAnsi="Times New Roman" w:eastAsia="仿宋_GB2312" w:cs="仿宋_GB2312"/>
          <w:color w:val="000000"/>
          <w:sz w:val="32"/>
          <w:szCs w:val="32"/>
        </w:rPr>
        <w:t>开展质量改进活动提升组织产品或服务质量、工艺技术及管理水平等</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质量水平（教学水平）</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关键质量指标水平及提升情况居行业领先。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对医疗机构（医院科室、专项医疗团队和社区医疗机构）突出质量安全和医防协同；</w:t>
      </w:r>
    </w:p>
    <w:p>
      <w:pPr>
        <w:pBdr>
          <w:top w:val="none" w:color="auto" w:sz="0" w:space="0"/>
          <w:left w:val="none" w:color="auto" w:sz="0" w:space="0"/>
          <w:bottom w:val="none" w:color="auto" w:sz="0" w:space="0"/>
          <w:right w:val="none" w:color="auto" w:sz="0" w:space="0"/>
        </w:pBdr>
        <w:spacing w:line="600" w:lineRule="exact"/>
        <w:ind w:firstLine="640" w:firstLineChars="200"/>
        <w:outlineLvl w:val="9"/>
        <w:rPr>
          <w:rFonts w:hint="eastAsia"/>
        </w:rPr>
      </w:pPr>
      <w:r>
        <w:rPr>
          <w:rFonts w:hint="default" w:ascii="Times New Roman" w:hAnsi="Times New Roman" w:eastAsia="仿宋_GB2312" w:cs="仿宋_GB2312"/>
          <w:color w:val="000000"/>
          <w:sz w:val="32"/>
          <w:szCs w:val="32"/>
        </w:rPr>
        <w:t>对教育机构（义务教育阶段小学、初中学校和职业院校）则强调教学质量、质量安全和师资素养。</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（三）创新</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坚持创新发展，将创新理念融入到组织之中</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创新是</w:t>
      </w:r>
      <w:r>
        <w:rPr>
          <w:rFonts w:hint="eastAsia" w:ascii="Times New Roman" w:hAnsi="Times New Roman" w:eastAsia="仿宋_GB2312" w:cs="仿宋_GB2312"/>
          <w:color w:val="000000"/>
          <w:sz w:val="32"/>
          <w:szCs w:val="32"/>
          <w:lang w:val="en-US" w:eastAsia="zh-CN"/>
        </w:rPr>
        <w:t>驱动</w:t>
      </w:r>
      <w:r>
        <w:rPr>
          <w:rFonts w:hint="default" w:ascii="Times New Roman" w:hAnsi="Times New Roman" w:eastAsia="仿宋_GB2312" w:cs="仿宋_GB2312"/>
          <w:color w:val="000000"/>
          <w:sz w:val="32"/>
          <w:szCs w:val="32"/>
          <w:lang w:val="en-US" w:eastAsia="zh-CN"/>
        </w:rPr>
        <w:t>发展</w:t>
      </w:r>
      <w:r>
        <w:rPr>
          <w:rFonts w:hint="eastAsia" w:ascii="Times New Roman" w:hAnsi="Times New Roman" w:eastAsia="仿宋_GB2312" w:cs="仿宋_GB2312"/>
          <w:color w:val="000000"/>
          <w:sz w:val="32"/>
          <w:szCs w:val="32"/>
          <w:lang w:val="en-US" w:eastAsia="zh-CN"/>
        </w:rPr>
        <w:t>的</w:t>
      </w:r>
      <w:r>
        <w:rPr>
          <w:rFonts w:hint="default" w:ascii="Times New Roman" w:hAnsi="Times New Roman" w:eastAsia="仿宋_GB2312" w:cs="仿宋_GB2312"/>
          <w:color w:val="000000"/>
          <w:sz w:val="32"/>
          <w:szCs w:val="32"/>
          <w:lang w:val="en-US" w:eastAsia="zh-CN"/>
        </w:rPr>
        <w:t>第一动力，实施</w:t>
      </w:r>
      <w:r>
        <w:rPr>
          <w:rFonts w:hint="default" w:ascii="Times New Roman" w:hAnsi="Times New Roman" w:eastAsia="仿宋_GB2312" w:cs="仿宋_GB2312"/>
          <w:color w:val="000000"/>
          <w:sz w:val="32"/>
          <w:szCs w:val="32"/>
          <w:lang w:eastAsia="zh-CN"/>
        </w:rPr>
        <w:t>动力变革，</w:t>
      </w:r>
      <w:r>
        <w:rPr>
          <w:rFonts w:hint="default" w:ascii="Times New Roman" w:hAnsi="Times New Roman" w:eastAsia="仿宋_GB2312" w:cs="仿宋_GB2312"/>
          <w:color w:val="000000"/>
          <w:sz w:val="32"/>
          <w:szCs w:val="32"/>
        </w:rPr>
        <w:t>建立创新机制，打造科研创新团队，提升创新能力</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实施管理模式、经营模式、商业模式创新和技术创新，以提高组织效益，增强组织的核心竞争力</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val="en-US"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创新价值</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拥有的核心技术，包括发明专利、参与标准制定和新产品的市场销售等居行业领先。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（四）品牌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加强品牌规划促进品牌培育</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加强品牌管理提升品牌价值</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强化品牌保护降低品牌风险，以增强品牌竞争力</w:t>
      </w:r>
      <w:r>
        <w:rPr>
          <w:rFonts w:hint="default" w:ascii="Times New Roman" w:hAnsi="Times New Roman" w:eastAsia="仿宋_GB2312" w:cs="仿宋_GB2312"/>
          <w:color w:val="000000"/>
          <w:sz w:val="32"/>
          <w:szCs w:val="32"/>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品牌影响</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主要品牌竞争力、社会认可及品牌价值处于同行业领先。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对医疗机构（医院科室、专项医疗团队和社区医疗机构）强调构建和谐医患关系营造良好社会氛围、加强医务保护</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保障医患双方合法权益；</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rPr>
        <w:t>对教育机构（义务教育阶段小学、初中学校和职业院校）则强调社会关切的学校</w:t>
      </w:r>
      <w:r>
        <w:rPr>
          <w:rFonts w:hint="default" w:ascii="Times New Roman" w:hAnsi="Times New Roman" w:eastAsia="仿宋_GB2312" w:cs="仿宋_GB2312"/>
          <w:color w:val="000000"/>
          <w:sz w:val="32"/>
          <w:szCs w:val="32"/>
          <w:lang w:val="en-US" w:eastAsia="zh-CN"/>
        </w:rPr>
        <w:t>办学</w:t>
      </w:r>
      <w:r>
        <w:rPr>
          <w:rFonts w:hint="default" w:ascii="Times New Roman" w:hAnsi="Times New Roman" w:eastAsia="仿宋_GB2312" w:cs="仿宋_GB2312"/>
          <w:color w:val="000000"/>
          <w:sz w:val="32"/>
          <w:szCs w:val="32"/>
        </w:rPr>
        <w:t>条件、沟通反馈机制、师生、家长</w:t>
      </w:r>
      <w:r>
        <w:rPr>
          <w:rFonts w:hint="default" w:ascii="Times New Roman" w:hAnsi="Times New Roman" w:eastAsia="仿宋_GB2312" w:cs="仿宋_GB2312"/>
          <w:color w:val="000000"/>
          <w:sz w:val="32"/>
          <w:szCs w:val="32"/>
          <w:lang w:val="en-US" w:eastAsia="zh-CN"/>
        </w:rPr>
        <w:t>及</w:t>
      </w:r>
      <w:r>
        <w:rPr>
          <w:rFonts w:hint="default" w:ascii="Times New Roman" w:hAnsi="Times New Roman" w:eastAsia="仿宋_GB2312" w:cs="仿宋_GB2312"/>
          <w:color w:val="000000"/>
          <w:sz w:val="32"/>
          <w:szCs w:val="32"/>
        </w:rPr>
        <w:t>社会对办学的评价</w:t>
      </w:r>
      <w:r>
        <w:rPr>
          <w:rFonts w:hint="default" w:ascii="Times New Roman" w:hAnsi="Times New Roman" w:eastAsia="仿宋_GB2312" w:cs="仿宋_GB2312"/>
          <w:color w:val="000000"/>
          <w:sz w:val="32"/>
          <w:szCs w:val="32"/>
          <w:lang w:val="en-US" w:eastAsia="zh-CN"/>
        </w:rPr>
        <w:t>机制等</w:t>
      </w:r>
      <w:r>
        <w:rPr>
          <w:rFonts w:hint="default" w:ascii="Times New Roman" w:hAnsi="Times New Roman" w:eastAsia="仿宋_GB2312" w:cs="仿宋_GB2312"/>
          <w:color w:val="000000"/>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楷体_GB2312" w:cs="楷体_GB2312"/>
          <w:color w:val="000000"/>
          <w:sz w:val="32"/>
          <w:szCs w:val="32"/>
          <w:lang w:eastAsia="zh-CN"/>
        </w:rPr>
      </w:pPr>
      <w:r>
        <w:rPr>
          <w:rFonts w:hint="eastAsia" w:ascii="Times New Roman" w:hAnsi="Times New Roman" w:eastAsia="楷体_GB2312" w:cs="楷体_GB2312"/>
          <w:color w:val="000000"/>
          <w:sz w:val="32"/>
          <w:szCs w:val="32"/>
          <w:lang w:eastAsia="zh-CN"/>
        </w:rPr>
        <w:t>（五）效益</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绿色成效</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万元总产值综合能耗和污染物排放水平。</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——效率变革：</w:t>
      </w:r>
      <w:r>
        <w:rPr>
          <w:rFonts w:hint="eastAsia" w:ascii="Times New Roman" w:hAnsi="Times New Roman" w:eastAsia="仿宋_GB2312" w:cs="仿宋_GB2312"/>
          <w:color w:val="000000"/>
          <w:sz w:val="32"/>
          <w:szCs w:val="32"/>
          <w:lang w:val="en-US" w:eastAsia="zh-CN"/>
        </w:rPr>
        <w:t>组织</w:t>
      </w:r>
      <w:r>
        <w:rPr>
          <w:rFonts w:hint="default" w:ascii="Times New Roman" w:hAnsi="Times New Roman" w:eastAsia="仿宋_GB2312" w:cs="仿宋_GB2312"/>
          <w:color w:val="000000"/>
          <w:sz w:val="32"/>
          <w:szCs w:val="32"/>
          <w:lang w:eastAsia="zh-CN"/>
        </w:rPr>
        <w:t>运行效率和生产组织效率</w:t>
      </w:r>
      <w:r>
        <w:rPr>
          <w:rFonts w:hint="eastAsia" w:ascii="Times New Roman" w:hAnsi="Times New Roman" w:eastAsia="仿宋_GB2312" w:cs="仿宋_GB2312"/>
          <w:color w:val="000000"/>
          <w:sz w:val="32"/>
          <w:szCs w:val="32"/>
          <w:lang w:val="en-US" w:eastAsia="zh-CN"/>
        </w:rPr>
        <w:t>情况，如</w:t>
      </w:r>
      <w:r>
        <w:rPr>
          <w:rFonts w:hint="default" w:ascii="Times New Roman" w:hAnsi="Times New Roman" w:eastAsia="仿宋_GB2312" w:cs="仿宋_GB2312"/>
          <w:color w:val="000000"/>
          <w:sz w:val="32"/>
          <w:szCs w:val="32"/>
          <w:lang w:val="en-US" w:eastAsia="zh-CN"/>
        </w:rPr>
        <w:t>近三年全员劳动生产率处于同行业领先。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lang w:eastAsia="zh-CN"/>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经济效益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近三年主营业务收入、投资收益、利润总额、纳税总额等关键经济指标水平及其趋势处于同行业领先。</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仿宋_GB2312" w:cs="仿宋_GB2312"/>
          <w:color w:val="000000"/>
          <w:sz w:val="32"/>
          <w:szCs w:val="32"/>
        </w:rPr>
      </w:pP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rPr>
        <w:t>社会效益</w:t>
      </w:r>
      <w:r>
        <w:rPr>
          <w:rFonts w:hint="default" w:ascii="Times New Roman" w:hAnsi="Times New Roman" w:eastAsia="仿宋_GB2312" w:cs="仿宋_GB2312"/>
          <w:color w:val="000000"/>
          <w:sz w:val="32"/>
          <w:szCs w:val="32"/>
          <w:lang w:eastAsia="zh-CN"/>
        </w:rPr>
        <w:t>：</w:t>
      </w:r>
      <w:r>
        <w:rPr>
          <w:rFonts w:hint="default" w:ascii="Times New Roman" w:hAnsi="Times New Roman" w:eastAsia="仿宋_GB2312" w:cs="仿宋_GB2312"/>
          <w:color w:val="000000"/>
          <w:sz w:val="32"/>
          <w:szCs w:val="32"/>
          <w:lang w:val="en-US" w:eastAsia="zh-CN"/>
        </w:rPr>
        <w:t>全面履行社会责任，行业引领、区域带动作用显著</w:t>
      </w:r>
      <w:r>
        <w:rPr>
          <w:rFonts w:hint="default" w:ascii="Times New Roman" w:hAnsi="Times New Roman" w:eastAsia="仿宋_GB2312" w:cs="仿宋_GB2312"/>
          <w:color w:val="000000"/>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三、否决事项</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（一）</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年内出现过重大质量、安全、环保等事故，出现过相关违法、违规、违纪行为。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（二）</w:t>
      </w:r>
      <w:r>
        <w:rPr>
          <w:rFonts w:hint="eastAsia" w:ascii="Times New Roman" w:hAnsi="Times New Roman" w:eastAsia="仿宋_GB2312" w:cs="仿宋_GB2312"/>
          <w:color w:val="000000"/>
          <w:sz w:val="32"/>
          <w:szCs w:val="32"/>
        </w:rPr>
        <w:t>近</w:t>
      </w:r>
      <w:r>
        <w:rPr>
          <w:rFonts w:hint="eastAsia" w:ascii="Times New Roman" w:hAnsi="Times New Roman" w:eastAsia="仿宋_GB2312" w:cs="仿宋_GB2312"/>
          <w:color w:val="000000"/>
          <w:sz w:val="32"/>
          <w:szCs w:val="32"/>
          <w:lang w:val="en-US" w:eastAsia="zh-CN"/>
        </w:rPr>
        <w:t>三</w:t>
      </w:r>
      <w:r>
        <w:rPr>
          <w:rFonts w:hint="eastAsia" w:ascii="Times New Roman" w:hAnsi="Times New Roman" w:eastAsia="仿宋_GB2312" w:cs="仿宋_GB2312"/>
          <w:color w:val="000000"/>
          <w:sz w:val="32"/>
          <w:szCs w:val="32"/>
        </w:rPr>
        <w:t>年内发生过因单位责任导致侵害职工合法权益的重大事件。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（三）</w:t>
      </w:r>
      <w:r>
        <w:rPr>
          <w:rFonts w:hint="eastAsia" w:ascii="Times New Roman" w:hAnsi="Times New Roman" w:eastAsia="仿宋_GB2312" w:cs="仿宋_GB2312"/>
          <w:color w:val="000000"/>
          <w:sz w:val="32"/>
          <w:szCs w:val="32"/>
        </w:rPr>
        <w:t>申报材料弄虚作假。</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附件：1．中山市政府质量奖评分要点（制造业）</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1600" w:firstLineChars="5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中山市政府质量奖评分要点（服务业）</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1600" w:firstLineChars="5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中山市政府质量奖评分要点（工程建设业）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4．中山市政府质量奖评分要点（医疗机构）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5．中山市政府质量奖评分要点（教育机构）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6．中山市政府质量奖评分权重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eastAsia" w:ascii="Times New Roman" w:hAnsi="Times New Roman" w:eastAsia="黑体" w:cs="黑体"/>
          <w:b w:val="0"/>
          <w:bCs w:val="0"/>
          <w:sz w:val="32"/>
          <w:szCs w:val="32"/>
        </w:rPr>
        <w:sectPr>
          <w:footerReference r:id="rId3" w:type="default"/>
          <w:footerReference r:id="rId4" w:type="even"/>
          <w:pgSz w:w="11906" w:h="16838"/>
          <w:pgMar w:top="1134" w:right="1247" w:bottom="1134" w:left="1361" w:header="851" w:footer="850" w:gutter="0"/>
          <w:pgNumType w:fmt="numberInDash"/>
          <w:cols w:space="0" w:num="1"/>
          <w:rtlGutter w:val="0"/>
          <w:docGrid w:type="lines" w:linePitch="312" w:charSpace="0"/>
        </w:sect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sz w:val="30"/>
          <w:szCs w:val="30"/>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中山市政府质量奖评分要点（制造业）</w:t>
      </w:r>
    </w:p>
    <w:tbl>
      <w:tblPr>
        <w:tblStyle w:val="7"/>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03"/>
        <w:gridCol w:w="1560"/>
        <w:gridCol w:w="10840"/>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rPr>
            </w:pPr>
            <w:r>
              <w:rPr>
                <w:rFonts w:hint="eastAsia" w:ascii="黑体" w:hAnsi="黑体" w:eastAsia="黑体" w:cs="黑体"/>
                <w:spacing w:val="0"/>
                <w:w w:val="100"/>
                <w:sz w:val="21"/>
                <w:szCs w:val="21"/>
                <w:vertAlign w:val="baseline"/>
                <w:lang w:val="en-US" w:eastAsia="zh-CN"/>
              </w:rPr>
              <w:t>序号</w:t>
            </w:r>
          </w:p>
        </w:tc>
        <w:tc>
          <w:tcPr>
            <w:tcW w:w="246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lang w:val="en-US" w:eastAsia="zh-CN"/>
              </w:rPr>
              <w:t>评价指标</w:t>
            </w:r>
          </w:p>
        </w:tc>
        <w:tc>
          <w:tcPr>
            <w:tcW w:w="1084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vertAlign w:val="baseline"/>
                <w:lang w:val="en-US" w:eastAsia="zh-CN"/>
              </w:rPr>
              <w:t>评价要点</w:t>
            </w:r>
          </w:p>
        </w:tc>
        <w:tc>
          <w:tcPr>
            <w:tcW w:w="8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vertAlign w:val="baseline"/>
                <w:lang w:val="en-US" w:eastAsia="zh-CN"/>
              </w:rPr>
              <w:t>评分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rPr>
            </w:pPr>
          </w:p>
        </w:tc>
        <w:tc>
          <w:tcPr>
            <w:tcW w:w="9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vertAlign w:val="baseline"/>
                <w:lang w:val="en-US" w:eastAsia="zh-CN"/>
              </w:rPr>
              <w:t>一级</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r>
              <w:rPr>
                <w:rFonts w:hint="eastAsia" w:ascii="黑体" w:hAnsi="黑体" w:eastAsia="黑体" w:cs="黑体"/>
                <w:spacing w:val="0"/>
                <w:w w:val="100"/>
                <w:sz w:val="21"/>
                <w:szCs w:val="21"/>
                <w:vertAlign w:val="baseline"/>
                <w:lang w:val="en-US" w:eastAsia="zh-CN"/>
              </w:rPr>
              <w:t>二级</w:t>
            </w:r>
          </w:p>
        </w:tc>
        <w:tc>
          <w:tcPr>
            <w:tcW w:w="10840"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p>
        </w:tc>
        <w:tc>
          <w:tcPr>
            <w:tcW w:w="880"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w:t>
            </w:r>
          </w:p>
        </w:tc>
        <w:tc>
          <w:tcPr>
            <w:tcW w:w="9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领导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rPr>
            </w:pPr>
            <w:r>
              <w:rPr>
                <w:rFonts w:hint="default" w:ascii="Times New Roman" w:hAnsi="Times New Roman" w:eastAsia="宋体" w:cs="Times New Roman"/>
                <w:spacing w:val="0"/>
                <w:w w:val="100"/>
                <w:sz w:val="21"/>
                <w:szCs w:val="21"/>
                <w:vertAlign w:val="baseline"/>
                <w:lang w:val="en-US" w:eastAsia="zh-CN"/>
              </w:rPr>
              <w:t>1.1企业家精神</w:t>
            </w:r>
          </w:p>
        </w:tc>
        <w:tc>
          <w:tcPr>
            <w:tcW w:w="10840" w:type="dxa"/>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如何弘扬企业家精神，引领组织高质量发展。</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如何增强爱国情怀，把组织发展同国家繁荣、民族兴盛、人民幸福紧密结合在一起，主动为国担当、为国分忧。</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如何拓展国际视野，并不断提高把握国际市场动向和需求特点、国际规则和国际市场开拓及防范风险等方面的能力，带动组织在更高水平的对外开放中实现更好发展，促进国内国际双循环。</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1.2组织文化</w:t>
            </w:r>
          </w:p>
        </w:tc>
        <w:tc>
          <w:tcPr>
            <w:tcW w:w="10840" w:type="dxa"/>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w:t>
            </w:r>
            <w:r>
              <w:rPr>
                <w:rFonts w:hint="default" w:ascii="Times New Roman" w:hAnsi="Times New Roman" w:eastAsia="宋体" w:cs="Times New Roman"/>
                <w:spacing w:val="0"/>
                <w:w w:val="100"/>
                <w:sz w:val="21"/>
                <w:szCs w:val="21"/>
              </w:rPr>
              <w:t>以其自身言行展现他们的质量承诺</w:t>
            </w:r>
            <w:r>
              <w:rPr>
                <w:rFonts w:hint="default" w:ascii="Times New Roman" w:hAnsi="Times New Roman" w:eastAsia="宋体" w:cs="Times New Roman"/>
                <w:spacing w:val="0"/>
                <w:w w:val="100"/>
                <w:sz w:val="21"/>
                <w:szCs w:val="21"/>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1.3战略管理</w:t>
            </w:r>
          </w:p>
        </w:tc>
        <w:tc>
          <w:tcPr>
            <w:tcW w:w="10840" w:type="dxa"/>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1.4组织治理</w:t>
            </w:r>
          </w:p>
        </w:tc>
        <w:tc>
          <w:tcPr>
            <w:tcW w:w="10840" w:type="dxa"/>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1.5社会责任</w:t>
            </w:r>
          </w:p>
        </w:tc>
        <w:tc>
          <w:tcPr>
            <w:tcW w:w="10840" w:type="dxa"/>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如何树立法治意识、契约精神、守约观念，并建立道德规范和实施质量诚信体系，包括履行产品召回制度等。</w:t>
            </w:r>
          </w:p>
          <w:p>
            <w:pPr>
              <w:keepNext w:val="0"/>
              <w:keepLines w:val="0"/>
              <w:pageBreakBefore w:val="0"/>
              <w:widowControl w:val="0"/>
              <w:numPr>
                <w:ilvl w:val="0"/>
                <w:numId w:val="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w:t>
            </w:r>
          </w:p>
        </w:tc>
        <w:tc>
          <w:tcPr>
            <w:tcW w:w="9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质量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300分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2.1管理体系</w:t>
            </w:r>
          </w:p>
        </w:tc>
        <w:tc>
          <w:tcPr>
            <w:tcW w:w="10840" w:type="dxa"/>
            <w:vAlign w:val="top"/>
          </w:tcPr>
          <w:p>
            <w:pPr>
              <w:keepNext w:val="0"/>
              <w:keepLines w:val="0"/>
              <w:pageBreakBefore w:val="0"/>
              <w:widowControl w:val="0"/>
              <w:numPr>
                <w:ilvl w:val="0"/>
                <w:numId w:val="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keepNext w:val="0"/>
              <w:keepLines w:val="0"/>
              <w:pageBreakBefore w:val="0"/>
              <w:widowControl w:val="0"/>
              <w:numPr>
                <w:ilvl w:val="0"/>
                <w:numId w:val="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如何运用互联网、物联网、大数据、云计算、5G等新一代信息技术对组织的物流、资金流和信息流进行有效控制和管理，以增强组织竞争力。</w:t>
            </w:r>
          </w:p>
          <w:p>
            <w:pPr>
              <w:keepNext w:val="0"/>
              <w:keepLines w:val="0"/>
              <w:pageBreakBefore w:val="0"/>
              <w:widowControl w:val="0"/>
              <w:numPr>
                <w:ilvl w:val="0"/>
                <w:numId w:val="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2.2顾客需求</w:t>
            </w:r>
          </w:p>
        </w:tc>
        <w:tc>
          <w:tcPr>
            <w:tcW w:w="10840" w:type="dxa"/>
            <w:vAlign w:val="top"/>
          </w:tcPr>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如何识别并确定顾客及其他利益相关方的需求和期望，包括质量、安全、健康、知情权、选择权、补偿权、隐私权、交货期等，并将这些需求和期望转化到组织的产品和/或工艺设计、创新和质量改进中。</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如何应用适宜的技术和方法有效管理顾客关系，并定期测量顾客满意度，以改进产品质量和服务水平</w:t>
            </w:r>
            <w:r>
              <w:rPr>
                <w:rFonts w:hint="default" w:ascii="Times New Roman" w:hAnsi="Times New Roman" w:eastAsia="宋体" w:cs="Times New Roman"/>
                <w:spacing w:val="0"/>
                <w:w w:val="100"/>
                <w:sz w:val="21"/>
                <w:szCs w:val="21"/>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2.3质量协同</w:t>
            </w:r>
          </w:p>
        </w:tc>
        <w:tc>
          <w:tcPr>
            <w:tcW w:w="10840" w:type="dxa"/>
            <w:vAlign w:val="top"/>
          </w:tcPr>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keepNext w:val="0"/>
              <w:keepLines w:val="0"/>
              <w:pageBreakBefore w:val="0"/>
              <w:widowControl w:val="0"/>
              <w:numPr>
                <w:ilvl w:val="0"/>
                <w:numId w:val="1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2.4质量基础</w:t>
            </w:r>
          </w:p>
        </w:tc>
        <w:tc>
          <w:tcPr>
            <w:tcW w:w="10840" w:type="dxa"/>
            <w:vAlign w:val="top"/>
          </w:tcPr>
          <w:p>
            <w:pPr>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如何运用成熟的管理制度、方法和/或工具对生产或服务现场进行质量管理，并提升生产或服务管理的信息化、智能化或数字化水平。</w:t>
            </w:r>
          </w:p>
          <w:p>
            <w:pPr>
              <w:keepNext w:val="0"/>
              <w:keepLines w:val="0"/>
              <w:pageBreakBefore w:val="0"/>
              <w:widowControl w:val="0"/>
              <w:numPr>
                <w:ilvl w:val="0"/>
                <w:numId w:val="11"/>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如何建立质量安全保证和风险防控机制，包括信息收集、关键风险因素识别及相关措施的制定与实施，以避免产生具有重大影响的质量、安全、环保事故。</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2.5教育培训</w:t>
            </w:r>
          </w:p>
        </w:tc>
        <w:tc>
          <w:tcPr>
            <w:tcW w:w="10840" w:type="dxa"/>
            <w:vAlign w:val="top"/>
          </w:tcPr>
          <w:p>
            <w:pPr>
              <w:keepNext w:val="0"/>
              <w:keepLines w:val="0"/>
              <w:pageBreakBefore w:val="0"/>
              <w:widowControl w:val="0"/>
              <w:numPr>
                <w:ilvl w:val="0"/>
                <w:numId w:val="1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keepNext w:val="0"/>
              <w:keepLines w:val="0"/>
              <w:pageBreakBefore w:val="0"/>
              <w:widowControl w:val="0"/>
              <w:numPr>
                <w:ilvl w:val="0"/>
                <w:numId w:val="1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keepNext w:val="0"/>
              <w:keepLines w:val="0"/>
              <w:pageBreakBefore w:val="0"/>
              <w:widowControl w:val="0"/>
              <w:numPr>
                <w:ilvl w:val="0"/>
                <w:numId w:val="1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2.6工匠精神</w:t>
            </w:r>
          </w:p>
        </w:tc>
        <w:tc>
          <w:tcPr>
            <w:tcW w:w="10840" w:type="dxa"/>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keepNext w:val="0"/>
              <w:keepLines w:val="0"/>
              <w:pageBreakBefore w:val="0"/>
              <w:widowControl w:val="0"/>
              <w:numPr>
                <w:ilvl w:val="0"/>
                <w:numId w:val="1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如何发扬工匠精神，打造高质量的产品，提高组织的核心竞争力。</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38"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2.7质量变革</w:t>
            </w:r>
          </w:p>
        </w:tc>
        <w:tc>
          <w:tcPr>
            <w:tcW w:w="10840" w:type="dxa"/>
            <w:vAlign w:val="top"/>
          </w:tcPr>
          <w:p>
            <w:pPr>
              <w:keepNext w:val="0"/>
              <w:keepLines w:val="0"/>
              <w:pageBreakBefore w:val="0"/>
              <w:widowControl w:val="0"/>
              <w:numPr>
                <w:ilvl w:val="0"/>
                <w:numId w:val="1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如何提升产品的质量水平，并通过不断改进产品质量，形成产品的独特竞争优势和对产业链的参与优势。</w:t>
            </w:r>
          </w:p>
          <w:p>
            <w:pPr>
              <w:keepNext w:val="0"/>
              <w:keepLines w:val="0"/>
              <w:pageBreakBefore w:val="0"/>
              <w:widowControl w:val="0"/>
              <w:numPr>
                <w:ilvl w:val="0"/>
                <w:numId w:val="14"/>
              </w:numPr>
              <w:kinsoku/>
              <w:wordWrap/>
              <w:overflowPunct/>
              <w:topLinePunct w:val="0"/>
              <w:autoSpaceDE/>
              <w:autoSpaceDN/>
              <w:bidi w:val="0"/>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如何改善产品或服务质量、工艺技术及管理水平等方面存在的差距，以提升产业链组织的稳定性。</w:t>
            </w:r>
          </w:p>
          <w:p>
            <w:pPr>
              <w:keepNext w:val="0"/>
              <w:keepLines w:val="0"/>
              <w:pageBreakBefore w:val="0"/>
              <w:widowControl w:val="0"/>
              <w:numPr>
                <w:ilvl w:val="0"/>
                <w:numId w:val="14"/>
              </w:numPr>
              <w:kinsoku/>
              <w:wordWrap/>
              <w:overflowPunct/>
              <w:topLinePunct w:val="0"/>
              <w:autoSpaceDE/>
              <w:autoSpaceDN/>
              <w:bidi w:val="0"/>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w:t>
            </w:r>
          </w:p>
        </w:tc>
        <w:tc>
          <w:tcPr>
            <w:tcW w:w="9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创新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3.1动力变革</w:t>
            </w:r>
          </w:p>
        </w:tc>
        <w:tc>
          <w:tcPr>
            <w:tcW w:w="10840" w:type="dxa"/>
            <w:vAlign w:val="top"/>
          </w:tcPr>
          <w:p>
            <w:pPr>
              <w:keepNext w:val="0"/>
              <w:keepLines w:val="0"/>
              <w:pageBreakBefore w:val="0"/>
              <w:widowControl w:val="0"/>
              <w:numPr>
                <w:ilvl w:val="0"/>
                <w:numId w:val="15"/>
              </w:numPr>
              <w:kinsoku/>
              <w:wordWrap/>
              <w:overflowPunct/>
              <w:topLinePunct w:val="0"/>
              <w:autoSpaceDE/>
              <w:autoSpaceDN/>
              <w:bidi w:val="0"/>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keepNext w:val="0"/>
              <w:keepLines w:val="0"/>
              <w:pageBreakBefore w:val="0"/>
              <w:widowControl w:val="0"/>
              <w:numPr>
                <w:ilvl w:val="0"/>
                <w:numId w:val="15"/>
              </w:numPr>
              <w:kinsoku/>
              <w:wordWrap/>
              <w:overflowPunct/>
              <w:topLinePunct w:val="0"/>
              <w:autoSpaceDE/>
              <w:autoSpaceDN/>
              <w:bidi w:val="0"/>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keepNext w:val="0"/>
              <w:keepLines w:val="0"/>
              <w:pageBreakBefore w:val="0"/>
              <w:widowControl w:val="0"/>
              <w:numPr>
                <w:ilvl w:val="0"/>
                <w:numId w:val="15"/>
              </w:numPr>
              <w:kinsoku/>
              <w:wordWrap/>
              <w:overflowPunct/>
              <w:topLinePunct w:val="0"/>
              <w:autoSpaceDE/>
              <w:autoSpaceDN/>
              <w:bidi w:val="0"/>
              <w:adjustRightInd/>
              <w:snapToGrid/>
              <w:spacing w:line="32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3.2创新能力</w:t>
            </w:r>
          </w:p>
        </w:tc>
        <w:tc>
          <w:tcPr>
            <w:tcW w:w="10840" w:type="dxa"/>
            <w:vAlign w:val="top"/>
          </w:tcPr>
          <w:p>
            <w:pPr>
              <w:keepNext w:val="0"/>
              <w:keepLines w:val="0"/>
              <w:pageBreakBefore w:val="0"/>
              <w:widowControl w:val="0"/>
              <w:numPr>
                <w:ilvl w:val="0"/>
                <w:numId w:val="1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如何建设创新平台和打造科研创新团队（包括参与重大科研项目的能力），并保持创新平台的有效运行以提升组织的核心竞争力。</w:t>
            </w:r>
          </w:p>
          <w:p>
            <w:pPr>
              <w:keepNext w:val="0"/>
              <w:keepLines w:val="0"/>
              <w:pageBreakBefore w:val="0"/>
              <w:widowControl w:val="0"/>
              <w:numPr>
                <w:ilvl w:val="0"/>
                <w:numId w:val="1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如何积极学习和应用先进技术和方法，并对运营过程中所产生的信息和知识进行系统管理，持续提高组织的纠错能力、应变能力和创新能力，实现关键核心技术自主可控、解决“卡脖子”等技术难题。</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3.3管理创新</w:t>
            </w:r>
          </w:p>
        </w:tc>
        <w:tc>
          <w:tcPr>
            <w:tcW w:w="10840" w:type="dxa"/>
            <w:vAlign w:val="top"/>
          </w:tcPr>
          <w:p>
            <w:pPr>
              <w:keepNext w:val="0"/>
              <w:keepLines w:val="0"/>
              <w:pageBreakBefore w:val="0"/>
              <w:widowControl w:val="0"/>
              <w:numPr>
                <w:ilvl w:val="0"/>
                <w:numId w:val="1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如何根据组织的战略任务，结合技术和产品发展的趋势，有组织有计划地推动管理创新，包括针对具体质量问题，创新管理工具和方法，以使组织的各项活动更加高效。</w:t>
            </w:r>
          </w:p>
          <w:p>
            <w:pPr>
              <w:keepNext w:val="0"/>
              <w:keepLines w:val="0"/>
              <w:pageBreakBefore w:val="0"/>
              <w:widowControl w:val="0"/>
              <w:numPr>
                <w:ilvl w:val="0"/>
                <w:numId w:val="1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如何进行组织的管理模式、经营模式、商业模式创新，如通过互联网开展业务、开展个性化服务或定制化服务等。</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3.4技术创新</w:t>
            </w:r>
          </w:p>
        </w:tc>
        <w:tc>
          <w:tcPr>
            <w:tcW w:w="10840" w:type="dxa"/>
            <w:vAlign w:val="top"/>
          </w:tcPr>
          <w:p>
            <w:pPr>
              <w:keepNext w:val="0"/>
              <w:keepLines w:val="0"/>
              <w:pageBreakBefore w:val="0"/>
              <w:widowControl w:val="0"/>
              <w:numPr>
                <w:ilvl w:val="0"/>
                <w:numId w:val="1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如何围绕组织的使命和愿景，结合环境的变化，通过引进、消化、吸收、开发适用的先进技术和先进标准形成组织的技术体系，并有效保护自身的知识产权，包括海内外专利的申请和保护。</w:t>
            </w:r>
          </w:p>
          <w:p>
            <w:pPr>
              <w:keepNext w:val="0"/>
              <w:keepLines w:val="0"/>
              <w:pageBreakBefore w:val="0"/>
              <w:widowControl w:val="0"/>
              <w:numPr>
                <w:ilvl w:val="0"/>
                <w:numId w:val="1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keepNext w:val="0"/>
              <w:keepLines w:val="0"/>
              <w:pageBreakBefore w:val="0"/>
              <w:widowControl w:val="0"/>
              <w:numPr>
                <w:ilvl w:val="0"/>
                <w:numId w:val="1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如何利用互联网、物联网、大数据、云计算、5G等新一代信息技术进行诸如研发设计</w:t>
            </w:r>
            <w:r>
              <w:rPr>
                <w:rFonts w:hint="default" w:ascii="Times New Roman" w:hAnsi="Times New Roman" w:eastAsia="宋体" w:cs="Times New Roman"/>
                <w:spacing w:val="0"/>
                <w:w w:val="100"/>
                <w:sz w:val="21"/>
                <w:szCs w:val="21"/>
              </w:rPr>
              <w:t>、</w:t>
            </w:r>
            <w:r>
              <w:rPr>
                <w:rFonts w:hint="default" w:ascii="Times New Roman" w:hAnsi="Times New Roman" w:eastAsia="宋体" w:cs="Times New Roman"/>
                <w:spacing w:val="0"/>
                <w:w w:val="100"/>
                <w:sz w:val="21"/>
                <w:szCs w:val="21"/>
                <w:lang w:val="en-US" w:eastAsia="zh-CN"/>
              </w:rPr>
              <w:t>制造</w:t>
            </w:r>
            <w:r>
              <w:rPr>
                <w:rFonts w:hint="default" w:ascii="Times New Roman" w:hAnsi="Times New Roman" w:eastAsia="宋体" w:cs="Times New Roman"/>
                <w:spacing w:val="0"/>
                <w:w w:val="100"/>
                <w:sz w:val="21"/>
                <w:szCs w:val="21"/>
              </w:rPr>
              <w:t>工艺</w:t>
            </w:r>
            <w:r>
              <w:rPr>
                <w:rFonts w:hint="default" w:ascii="Times New Roman" w:hAnsi="Times New Roman" w:eastAsia="宋体" w:cs="Times New Roman"/>
                <w:spacing w:val="0"/>
                <w:w w:val="100"/>
                <w:sz w:val="21"/>
                <w:szCs w:val="21"/>
                <w:lang w:val="en-US" w:eastAsia="zh-CN"/>
              </w:rPr>
              <w:t>和</w:t>
            </w:r>
            <w:r>
              <w:rPr>
                <w:rFonts w:hint="default" w:ascii="Times New Roman" w:hAnsi="Times New Roman" w:eastAsia="宋体" w:cs="Times New Roman"/>
                <w:spacing w:val="0"/>
                <w:w w:val="100"/>
                <w:sz w:val="21"/>
                <w:szCs w:val="21"/>
              </w:rPr>
              <w:t>产品</w:t>
            </w:r>
            <w:r>
              <w:rPr>
                <w:rFonts w:hint="default" w:ascii="Times New Roman" w:hAnsi="Times New Roman" w:eastAsia="宋体" w:cs="Times New Roman"/>
                <w:spacing w:val="0"/>
                <w:w w:val="100"/>
                <w:sz w:val="21"/>
                <w:szCs w:val="21"/>
                <w:lang w:val="en-US" w:eastAsia="zh-CN"/>
              </w:rPr>
              <w:t>性能等</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w:t>
            </w:r>
          </w:p>
        </w:tc>
        <w:tc>
          <w:tcPr>
            <w:tcW w:w="9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品牌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4.1品牌规划</w:t>
            </w:r>
          </w:p>
        </w:tc>
        <w:tc>
          <w:tcPr>
            <w:tcW w:w="10840" w:type="dxa"/>
            <w:vAlign w:val="top"/>
          </w:tcPr>
          <w:p>
            <w:pPr>
              <w:keepNext w:val="0"/>
              <w:keepLines w:val="0"/>
              <w:pageBreakBefore w:val="0"/>
              <w:widowControl w:val="0"/>
              <w:numPr>
                <w:ilvl w:val="0"/>
                <w:numId w:val="1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keepNext w:val="0"/>
              <w:keepLines w:val="0"/>
              <w:pageBreakBefore w:val="0"/>
              <w:widowControl w:val="0"/>
              <w:numPr>
                <w:ilvl w:val="0"/>
                <w:numId w:val="1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keepNext w:val="0"/>
              <w:keepLines w:val="0"/>
              <w:pageBreakBefore w:val="0"/>
              <w:widowControl w:val="0"/>
              <w:numPr>
                <w:ilvl w:val="0"/>
                <w:numId w:val="1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4.2品牌管理</w:t>
            </w:r>
          </w:p>
        </w:tc>
        <w:tc>
          <w:tcPr>
            <w:tcW w:w="10840" w:type="dxa"/>
            <w:vAlign w:val="top"/>
          </w:tcPr>
          <w:p>
            <w:pPr>
              <w:keepNext w:val="0"/>
              <w:keepLines w:val="0"/>
              <w:pageBreakBefore w:val="0"/>
              <w:widowControl w:val="0"/>
              <w:numPr>
                <w:ilvl w:val="0"/>
                <w:numId w:val="2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keepNext w:val="0"/>
              <w:keepLines w:val="0"/>
              <w:pageBreakBefore w:val="0"/>
              <w:widowControl w:val="0"/>
              <w:numPr>
                <w:ilvl w:val="0"/>
                <w:numId w:val="2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keepNext w:val="0"/>
              <w:keepLines w:val="0"/>
              <w:pageBreakBefore w:val="0"/>
              <w:widowControl w:val="0"/>
              <w:numPr>
                <w:ilvl w:val="0"/>
                <w:numId w:val="2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4.3品牌保护</w:t>
            </w:r>
          </w:p>
        </w:tc>
        <w:tc>
          <w:tcPr>
            <w:tcW w:w="10840" w:type="dxa"/>
            <w:vAlign w:val="top"/>
          </w:tcPr>
          <w:p>
            <w:pPr>
              <w:keepNext w:val="0"/>
              <w:keepLines w:val="0"/>
              <w:pageBreakBefore w:val="0"/>
              <w:widowControl w:val="0"/>
              <w:numPr>
                <w:ilvl w:val="0"/>
                <w:numId w:val="2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keepNext w:val="0"/>
              <w:keepLines w:val="0"/>
              <w:pageBreakBefore w:val="0"/>
              <w:widowControl w:val="0"/>
              <w:numPr>
                <w:ilvl w:val="0"/>
                <w:numId w:val="2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keepNext w:val="0"/>
              <w:keepLines w:val="0"/>
              <w:pageBreakBefore w:val="0"/>
              <w:widowControl w:val="0"/>
              <w:numPr>
                <w:ilvl w:val="0"/>
                <w:numId w:val="2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w:t>
            </w:r>
          </w:p>
        </w:tc>
        <w:tc>
          <w:tcPr>
            <w:tcW w:w="9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效益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250分</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5.1质量水平</w:t>
            </w:r>
          </w:p>
        </w:tc>
        <w:tc>
          <w:tcPr>
            <w:tcW w:w="10840" w:type="dxa"/>
            <w:vAlign w:val="top"/>
          </w:tcPr>
          <w:p>
            <w:pPr>
              <w:keepNext w:val="0"/>
              <w:keepLines w:val="0"/>
              <w:pageBreakBefore w:val="0"/>
              <w:widowControl w:val="0"/>
              <w:numPr>
                <w:ilvl w:val="0"/>
                <w:numId w:val="2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说明产品或服务的关键质量指标水平及提升情况。</w:t>
            </w:r>
          </w:p>
          <w:p>
            <w:pPr>
              <w:keepNext w:val="0"/>
              <w:keepLines w:val="0"/>
              <w:pageBreakBefore w:val="0"/>
              <w:widowControl w:val="0"/>
              <w:numPr>
                <w:ilvl w:val="0"/>
                <w:numId w:val="2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keepNext w:val="0"/>
              <w:keepLines w:val="0"/>
              <w:pageBreakBefore w:val="0"/>
              <w:widowControl w:val="0"/>
              <w:numPr>
                <w:ilvl w:val="0"/>
                <w:numId w:val="2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5.2创新价值</w:t>
            </w:r>
          </w:p>
        </w:tc>
        <w:tc>
          <w:tcPr>
            <w:tcW w:w="10840" w:type="dxa"/>
            <w:vAlign w:val="top"/>
          </w:tcPr>
          <w:p>
            <w:pPr>
              <w:keepNext w:val="0"/>
              <w:keepLines w:val="0"/>
              <w:pageBreakBefore w:val="0"/>
              <w:widowControl w:val="0"/>
              <w:numPr>
                <w:ilvl w:val="0"/>
                <w:numId w:val="2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说明拥有的核心技术或业务引领行业发展状况，包括发明专利、参与标准制定和新产品的市场销售等方面的情况。</w:t>
            </w:r>
          </w:p>
          <w:p>
            <w:pPr>
              <w:keepNext w:val="0"/>
              <w:keepLines w:val="0"/>
              <w:pageBreakBefore w:val="0"/>
              <w:widowControl w:val="0"/>
              <w:numPr>
                <w:ilvl w:val="0"/>
                <w:numId w:val="2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说明核心技术或业务在增强市场竞争力方面的促进作用，如适应市场需求、替代进口产品和突破技术壁垒以及推动科技进步、引领产业发展、保护生态环境、减少资源消耗、保障国家安全等。</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5.3品牌影响</w:t>
            </w:r>
          </w:p>
        </w:tc>
        <w:tc>
          <w:tcPr>
            <w:tcW w:w="10840" w:type="dxa"/>
            <w:vAlign w:val="top"/>
          </w:tcPr>
          <w:p>
            <w:pPr>
              <w:keepNext w:val="0"/>
              <w:keepLines w:val="0"/>
              <w:pageBreakBefore w:val="0"/>
              <w:widowControl w:val="0"/>
              <w:numPr>
                <w:ilvl w:val="0"/>
                <w:numId w:val="24"/>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5.4绿色成效</w:t>
            </w:r>
          </w:p>
        </w:tc>
        <w:tc>
          <w:tcPr>
            <w:tcW w:w="10840" w:type="dxa"/>
            <w:vAlign w:val="top"/>
          </w:tcPr>
          <w:p>
            <w:pPr>
              <w:keepNext w:val="0"/>
              <w:keepLines w:val="0"/>
              <w:pageBreakBefore w:val="0"/>
              <w:widowControl w:val="0"/>
              <w:numPr>
                <w:ilvl w:val="0"/>
                <w:numId w:val="25"/>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说明单位产值综合能耗/综合水耗及发展趋势。</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说明可再生能源利用及占比情况及发展趋势。</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说明单位建设用地产值及发展趋势。</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5.5效率变革</w:t>
            </w:r>
          </w:p>
        </w:tc>
        <w:tc>
          <w:tcPr>
            <w:tcW w:w="1084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a.说明生产组织效率，如生产或服务现场质量管理成熟度等情况及发展趋势。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b.说明组织运行效率如全员劳动生产率,加工、制造及服务提供过程</w:t>
            </w:r>
            <w:r>
              <w:rPr>
                <w:rFonts w:hint="default" w:ascii="Times New Roman" w:hAnsi="Times New Roman" w:eastAsia="宋体" w:cs="Times New Roman"/>
                <w:color w:val="000000"/>
                <w:spacing w:val="0"/>
                <w:w w:val="100"/>
                <w:sz w:val="21"/>
                <w:szCs w:val="21"/>
              </w:rPr>
              <w:t>信息化、智能化</w:t>
            </w:r>
            <w:r>
              <w:rPr>
                <w:rFonts w:hint="default" w:ascii="Times New Roman" w:hAnsi="Times New Roman" w:eastAsia="宋体" w:cs="Times New Roman"/>
                <w:color w:val="000000"/>
                <w:spacing w:val="0"/>
                <w:w w:val="100"/>
                <w:sz w:val="21"/>
                <w:szCs w:val="21"/>
                <w:lang w:val="en-US" w:eastAsia="zh-CN"/>
              </w:rPr>
              <w:t>和数字化及运行</w:t>
            </w:r>
            <w:r>
              <w:rPr>
                <w:rFonts w:hint="default" w:ascii="Times New Roman" w:hAnsi="Times New Roman" w:eastAsia="宋体" w:cs="Times New Roman"/>
                <w:spacing w:val="0"/>
                <w:w w:val="100"/>
                <w:sz w:val="21"/>
                <w:szCs w:val="21"/>
                <w:lang w:val="en-US" w:eastAsia="zh-CN"/>
              </w:rPr>
              <w:t>有效性和效率状况及发展趋势。</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5.6经济效益</w:t>
            </w:r>
          </w:p>
        </w:tc>
        <w:tc>
          <w:tcPr>
            <w:tcW w:w="10840" w:type="dxa"/>
            <w:vAlign w:val="top"/>
          </w:tcPr>
          <w:p>
            <w:pPr>
              <w:keepNext w:val="0"/>
              <w:keepLines w:val="0"/>
              <w:pageBreakBefore w:val="0"/>
              <w:widowControl w:val="0"/>
              <w:numPr>
                <w:ilvl w:val="0"/>
                <w:numId w:val="26"/>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keepNext w:val="0"/>
              <w:keepLines w:val="0"/>
              <w:pageBreakBefore w:val="0"/>
              <w:widowControl w:val="0"/>
              <w:numPr>
                <w:ilvl w:val="0"/>
                <w:numId w:val="26"/>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8"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3"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5.7社会效益</w:t>
            </w:r>
          </w:p>
        </w:tc>
        <w:tc>
          <w:tcPr>
            <w:tcW w:w="10840" w:type="dxa"/>
            <w:vAlign w:val="top"/>
          </w:tcPr>
          <w:p>
            <w:pPr>
              <w:keepNext w:val="0"/>
              <w:keepLines w:val="0"/>
              <w:pageBreakBefore w:val="0"/>
              <w:widowControl w:val="0"/>
              <w:numPr>
                <w:ilvl w:val="0"/>
                <w:numId w:val="27"/>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keepNext w:val="0"/>
              <w:keepLines w:val="0"/>
              <w:pageBreakBefore w:val="0"/>
              <w:widowControl w:val="0"/>
              <w:numPr>
                <w:ilvl w:val="0"/>
                <w:numId w:val="27"/>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041"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vertAlign w:val="baseline"/>
                <w:lang w:val="en-US" w:eastAsia="zh-CN"/>
              </w:rPr>
              <w:t>合计</w:t>
            </w:r>
          </w:p>
        </w:tc>
        <w:tc>
          <w:tcPr>
            <w:tcW w:w="8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1000分</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黑体" w:cs="黑体"/>
          <w:b w:val="0"/>
          <w:bCs w:val="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黑体" w:cs="黑体"/>
          <w:b w:val="0"/>
          <w:bCs w:val="0"/>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中山市政府质量奖评分要点（服务业）</w:t>
      </w:r>
    </w:p>
    <w:tbl>
      <w:tblPr>
        <w:tblStyle w:val="7"/>
        <w:tblW w:w="14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908"/>
        <w:gridCol w:w="1630"/>
        <w:gridCol w:w="1038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253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3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jc w:val="center"/>
              <w:rPr>
                <w:rFonts w:hint="eastAsia" w:ascii="黑体" w:hAnsi="黑体" w:eastAsia="黑体" w:cs="黑体"/>
                <w:spacing w:val="0"/>
                <w:w w:val="100"/>
                <w:sz w:val="21"/>
                <w:szCs w:val="21"/>
              </w:rPr>
            </w:pPr>
          </w:p>
        </w:tc>
        <w:tc>
          <w:tcPr>
            <w:tcW w:w="90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380" w:type="dxa"/>
            <w:vMerge w:val="continue"/>
            <w:vAlign w:val="top"/>
          </w:tcPr>
          <w:p>
            <w:pPr>
              <w:jc w:val="center"/>
              <w:rPr>
                <w:rFonts w:hint="default" w:ascii="Times New Roman" w:hAnsi="Times New Roman" w:eastAsia="宋体" w:cs="Times New Roman"/>
                <w:spacing w:val="0"/>
                <w:w w:val="100"/>
                <w:sz w:val="21"/>
                <w:szCs w:val="21"/>
                <w:vertAlign w:val="baseline"/>
                <w:lang w:val="en-US" w:eastAsia="zh-CN"/>
              </w:rPr>
            </w:pPr>
          </w:p>
        </w:tc>
        <w:tc>
          <w:tcPr>
            <w:tcW w:w="1141" w:type="dxa"/>
            <w:vMerge w:val="continue"/>
            <w:vAlign w:val="top"/>
          </w:tcPr>
          <w:p>
            <w:pPr>
              <w:jc w:val="center"/>
              <w:rPr>
                <w:rFonts w:hint="default" w:ascii="Times New Roman" w:hAnsi="Times New Roman" w:eastAsia="宋体" w:cs="Times New Roman"/>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w:t>
            </w:r>
          </w:p>
        </w:tc>
        <w:tc>
          <w:tcPr>
            <w:tcW w:w="90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领导</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1.1企业家精神</w:t>
            </w:r>
          </w:p>
        </w:tc>
        <w:tc>
          <w:tcPr>
            <w:tcW w:w="103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numPr>
                <w:ilvl w:val="0"/>
                <w:numId w:val="28"/>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1.2组织文化</w:t>
            </w:r>
          </w:p>
        </w:tc>
        <w:tc>
          <w:tcPr>
            <w:tcW w:w="10380" w:type="dxa"/>
            <w:vAlign w:val="top"/>
          </w:tcPr>
          <w:p>
            <w:pPr>
              <w:keepNext w:val="0"/>
              <w:keepLines w:val="0"/>
              <w:pageBreakBefore w:val="0"/>
              <w:widowControl w:val="0"/>
              <w:numPr>
                <w:ilvl w:val="0"/>
                <w:numId w:val="2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keepNext w:val="0"/>
              <w:keepLines w:val="0"/>
              <w:pageBreakBefore w:val="0"/>
              <w:widowControl w:val="0"/>
              <w:numPr>
                <w:ilvl w:val="0"/>
                <w:numId w:val="2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如何建立以质量为核心的组织文化，并以其自身言行展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keepNext w:val="0"/>
              <w:keepLines w:val="0"/>
              <w:pageBreakBefore w:val="0"/>
              <w:widowControl w:val="0"/>
              <w:numPr>
                <w:ilvl w:val="0"/>
                <w:numId w:val="29"/>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如何对组织文化的建设进行评估并持续改善。</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1.3战略管理</w:t>
            </w:r>
          </w:p>
        </w:tc>
        <w:tc>
          <w:tcPr>
            <w:tcW w:w="10380" w:type="dxa"/>
            <w:vAlign w:val="top"/>
          </w:tcPr>
          <w:p>
            <w:pPr>
              <w:keepNext w:val="0"/>
              <w:keepLines w:val="0"/>
              <w:pageBreakBefore w:val="0"/>
              <w:widowControl w:val="0"/>
              <w:numPr>
                <w:ilvl w:val="0"/>
                <w:numId w:val="3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keepNext w:val="0"/>
              <w:keepLines w:val="0"/>
              <w:pageBreakBefore w:val="0"/>
              <w:widowControl w:val="0"/>
              <w:numPr>
                <w:ilvl w:val="0"/>
                <w:numId w:val="3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如何制定战略目标并加以分解到组织的各个层次，并建立绩效监测、分析、评价与改进体系，确保战略目标的达成。</w:t>
            </w:r>
          </w:p>
          <w:p>
            <w:pPr>
              <w:keepNext w:val="0"/>
              <w:keepLines w:val="0"/>
              <w:pageBreakBefore w:val="0"/>
              <w:widowControl w:val="0"/>
              <w:numPr>
                <w:ilvl w:val="0"/>
                <w:numId w:val="3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1.4组织治理</w:t>
            </w:r>
          </w:p>
        </w:tc>
        <w:tc>
          <w:tcPr>
            <w:tcW w:w="10380" w:type="dxa"/>
            <w:vAlign w:val="top"/>
          </w:tcPr>
          <w:p>
            <w:pPr>
              <w:keepNext w:val="0"/>
              <w:keepLines w:val="0"/>
              <w:pageBreakBefore w:val="0"/>
              <w:widowControl w:val="0"/>
              <w:numPr>
                <w:ilvl w:val="0"/>
                <w:numId w:val="3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keepNext w:val="0"/>
              <w:keepLines w:val="0"/>
              <w:pageBreakBefore w:val="0"/>
              <w:widowControl w:val="0"/>
              <w:numPr>
                <w:ilvl w:val="0"/>
                <w:numId w:val="3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keepNext w:val="0"/>
              <w:keepLines w:val="0"/>
              <w:pageBreakBefore w:val="0"/>
              <w:widowControl w:val="0"/>
              <w:numPr>
                <w:ilvl w:val="0"/>
                <w:numId w:val="3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1.5社会责任</w:t>
            </w:r>
          </w:p>
        </w:tc>
        <w:tc>
          <w:tcPr>
            <w:tcW w:w="10380" w:type="dxa"/>
            <w:vAlign w:val="top"/>
          </w:tcPr>
          <w:p>
            <w:pPr>
              <w:keepNext w:val="0"/>
              <w:keepLines w:val="0"/>
              <w:pageBreakBefore w:val="0"/>
              <w:widowControl w:val="0"/>
              <w:numPr>
                <w:ilvl w:val="0"/>
                <w:numId w:val="3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keepNext w:val="0"/>
              <w:keepLines w:val="0"/>
              <w:pageBreakBefore w:val="0"/>
              <w:widowControl w:val="0"/>
              <w:numPr>
                <w:ilvl w:val="0"/>
                <w:numId w:val="3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keepNext w:val="0"/>
              <w:keepLines w:val="0"/>
              <w:pageBreakBefore w:val="0"/>
              <w:widowControl w:val="0"/>
              <w:numPr>
                <w:ilvl w:val="0"/>
                <w:numId w:val="3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w:t>
            </w:r>
          </w:p>
        </w:tc>
        <w:tc>
          <w:tcPr>
            <w:tcW w:w="90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质量</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300分</w:t>
            </w: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2.1管理体系</w:t>
            </w:r>
          </w:p>
        </w:tc>
        <w:tc>
          <w:tcPr>
            <w:tcW w:w="10380" w:type="dxa"/>
            <w:vAlign w:val="top"/>
          </w:tcPr>
          <w:p>
            <w:pPr>
              <w:keepNext w:val="0"/>
              <w:keepLines w:val="0"/>
              <w:pageBreakBefore w:val="0"/>
              <w:widowControl w:val="0"/>
              <w:numPr>
                <w:ilvl w:val="0"/>
                <w:numId w:val="3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如何进行组织管理体系的建设和融合，如质量、环境、职业健康安全、能源、风险、诚信、知识产权、创新或合规性管理等体系的建立、实施、保持和融合。</w:t>
            </w:r>
          </w:p>
          <w:p>
            <w:pPr>
              <w:keepNext w:val="0"/>
              <w:keepLines w:val="0"/>
              <w:pageBreakBefore w:val="0"/>
              <w:widowControl w:val="0"/>
              <w:numPr>
                <w:ilvl w:val="0"/>
                <w:numId w:val="3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如何运用新一代信息技术对组织的物流、资金流和信息流进行有效控制和管理，以增强组织竞争力。</w:t>
            </w:r>
          </w:p>
          <w:p>
            <w:pPr>
              <w:keepNext w:val="0"/>
              <w:keepLines w:val="0"/>
              <w:pageBreakBefore w:val="0"/>
              <w:widowControl w:val="0"/>
              <w:numPr>
                <w:ilvl w:val="0"/>
                <w:numId w:val="3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如何对这些管理体系的建设、运行和融合进行监测和评审，并不断提高其有效性和效率。</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2.2顾客需求</w:t>
            </w:r>
          </w:p>
        </w:tc>
        <w:tc>
          <w:tcPr>
            <w:tcW w:w="10380" w:type="dxa"/>
            <w:vAlign w:val="top"/>
          </w:tcPr>
          <w:p>
            <w:pPr>
              <w:keepNext w:val="0"/>
              <w:keepLines w:val="0"/>
              <w:pageBreakBefore w:val="0"/>
              <w:widowControl w:val="0"/>
              <w:numPr>
                <w:ilvl w:val="0"/>
                <w:numId w:val="3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质量、安全、健康、知情权、选择权、补偿权、隐私权、交付期等，并将这些需求和期望转化到组织的服务和/或服务提供过程设计、创新和质量改进中。</w:t>
            </w:r>
          </w:p>
          <w:p>
            <w:pPr>
              <w:keepNext w:val="0"/>
              <w:keepLines w:val="0"/>
              <w:pageBreakBefore w:val="0"/>
              <w:widowControl w:val="0"/>
              <w:numPr>
                <w:ilvl w:val="0"/>
                <w:numId w:val="3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如何应用适宜的技术和方法有效管理顾客关系，并定期测量顾客满意度，以改进服务水平</w:t>
            </w:r>
            <w:r>
              <w:rPr>
                <w:rFonts w:hint="default" w:ascii="Times New Roman" w:hAnsi="Times New Roman" w:eastAsia="宋体" w:cs="Times New Roman"/>
                <w:spacing w:val="0"/>
                <w:w w:val="100"/>
                <w:sz w:val="21"/>
                <w:szCs w:val="21"/>
                <w:lang w:eastAsia="zh-CN"/>
              </w:rPr>
              <w:t>。</w:t>
            </w:r>
          </w:p>
          <w:p>
            <w:pPr>
              <w:keepNext w:val="0"/>
              <w:keepLines w:val="0"/>
              <w:pageBreakBefore w:val="0"/>
              <w:widowControl w:val="0"/>
              <w:numPr>
                <w:ilvl w:val="0"/>
                <w:numId w:val="34"/>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如何快速有效的处理顾客的投诉和抱怨，并对其原因进行分析以推动组织及合作伙伴不断改进。</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2.3质量协同</w:t>
            </w:r>
          </w:p>
        </w:tc>
        <w:tc>
          <w:tcPr>
            <w:tcW w:w="10380" w:type="dxa"/>
            <w:vAlign w:val="top"/>
          </w:tcPr>
          <w:p>
            <w:pPr>
              <w:keepNext w:val="0"/>
              <w:keepLines w:val="0"/>
              <w:pageBreakBefore w:val="0"/>
              <w:widowControl w:val="0"/>
              <w:numPr>
                <w:ilvl w:val="0"/>
                <w:numId w:val="3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如何有效进行供应链管理，以推动供应链组织之间的质量信息交流和质量改进，增强产业链自主可控能力，实现质量协同。</w:t>
            </w:r>
          </w:p>
          <w:p>
            <w:pPr>
              <w:keepNext w:val="0"/>
              <w:keepLines w:val="0"/>
              <w:pageBreakBefore w:val="0"/>
              <w:widowControl w:val="0"/>
              <w:numPr>
                <w:ilvl w:val="0"/>
                <w:numId w:val="3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如何建立关键供方质量考核和保证制度，并在供应链上下游组织复制或推广其质量管理模式、方法或制度。</w:t>
            </w:r>
          </w:p>
          <w:p>
            <w:pPr>
              <w:keepNext w:val="0"/>
              <w:keepLines w:val="0"/>
              <w:pageBreakBefore w:val="0"/>
              <w:widowControl w:val="0"/>
              <w:numPr>
                <w:ilvl w:val="0"/>
                <w:numId w:val="3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如何测量和评估供方绩效，并向供方反馈相关信息以帮助其改进。</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2.4质量基础</w:t>
            </w:r>
          </w:p>
        </w:tc>
        <w:tc>
          <w:tcPr>
            <w:tcW w:w="10380" w:type="dxa"/>
            <w:vAlign w:val="top"/>
          </w:tcPr>
          <w:p>
            <w:pPr>
              <w:keepNext w:val="0"/>
              <w:keepLines w:val="0"/>
              <w:pageBreakBefore w:val="0"/>
              <w:widowControl w:val="0"/>
              <w:numPr>
                <w:ilvl w:val="0"/>
                <w:numId w:val="3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keepNext w:val="0"/>
              <w:keepLines w:val="0"/>
              <w:pageBreakBefore w:val="0"/>
              <w:widowControl w:val="0"/>
              <w:numPr>
                <w:ilvl w:val="0"/>
                <w:numId w:val="3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如何运用成熟的管理制度、方法或工具对服务现场进行质量管理，并提升服务管理的信息化、智能化或数字化水平。</w:t>
            </w:r>
          </w:p>
          <w:p>
            <w:pPr>
              <w:keepNext w:val="0"/>
              <w:keepLines w:val="0"/>
              <w:pageBreakBefore w:val="0"/>
              <w:widowControl w:val="0"/>
              <w:numPr>
                <w:ilvl w:val="0"/>
                <w:numId w:val="3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如何建立质量安全保证和风险防控机制，包括信息收集、关键风险因素识别及相关措施的制定与实施，以避免产生具有重大影响的质量安全事故。</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2.5教育培训</w:t>
            </w:r>
          </w:p>
        </w:tc>
        <w:tc>
          <w:tcPr>
            <w:tcW w:w="10380" w:type="dxa"/>
            <w:vAlign w:val="top"/>
          </w:tcPr>
          <w:p>
            <w:pPr>
              <w:keepNext w:val="0"/>
              <w:keepLines w:val="0"/>
              <w:pageBreakBefore w:val="0"/>
              <w:widowControl w:val="0"/>
              <w:numPr>
                <w:ilvl w:val="0"/>
                <w:numId w:val="37"/>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keepNext w:val="0"/>
              <w:keepLines w:val="0"/>
              <w:pageBreakBefore w:val="0"/>
              <w:widowControl w:val="0"/>
              <w:numPr>
                <w:ilvl w:val="0"/>
                <w:numId w:val="37"/>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keepNext w:val="0"/>
              <w:keepLines w:val="0"/>
              <w:pageBreakBefore w:val="0"/>
              <w:widowControl w:val="0"/>
              <w:numPr>
                <w:ilvl w:val="0"/>
                <w:numId w:val="37"/>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如何开展教育培训以提升员工素质，包括开展职业技术资格认定、质量技能教育和培训等。</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2.6工匠精神</w:t>
            </w:r>
          </w:p>
        </w:tc>
        <w:tc>
          <w:tcPr>
            <w:tcW w:w="10380" w:type="dxa"/>
            <w:vAlign w:val="top"/>
          </w:tcPr>
          <w:p>
            <w:pPr>
              <w:keepNext w:val="0"/>
              <w:keepLines w:val="0"/>
              <w:pageBreakBefore w:val="0"/>
              <w:widowControl w:val="0"/>
              <w:numPr>
                <w:ilvl w:val="0"/>
                <w:numId w:val="3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如何树立精雕细琢、精益求精的工匠理念，培育新时期的工匠精神，进一步提高员工素质和整体水平。</w:t>
            </w:r>
          </w:p>
          <w:p>
            <w:pPr>
              <w:keepNext w:val="0"/>
              <w:keepLines w:val="0"/>
              <w:pageBreakBefore w:val="0"/>
              <w:widowControl w:val="0"/>
              <w:numPr>
                <w:ilvl w:val="0"/>
                <w:numId w:val="3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2.7质量变革</w:t>
            </w:r>
          </w:p>
        </w:tc>
        <w:tc>
          <w:tcPr>
            <w:tcW w:w="10380" w:type="dxa"/>
            <w:vAlign w:val="top"/>
          </w:tcPr>
          <w:p>
            <w:pPr>
              <w:keepNext w:val="0"/>
              <w:keepLines w:val="0"/>
              <w:pageBreakBefore w:val="0"/>
              <w:widowControl w:val="0"/>
              <w:numPr>
                <w:ilvl w:val="0"/>
                <w:numId w:val="39"/>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如何提升服务提供的质量水平，并通过不断改进服务提供质量，形成独特的竞争优势和对产业链的参与优势。</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如何改善服务质量、技能技术及管理水平等方面存在的差距，以提升产业链组织的稳定性。</w:t>
            </w:r>
          </w:p>
          <w:p>
            <w:pPr>
              <w:keepNext w:val="0"/>
              <w:keepLines w:val="0"/>
              <w:pageBreakBefore w:val="0"/>
              <w:widowControl w:val="0"/>
              <w:numPr>
                <w:ilvl w:val="0"/>
                <w:numId w:val="39"/>
              </w:numPr>
              <w:kinsoku/>
              <w:wordWrap/>
              <w:overflowPunct/>
              <w:topLinePunct w:val="0"/>
              <w:autoSpaceDE/>
              <w:autoSpaceDN/>
              <w:bidi w:val="0"/>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如何开展质量改进活动，包括诸如质量提升小组或跨部门质量提升或质量改进团队的建设以及质量改进工具与提升方法的应用等。</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w:t>
            </w:r>
          </w:p>
        </w:tc>
        <w:tc>
          <w:tcPr>
            <w:tcW w:w="90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创新</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3.1动力变革</w:t>
            </w:r>
          </w:p>
        </w:tc>
        <w:tc>
          <w:tcPr>
            <w:tcW w:w="10380"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keepNext w:val="0"/>
              <w:keepLines w:val="0"/>
              <w:pageBreakBefore w:val="0"/>
              <w:widowControl w:val="0"/>
              <w:numPr>
                <w:ilvl w:val="0"/>
                <w:numId w:val="40"/>
              </w:numPr>
              <w:kinsoku/>
              <w:wordWrap/>
              <w:overflowPunct/>
              <w:topLinePunct w:val="0"/>
              <w:autoSpaceDE/>
              <w:autoSpaceDN/>
              <w:bidi w:val="0"/>
              <w:adjustRightInd/>
              <w:snapToGrid/>
              <w:spacing w:line="360" w:lineRule="exact"/>
              <w:ind w:left="227" w:leftChars="0" w:hanging="227"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3.2创新能力</w:t>
            </w:r>
          </w:p>
        </w:tc>
        <w:tc>
          <w:tcPr>
            <w:tcW w:w="10380" w:type="dxa"/>
            <w:vAlign w:val="top"/>
          </w:tcPr>
          <w:p>
            <w:pPr>
              <w:keepNext w:val="0"/>
              <w:keepLines w:val="0"/>
              <w:pageBreakBefore w:val="0"/>
              <w:widowControl w:val="0"/>
              <w:numPr>
                <w:ilvl w:val="0"/>
                <w:numId w:val="4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如何建设创新平台和打造科研创新团队（包括参与服务领域重大科研项目的能力），并保持创新平台的有效运行以提升组织的核心竞争力。</w:t>
            </w:r>
          </w:p>
          <w:p>
            <w:pPr>
              <w:keepNext w:val="0"/>
              <w:keepLines w:val="0"/>
              <w:pageBreakBefore w:val="0"/>
              <w:widowControl w:val="0"/>
              <w:numPr>
                <w:ilvl w:val="0"/>
                <w:numId w:val="4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如何提升服务数字化、智能化发展水平，增强个性化、多样化、柔性化服务能力。</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3.3管理创新</w:t>
            </w:r>
          </w:p>
        </w:tc>
        <w:tc>
          <w:tcPr>
            <w:tcW w:w="103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a.如何根据组织的战略任务，结合服务领域的发展趋势，有组织有计划地推动管理创新，包括针对具体服务质量问题，创新管理工具和方法，以使组织的各项活动更加高效。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b.如何进行组织的管理模式、经营模式、商业模式创新，如基于互联网的个性化、柔性化、分布式服务。</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3.4技术创新</w:t>
            </w:r>
          </w:p>
        </w:tc>
        <w:tc>
          <w:tcPr>
            <w:tcW w:w="10380" w:type="dxa"/>
            <w:vAlign w:val="top"/>
          </w:tcPr>
          <w:p>
            <w:pPr>
              <w:keepNext w:val="0"/>
              <w:keepLines w:val="0"/>
              <w:pageBreakBefore w:val="0"/>
              <w:widowControl w:val="0"/>
              <w:numPr>
                <w:ilvl w:val="0"/>
                <w:numId w:val="4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如何围绕组织的使命和愿景，结合政策要求和环境变化，形成组织的标准技术体系，并合理布局自身专利，保护自身的知识产权。</w:t>
            </w:r>
          </w:p>
          <w:p>
            <w:pPr>
              <w:keepNext w:val="0"/>
              <w:keepLines w:val="0"/>
              <w:pageBreakBefore w:val="0"/>
              <w:widowControl w:val="0"/>
              <w:numPr>
                <w:ilvl w:val="0"/>
                <w:numId w:val="4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如何建立、实施和保持技术评估体系，并与竞争对手和标杆进行比较分析，不断提高组织服务</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val="en-US" w:eastAsia="zh-CN"/>
              </w:rPr>
              <w:t>。</w:t>
            </w:r>
          </w:p>
          <w:p>
            <w:pPr>
              <w:keepNext w:val="0"/>
              <w:keepLines w:val="0"/>
              <w:pageBreakBefore w:val="0"/>
              <w:widowControl w:val="0"/>
              <w:numPr>
                <w:ilvl w:val="0"/>
                <w:numId w:val="42"/>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如何加强服务技术创新和应用，利用互联网、物联网、大数据等新一代信息技术打造关键共性技术平台，进行</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w:t>
            </w:r>
          </w:p>
        </w:tc>
        <w:tc>
          <w:tcPr>
            <w:tcW w:w="90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品牌</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100分</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4.1品牌规划</w:t>
            </w:r>
          </w:p>
        </w:tc>
        <w:tc>
          <w:tcPr>
            <w:tcW w:w="10380" w:type="dxa"/>
            <w:vAlign w:val="top"/>
          </w:tcPr>
          <w:p>
            <w:pPr>
              <w:keepNext w:val="0"/>
              <w:keepLines w:val="0"/>
              <w:pageBreakBefore w:val="0"/>
              <w:widowControl w:val="0"/>
              <w:numPr>
                <w:ilvl w:val="0"/>
                <w:numId w:val="43"/>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如何基于顾客的需求和期望进行品牌定位，建立以品牌核心价值和特性为中心的品牌识别系统。</w:t>
            </w:r>
          </w:p>
          <w:p>
            <w:pPr>
              <w:keepNext w:val="0"/>
              <w:keepLines w:val="0"/>
              <w:pageBreakBefore w:val="0"/>
              <w:widowControl w:val="0"/>
              <w:numPr>
                <w:ilvl w:val="0"/>
                <w:numId w:val="43"/>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keepNext w:val="0"/>
              <w:keepLines w:val="0"/>
              <w:pageBreakBefore w:val="0"/>
              <w:widowControl w:val="0"/>
              <w:numPr>
                <w:ilvl w:val="0"/>
                <w:numId w:val="43"/>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如何利用组织有价值的活动提升品牌的知名度、认知度、忠诚度和美誉度。</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4.2品牌管理</w:t>
            </w:r>
          </w:p>
        </w:tc>
        <w:tc>
          <w:tcPr>
            <w:tcW w:w="10380" w:type="dxa"/>
            <w:vAlign w:val="top"/>
          </w:tcPr>
          <w:p>
            <w:pPr>
              <w:keepNext w:val="0"/>
              <w:keepLines w:val="0"/>
              <w:pageBreakBefore w:val="0"/>
              <w:widowControl w:val="0"/>
              <w:numPr>
                <w:ilvl w:val="0"/>
                <w:numId w:val="44"/>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如何进行品牌管理，抓住时机进行品牌延伸扩张，并有效回避品牌延伸的风险。 </w:t>
            </w:r>
          </w:p>
          <w:p>
            <w:pPr>
              <w:keepNext w:val="0"/>
              <w:keepLines w:val="0"/>
              <w:pageBreakBefore w:val="0"/>
              <w:widowControl w:val="0"/>
              <w:numPr>
                <w:ilvl w:val="0"/>
                <w:numId w:val="44"/>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如何预防市场垄断及倾销行为。</w:t>
            </w:r>
          </w:p>
          <w:p>
            <w:pPr>
              <w:keepNext w:val="0"/>
              <w:keepLines w:val="0"/>
              <w:pageBreakBefore w:val="0"/>
              <w:widowControl w:val="0"/>
              <w:numPr>
                <w:ilvl w:val="0"/>
                <w:numId w:val="44"/>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08"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4.3品牌保护</w:t>
            </w:r>
          </w:p>
        </w:tc>
        <w:tc>
          <w:tcPr>
            <w:tcW w:w="10380" w:type="dxa"/>
            <w:vAlign w:val="top"/>
          </w:tcPr>
          <w:p>
            <w:pPr>
              <w:keepNext w:val="0"/>
              <w:keepLines w:val="0"/>
              <w:pageBreakBefore w:val="0"/>
              <w:widowControl w:val="0"/>
              <w:numPr>
                <w:ilvl w:val="0"/>
                <w:numId w:val="45"/>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如何进行品牌保护，包括组织商标国内外的注册。</w:t>
            </w:r>
          </w:p>
          <w:p>
            <w:pPr>
              <w:keepNext w:val="0"/>
              <w:keepLines w:val="0"/>
              <w:pageBreakBefore w:val="0"/>
              <w:widowControl w:val="0"/>
              <w:numPr>
                <w:ilvl w:val="0"/>
                <w:numId w:val="45"/>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如何建立顾客投诉及快速协调解决机制，以使组织有效避免潜在的品牌风险。</w:t>
            </w:r>
          </w:p>
          <w:p>
            <w:pPr>
              <w:keepNext w:val="0"/>
              <w:keepLines w:val="0"/>
              <w:pageBreakBefore w:val="0"/>
              <w:widowControl w:val="0"/>
              <w:numPr>
                <w:ilvl w:val="0"/>
                <w:numId w:val="45"/>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w:t>
            </w:r>
            <w:r>
              <w:rPr>
                <w:rFonts w:hint="default" w:ascii="Times New Roman" w:hAnsi="Times New Roman" w:eastAsia="宋体" w:cs="Times New Roman"/>
                <w:spacing w:val="0"/>
                <w:w w:val="100"/>
                <w:sz w:val="21"/>
                <w:szCs w:val="21"/>
              </w:rPr>
              <w:t>建立和保持品牌危机预警和应急处理系统，评估公关方案的及时性和有效性，消除或降低品牌的负面影响</w:t>
            </w:r>
            <w:r>
              <w:rPr>
                <w:rFonts w:hint="default" w:ascii="Times New Roman" w:hAnsi="Times New Roman" w:eastAsia="宋体" w:cs="Times New Roman"/>
                <w:spacing w:val="0"/>
                <w:w w:val="100"/>
                <w:sz w:val="21"/>
                <w:szCs w:val="21"/>
                <w:lang w:val="en-US" w:eastAsia="zh-CN"/>
              </w:rPr>
              <w:t>。</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w:t>
            </w:r>
          </w:p>
        </w:tc>
        <w:tc>
          <w:tcPr>
            <w:tcW w:w="908"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效益</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250分</w:t>
            </w: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5.1质量水平</w:t>
            </w:r>
          </w:p>
        </w:tc>
        <w:tc>
          <w:tcPr>
            <w:tcW w:w="10380" w:type="dxa"/>
            <w:vAlign w:val="top"/>
          </w:tcPr>
          <w:p>
            <w:pPr>
              <w:keepNext w:val="0"/>
              <w:keepLines w:val="0"/>
              <w:pageBreakBefore w:val="0"/>
              <w:widowControl w:val="0"/>
              <w:numPr>
                <w:ilvl w:val="0"/>
                <w:numId w:val="4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说明服务的关键质量指标水平及提升情况。</w:t>
            </w:r>
          </w:p>
          <w:p>
            <w:pPr>
              <w:keepNext w:val="0"/>
              <w:keepLines w:val="0"/>
              <w:pageBreakBefore w:val="0"/>
              <w:widowControl w:val="0"/>
              <w:numPr>
                <w:ilvl w:val="0"/>
                <w:numId w:val="4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说明质量安全状况，如人员伤亡、质量安全事故、大规模消费者投诉举报、质量诚信不良记录等。</w:t>
            </w:r>
          </w:p>
          <w:p>
            <w:pPr>
              <w:keepNext w:val="0"/>
              <w:keepLines w:val="0"/>
              <w:pageBreakBefore w:val="0"/>
              <w:widowControl w:val="0"/>
              <w:numPr>
                <w:ilvl w:val="0"/>
                <w:numId w:val="4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说明国内外质量奖励或荣誉情况。</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5.2创新价值</w:t>
            </w:r>
          </w:p>
        </w:tc>
        <w:tc>
          <w:tcPr>
            <w:tcW w:w="10380" w:type="dxa"/>
            <w:vAlign w:val="top"/>
          </w:tcPr>
          <w:p>
            <w:pPr>
              <w:keepNext w:val="0"/>
              <w:keepLines w:val="0"/>
              <w:pageBreakBefore w:val="0"/>
              <w:widowControl w:val="0"/>
              <w:numPr>
                <w:ilvl w:val="0"/>
                <w:numId w:val="47"/>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说明拥有的核心技术或业务引领行业发展状况，包括新业务的市场情况。</w:t>
            </w:r>
          </w:p>
          <w:p>
            <w:pPr>
              <w:keepNext w:val="0"/>
              <w:keepLines w:val="0"/>
              <w:pageBreakBefore w:val="0"/>
              <w:widowControl w:val="0"/>
              <w:numPr>
                <w:ilvl w:val="0"/>
                <w:numId w:val="47"/>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说明核心技术或业务在增强市场竞争力方面的促进作用，如适应市场需求和突破技术壁垒以及推动科技进步、引领产业发展、保护生态环境、减少资源消耗、保障国家安全等。</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5.3品牌影响</w:t>
            </w:r>
          </w:p>
        </w:tc>
        <w:tc>
          <w:tcPr>
            <w:tcW w:w="10380" w:type="dxa"/>
            <w:vAlign w:val="top"/>
          </w:tcPr>
          <w:p>
            <w:pPr>
              <w:keepNext w:val="0"/>
              <w:keepLines w:val="0"/>
              <w:pageBreakBefore w:val="0"/>
              <w:widowControl w:val="0"/>
              <w:numPr>
                <w:ilvl w:val="0"/>
                <w:numId w:val="4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说明主品牌在市场的影响情况，如顾客满意度和忠诚度，品牌知名度、认知度、美誉度等。</w:t>
            </w:r>
          </w:p>
          <w:p>
            <w:pPr>
              <w:keepNext w:val="0"/>
              <w:keepLines w:val="0"/>
              <w:pageBreakBefore w:val="0"/>
              <w:widowControl w:val="0"/>
              <w:numPr>
                <w:ilvl w:val="0"/>
                <w:numId w:val="4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keepNext w:val="0"/>
              <w:keepLines w:val="0"/>
              <w:pageBreakBefore w:val="0"/>
              <w:widowControl w:val="0"/>
              <w:numPr>
                <w:ilvl w:val="0"/>
                <w:numId w:val="48"/>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5.4绿色成效</w:t>
            </w:r>
          </w:p>
        </w:tc>
        <w:tc>
          <w:tcPr>
            <w:tcW w:w="10380" w:type="dxa"/>
            <w:vAlign w:val="top"/>
          </w:tcPr>
          <w:p>
            <w:pPr>
              <w:keepNext w:val="0"/>
              <w:keepLines w:val="0"/>
              <w:pageBreakBefore w:val="0"/>
              <w:widowControl w:val="0"/>
              <w:numPr>
                <w:ilvl w:val="0"/>
                <w:numId w:val="49"/>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说明单位产值综合能耗/综合水耗。</w:t>
            </w:r>
          </w:p>
          <w:p>
            <w:pPr>
              <w:keepNext w:val="0"/>
              <w:keepLines w:val="0"/>
              <w:pageBreakBefore w:val="0"/>
              <w:widowControl w:val="0"/>
              <w:numPr>
                <w:ilvl w:val="0"/>
                <w:numId w:val="49"/>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说明可再生能源利用及占比情况。</w:t>
            </w:r>
          </w:p>
          <w:p>
            <w:pPr>
              <w:keepNext w:val="0"/>
              <w:keepLines w:val="0"/>
              <w:pageBreakBefore w:val="0"/>
              <w:widowControl w:val="0"/>
              <w:numPr>
                <w:ilvl w:val="0"/>
                <w:numId w:val="49"/>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说明单位产值二氧化碳排放量及发展趋势。</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43"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5.5效率变革</w:t>
            </w:r>
          </w:p>
        </w:tc>
        <w:tc>
          <w:tcPr>
            <w:tcW w:w="10380" w:type="dxa"/>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a.说明生产组织效率，如服务提供现场质量管理成熟度及服务提供过程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和数字化水平等情况及发展趋势。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w:t>
            </w:r>
            <w:r>
              <w:rPr>
                <w:rFonts w:hint="default" w:ascii="Times New Roman" w:hAnsi="Times New Roman" w:eastAsia="宋体" w:cs="Times New Roman"/>
                <w:color w:val="000000"/>
                <w:spacing w:val="0"/>
                <w:w w:val="100"/>
                <w:sz w:val="21"/>
                <w:szCs w:val="21"/>
                <w:lang w:val="en-US" w:eastAsia="zh-CN"/>
              </w:rPr>
              <w:t>及</w:t>
            </w:r>
            <w:r>
              <w:rPr>
                <w:rFonts w:hint="default" w:ascii="Times New Roman" w:hAnsi="Times New Roman" w:eastAsia="宋体" w:cs="Times New Roman"/>
                <w:spacing w:val="0"/>
                <w:w w:val="100"/>
                <w:sz w:val="21"/>
                <w:szCs w:val="21"/>
                <w:lang w:val="en-US" w:eastAsia="zh-CN"/>
              </w:rPr>
              <w:t>服务提供过程有效性和效率状况及发展趋势。</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43"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5.6经济效益</w:t>
            </w:r>
          </w:p>
        </w:tc>
        <w:tc>
          <w:tcPr>
            <w:tcW w:w="10380" w:type="dxa"/>
            <w:vAlign w:val="top"/>
          </w:tcPr>
          <w:p>
            <w:pPr>
              <w:keepNext w:val="0"/>
              <w:keepLines w:val="0"/>
              <w:pageBreakBefore w:val="0"/>
              <w:widowControl w:val="0"/>
              <w:numPr>
                <w:ilvl w:val="0"/>
                <w:numId w:val="50"/>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说明主营业务收入占比、营业收入利润率、净利润、人均利润额及纳税状况等。</w:t>
            </w:r>
          </w:p>
          <w:p>
            <w:pPr>
              <w:keepNext w:val="0"/>
              <w:keepLines w:val="0"/>
              <w:pageBreakBefore w:val="0"/>
              <w:widowControl w:val="0"/>
              <w:numPr>
                <w:ilvl w:val="0"/>
                <w:numId w:val="50"/>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说明资产负债率、创汇总额、总资产贡献率、资本保值增值率、流动资产周转率、成本费用利润率等。</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08" w:type="dxa"/>
            <w:vMerge w:val="continue"/>
            <w:vAlign w:val="top"/>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3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5.7社会效益</w:t>
            </w:r>
          </w:p>
        </w:tc>
        <w:tc>
          <w:tcPr>
            <w:tcW w:w="10380" w:type="dxa"/>
            <w:vAlign w:val="top"/>
          </w:tcPr>
          <w:p>
            <w:pPr>
              <w:keepNext w:val="0"/>
              <w:keepLines w:val="0"/>
              <w:pageBreakBefore w:val="0"/>
              <w:widowControl w:val="0"/>
              <w:numPr>
                <w:ilvl w:val="0"/>
                <w:numId w:val="51"/>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keepNext w:val="0"/>
              <w:keepLines w:val="0"/>
              <w:pageBreakBefore w:val="0"/>
              <w:widowControl w:val="0"/>
              <w:numPr>
                <w:ilvl w:val="0"/>
                <w:numId w:val="51"/>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keepNext w:val="0"/>
              <w:keepLines w:val="0"/>
              <w:pageBreakBefore w:val="0"/>
              <w:widowControl w:val="0"/>
              <w:numPr>
                <w:ilvl w:val="0"/>
                <w:numId w:val="51"/>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说明防治和降低生产经营中排放污染物对环境产生危害的措施。</w:t>
            </w:r>
          </w:p>
          <w:p>
            <w:pPr>
              <w:keepNext w:val="0"/>
              <w:keepLines w:val="0"/>
              <w:pageBreakBefore w:val="0"/>
              <w:widowControl w:val="0"/>
              <w:numPr>
                <w:ilvl w:val="0"/>
                <w:numId w:val="51"/>
              </w:numPr>
              <w:kinsoku/>
              <w:wordWrap/>
              <w:overflowPunct/>
              <w:topLinePunct w:val="0"/>
              <w:autoSpaceDE/>
              <w:autoSpaceDN/>
              <w:bidi w:val="0"/>
              <w:adjustRightInd/>
              <w:snapToGrid/>
              <w:spacing w:line="38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14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661"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vertAlign w:val="baseline"/>
                <w:lang w:val="en-US" w:eastAsia="zh-CN"/>
              </w:rPr>
              <w:t>合计</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1000分</w:t>
            </w:r>
          </w:p>
        </w:tc>
      </w:tr>
    </w:tbl>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z w:val="32"/>
          <w:szCs w:val="32"/>
        </w:rPr>
      </w:pPr>
    </w:p>
    <w:p>
      <w:pPr>
        <w:pStyle w:val="2"/>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sz w:val="36"/>
          <w:szCs w:val="36"/>
          <w:lang w:val="en-US" w:eastAsia="zh-CN"/>
        </w:rPr>
      </w:pPr>
      <w:r>
        <w:rPr>
          <w:rFonts w:hint="eastAsia" w:ascii="Times New Roman" w:hAnsi="Times New Roman" w:eastAsia="黑体" w:cs="黑体"/>
          <w:b w:val="0"/>
          <w:bCs w:val="0"/>
          <w:sz w:val="32"/>
          <w:szCs w:val="32"/>
        </w:rPr>
        <w:t>附件</w:t>
      </w:r>
      <w:r>
        <w:rPr>
          <w:rFonts w:hint="eastAsia" w:ascii="Times New Roman" w:hAnsi="Times New Roman"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中山市政府质量奖评分要点（工程建设业）</w:t>
      </w:r>
    </w:p>
    <w:tbl>
      <w:tblPr>
        <w:tblStyle w:val="7"/>
        <w:tblW w:w="14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32"/>
        <w:gridCol w:w="1700"/>
        <w:gridCol w:w="1048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263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4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0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48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064"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领导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1.1企业家精神</w:t>
            </w:r>
          </w:p>
        </w:tc>
        <w:tc>
          <w:tcPr>
            <w:tcW w:w="10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a.如何弘扬企业家精神，引领组织高质量发展。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b.如何增强爱国情怀，把组织发展同国家繁荣、民族兴盛、人民幸福紧密结合在一起，主动为国担当、为国分忧。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c.如何拓展国际视野，并不断提高把握国际市场动向和需求特点、国际规则和国际市场开拓及防范风险等方面的能力，带动组织在更高水平的对外开放中实现更好发展，促进国内国际双循环。</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72" w:type="dxa"/>
            <w:vMerge w:val="continue"/>
            <w:vAlign w:val="center"/>
          </w:tcPr>
          <w:p>
            <w:pPr>
              <w:keepNext w:val="0"/>
              <w:keepLines w:val="0"/>
              <w:pageBreakBefore w:val="0"/>
              <w:widowControl w:val="0"/>
              <w:numPr>
                <w:ilvl w:val="0"/>
                <w:numId w:val="52"/>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1.2组织文化</w:t>
            </w:r>
          </w:p>
        </w:tc>
        <w:tc>
          <w:tcPr>
            <w:tcW w:w="10480" w:type="dxa"/>
            <w:vAlign w:val="top"/>
          </w:tcPr>
          <w:p>
            <w:pPr>
              <w:keepNext w:val="0"/>
              <w:keepLines w:val="0"/>
              <w:pageBreakBefore w:val="0"/>
              <w:widowControl w:val="0"/>
              <w:numPr>
                <w:ilvl w:val="0"/>
                <w:numId w:val="5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如何确定使命愿景和价值观，并有效贯彻落实到利益相关方（股东、员工、供应商、合作伙伴、顾客和其他利益相关方等）。</w:t>
            </w:r>
          </w:p>
          <w:p>
            <w:pPr>
              <w:keepNext w:val="0"/>
              <w:keepLines w:val="0"/>
              <w:pageBreakBefore w:val="0"/>
              <w:widowControl w:val="0"/>
              <w:numPr>
                <w:ilvl w:val="0"/>
                <w:numId w:val="5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如何建立以质量安全为核心的工程建设业组织文化，并以其自身言行展</w:t>
            </w:r>
            <w:r>
              <w:rPr>
                <w:rFonts w:hint="default" w:ascii="Times New Roman" w:hAnsi="Times New Roman" w:eastAsia="宋体" w:cs="Times New Roman"/>
                <w:spacing w:val="0"/>
                <w:w w:val="100"/>
                <w:sz w:val="21"/>
                <w:szCs w:val="21"/>
              </w:rPr>
              <w:t>现他们的质量承诺</w:t>
            </w:r>
            <w:r>
              <w:rPr>
                <w:rFonts w:hint="default" w:ascii="Times New Roman" w:hAnsi="Times New Roman" w:eastAsia="宋体" w:cs="Times New Roman"/>
                <w:spacing w:val="0"/>
                <w:w w:val="100"/>
                <w:sz w:val="21"/>
                <w:szCs w:val="21"/>
                <w:lang w:val="en-US" w:eastAsia="zh-CN"/>
              </w:rPr>
              <w:t>。</w:t>
            </w:r>
          </w:p>
          <w:p>
            <w:pPr>
              <w:keepNext w:val="0"/>
              <w:keepLines w:val="0"/>
              <w:pageBreakBefore w:val="0"/>
              <w:widowControl w:val="0"/>
              <w:numPr>
                <w:ilvl w:val="0"/>
                <w:numId w:val="5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如何对工程建设业组织文化的建设进行评估并持续改善。</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1.3战略管理</w:t>
            </w:r>
          </w:p>
        </w:tc>
        <w:tc>
          <w:tcPr>
            <w:tcW w:w="10480" w:type="dxa"/>
            <w:vAlign w:val="top"/>
          </w:tcPr>
          <w:p>
            <w:pPr>
              <w:keepNext w:val="0"/>
              <w:keepLines w:val="0"/>
              <w:pageBreakBefore w:val="0"/>
              <w:widowControl w:val="0"/>
              <w:numPr>
                <w:ilvl w:val="0"/>
                <w:numId w:val="5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如何进行战略管理，包括质量战略、品牌战略等。</w:t>
            </w:r>
          </w:p>
          <w:p>
            <w:pPr>
              <w:keepNext w:val="0"/>
              <w:keepLines w:val="0"/>
              <w:pageBreakBefore w:val="0"/>
              <w:widowControl w:val="0"/>
              <w:numPr>
                <w:ilvl w:val="0"/>
                <w:numId w:val="5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如何制定战略目标并加以分解到工程建设业组织的各个层次，并建立绩效监测、分析、评价与改进体系，确保战略目标的达成。</w:t>
            </w:r>
          </w:p>
          <w:p>
            <w:pPr>
              <w:keepNext w:val="0"/>
              <w:keepLines w:val="0"/>
              <w:pageBreakBefore w:val="0"/>
              <w:widowControl w:val="0"/>
              <w:numPr>
                <w:ilvl w:val="0"/>
                <w:numId w:val="5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如何识别创新机会并应用到战略制定和/或调整中。</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1.4组织治理</w:t>
            </w:r>
          </w:p>
        </w:tc>
        <w:tc>
          <w:tcPr>
            <w:tcW w:w="10480" w:type="dxa"/>
            <w:vAlign w:val="top"/>
          </w:tcPr>
          <w:p>
            <w:pPr>
              <w:keepNext w:val="0"/>
              <w:keepLines w:val="0"/>
              <w:pageBreakBefore w:val="0"/>
              <w:widowControl w:val="0"/>
              <w:numPr>
                <w:ilvl w:val="0"/>
                <w:numId w:val="55"/>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如何进行组织架构设计和治理系统建设，以激发组织活力。</w:t>
            </w:r>
          </w:p>
          <w:p>
            <w:pPr>
              <w:keepNext w:val="0"/>
              <w:keepLines w:val="0"/>
              <w:pageBreakBefore w:val="0"/>
              <w:widowControl w:val="0"/>
              <w:numPr>
                <w:ilvl w:val="0"/>
                <w:numId w:val="55"/>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如何对组织的领导和治理机构成员的绩效及合规性进行评价，使其为决策和活动的影响承担责任。</w:t>
            </w:r>
          </w:p>
          <w:p>
            <w:pPr>
              <w:keepNext w:val="0"/>
              <w:keepLines w:val="0"/>
              <w:pageBreakBefore w:val="0"/>
              <w:widowControl w:val="0"/>
              <w:numPr>
                <w:ilvl w:val="0"/>
                <w:numId w:val="55"/>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如何运用绩效评价结果改进自身和治理机构的有效性，以促进组织发展。</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1.5社会责任</w:t>
            </w:r>
          </w:p>
        </w:tc>
        <w:tc>
          <w:tcPr>
            <w:tcW w:w="10480" w:type="dxa"/>
            <w:vAlign w:val="top"/>
          </w:tcPr>
          <w:p>
            <w:pPr>
              <w:keepNext w:val="0"/>
              <w:keepLines w:val="0"/>
              <w:pageBreakBefore w:val="0"/>
              <w:widowControl w:val="0"/>
              <w:numPr>
                <w:ilvl w:val="0"/>
                <w:numId w:val="56"/>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如何履行公共责任，包括质量安全、节能环保、资源消耗、低碳发展等方面的责任。</w:t>
            </w:r>
          </w:p>
          <w:p>
            <w:pPr>
              <w:keepNext w:val="0"/>
              <w:keepLines w:val="0"/>
              <w:pageBreakBefore w:val="0"/>
              <w:widowControl w:val="0"/>
              <w:numPr>
                <w:ilvl w:val="0"/>
                <w:numId w:val="56"/>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如何树立法治意识、契约精神、守约观念，并建立道德规范和实施质量诚信体系。</w:t>
            </w:r>
          </w:p>
          <w:p>
            <w:pPr>
              <w:keepNext w:val="0"/>
              <w:keepLines w:val="0"/>
              <w:pageBreakBefore w:val="0"/>
              <w:widowControl w:val="0"/>
              <w:numPr>
                <w:ilvl w:val="0"/>
                <w:numId w:val="56"/>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如何进行公益支持，包括关爱员工（稳岗就业、关心员工健康、同员工携手渡过难关）、</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担任一定职务</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以及</w:t>
            </w:r>
            <w:r>
              <w:rPr>
                <w:rFonts w:hint="default" w:ascii="Times New Roman" w:hAnsi="Times New Roman" w:eastAsia="宋体" w:cs="Times New Roman"/>
                <w:spacing w:val="0"/>
                <w:w w:val="100"/>
                <w:sz w:val="21"/>
                <w:szCs w:val="21"/>
              </w:rPr>
              <w:t>参加社区活动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质量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300分</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2.1管理体系</w:t>
            </w:r>
          </w:p>
        </w:tc>
        <w:tc>
          <w:tcPr>
            <w:tcW w:w="10480" w:type="dxa"/>
            <w:vAlign w:val="top"/>
          </w:tcPr>
          <w:p>
            <w:pPr>
              <w:keepNext w:val="0"/>
              <w:keepLines w:val="0"/>
              <w:pageBreakBefore w:val="0"/>
              <w:widowControl w:val="0"/>
              <w:numPr>
                <w:ilvl w:val="0"/>
                <w:numId w:val="5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如何进行工程建设业组织管理体系的建设和融合，如质量、环境、职业健康安全、能源、风险、诚信、知识产权、创新或合规性管理等体系的建立、实施、保持和融合。</w:t>
            </w:r>
          </w:p>
          <w:p>
            <w:pPr>
              <w:keepNext w:val="0"/>
              <w:keepLines w:val="0"/>
              <w:pageBreakBefore w:val="0"/>
              <w:widowControl w:val="0"/>
              <w:numPr>
                <w:ilvl w:val="0"/>
                <w:numId w:val="5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如何运用互联网、物联网、大数据、云计算、5G等新一代信息技术对工程建设业组织的运行进行有效控制和管理，以增强工程建设业组织竞争力。</w:t>
            </w:r>
          </w:p>
          <w:p>
            <w:pPr>
              <w:keepNext w:val="0"/>
              <w:keepLines w:val="0"/>
              <w:pageBreakBefore w:val="0"/>
              <w:widowControl w:val="0"/>
              <w:numPr>
                <w:ilvl w:val="0"/>
                <w:numId w:val="5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如何对管理体系的建设、运行和融合进行监测和评审，并不断提高其有效性和效率。</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center"/>
          </w:tcPr>
          <w:p>
            <w:pPr>
              <w:keepNext w:val="0"/>
              <w:keepLines w:val="0"/>
              <w:pageBreakBefore w:val="0"/>
              <w:widowControl w:val="0"/>
              <w:numPr>
                <w:ilvl w:val="0"/>
                <w:numId w:val="52"/>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2.2顾客需求</w:t>
            </w:r>
          </w:p>
        </w:tc>
        <w:tc>
          <w:tcPr>
            <w:tcW w:w="10480" w:type="dxa"/>
            <w:vAlign w:val="top"/>
          </w:tcPr>
          <w:p>
            <w:pPr>
              <w:keepNext w:val="0"/>
              <w:keepLines w:val="0"/>
              <w:pageBreakBefore w:val="0"/>
              <w:widowControl w:val="0"/>
              <w:numPr>
                <w:ilvl w:val="0"/>
                <w:numId w:val="5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识别并确定顾客及其他利益相关方的需求和期望，包括工程质量、安全、健康、知情权、选择权、补偿权、隐私权、交付期等，并将这些需求和期望转化到工程建设、勘察和施工工艺等环节的创新和质量改进中。</w:t>
            </w:r>
          </w:p>
          <w:p>
            <w:pPr>
              <w:keepNext w:val="0"/>
              <w:keepLines w:val="0"/>
              <w:pageBreakBefore w:val="0"/>
              <w:widowControl w:val="0"/>
              <w:numPr>
                <w:ilvl w:val="0"/>
                <w:numId w:val="5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如何应用适宜的技术和方法有效管理顾客及其他利益相关方关系，并定期测量顾客及其他利益相关方满意度，以改进工程质量和服务水平</w:t>
            </w:r>
            <w:r>
              <w:rPr>
                <w:rFonts w:hint="default" w:ascii="Times New Roman" w:hAnsi="Times New Roman" w:eastAsia="宋体" w:cs="Times New Roman"/>
                <w:spacing w:val="0"/>
                <w:w w:val="100"/>
                <w:sz w:val="21"/>
                <w:szCs w:val="21"/>
                <w:lang w:eastAsia="zh-CN"/>
              </w:rPr>
              <w:t>。</w:t>
            </w:r>
          </w:p>
          <w:p>
            <w:pPr>
              <w:keepNext w:val="0"/>
              <w:keepLines w:val="0"/>
              <w:pageBreakBefore w:val="0"/>
              <w:widowControl w:val="0"/>
              <w:numPr>
                <w:ilvl w:val="0"/>
                <w:numId w:val="5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如何快速有效的处理顾客及其他利益相关方的投诉和抱怨，并对其原因进行分析以推动工程建设业组织及合作伙伴不断改进。</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72"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2.3质量协同</w:t>
            </w:r>
          </w:p>
        </w:tc>
        <w:tc>
          <w:tcPr>
            <w:tcW w:w="10480" w:type="dxa"/>
            <w:vAlign w:val="top"/>
          </w:tcPr>
          <w:p>
            <w:pPr>
              <w:keepNext w:val="0"/>
              <w:keepLines w:val="0"/>
              <w:pageBreakBefore w:val="0"/>
              <w:widowControl w:val="0"/>
              <w:numPr>
                <w:ilvl w:val="0"/>
                <w:numId w:val="5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有效进行供应链管理，建立和实施工程建设、勘察、设计、施工、材料供应及质量检测和工程监理等相关关键供方质量考核和保证制度，并在供应链上下游组织复制或推广其质量管理模式、方法或制度，以推动供应链组织之间的质量信息交流和质量改进，增强产业链自主可控能力，实现质量协同。</w:t>
            </w:r>
          </w:p>
          <w:p>
            <w:pPr>
              <w:keepNext w:val="0"/>
              <w:keepLines w:val="0"/>
              <w:pageBreakBefore w:val="0"/>
              <w:widowControl w:val="0"/>
              <w:numPr>
                <w:ilvl w:val="0"/>
                <w:numId w:val="5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如何通过信息技术促进设计、生产、施工、运营维护等产业链联动，支持项目参与单位多方协同工作，实现建造全过程统筹管理，并建立工程建设全过程质量监管及建材</w:t>
            </w:r>
            <w:r>
              <w:rPr>
                <w:rFonts w:hint="default" w:ascii="Times New Roman" w:hAnsi="Times New Roman" w:eastAsia="宋体" w:cs="Times New Roman"/>
                <w:spacing w:val="0"/>
                <w:w w:val="100"/>
                <w:sz w:val="21"/>
                <w:szCs w:val="21"/>
              </w:rPr>
              <w:t>或主营产品的</w:t>
            </w:r>
            <w:r>
              <w:rPr>
                <w:rFonts w:hint="default" w:ascii="Times New Roman" w:hAnsi="Times New Roman" w:eastAsia="宋体" w:cs="Times New Roman"/>
                <w:spacing w:val="0"/>
                <w:w w:val="100"/>
                <w:sz w:val="21"/>
                <w:szCs w:val="21"/>
                <w:lang w:val="en-US" w:eastAsia="zh-CN"/>
              </w:rPr>
              <w:t>质量追溯机制，测量和评估供方绩效，并向供方反馈相关信息以帮助其改进。</w:t>
            </w:r>
          </w:p>
          <w:p>
            <w:pPr>
              <w:keepNext w:val="0"/>
              <w:keepLines w:val="0"/>
              <w:pageBreakBefore w:val="0"/>
              <w:widowControl w:val="0"/>
              <w:numPr>
                <w:ilvl w:val="0"/>
                <w:numId w:val="5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对建设工程前期阶段（如可研、初设、环评、安评、勘察等）成果进行充分分析，识别对工程质量有重大影响的重要环节和因素，并以问题为导向建立与实施建设、勘察、设计、施工等多方协同的解决控制方案。</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772"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2.4质量基础</w:t>
            </w:r>
          </w:p>
        </w:tc>
        <w:tc>
          <w:tcPr>
            <w:tcW w:w="10480" w:type="dxa"/>
            <w:vAlign w:val="top"/>
          </w:tcPr>
          <w:p>
            <w:pPr>
              <w:keepNext w:val="0"/>
              <w:keepLines w:val="0"/>
              <w:pageBreakBefore w:val="0"/>
              <w:widowControl w:val="0"/>
              <w:numPr>
                <w:ilvl w:val="0"/>
                <w:numId w:val="6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如何进行标准化、计量、检验检测、认证认可、知识产权等质量基础设施能力建设，并提升其管理水平。</w:t>
            </w:r>
          </w:p>
          <w:p>
            <w:pPr>
              <w:keepNext w:val="0"/>
              <w:keepLines w:val="0"/>
              <w:pageBreakBefore w:val="0"/>
              <w:widowControl w:val="0"/>
              <w:numPr>
                <w:ilvl w:val="0"/>
                <w:numId w:val="6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如何运用成熟的管理制度、方法和/或工具对建设、勘察、设计和/或施工等生产和服务现场进行质量管理，并提升建设、勘察、设计和/或施工等生产或服务质量管理的信息化、智能化或数字化水平。</w:t>
            </w:r>
          </w:p>
          <w:p>
            <w:pPr>
              <w:keepNext w:val="0"/>
              <w:keepLines w:val="0"/>
              <w:pageBreakBefore w:val="0"/>
              <w:widowControl w:val="0"/>
              <w:numPr>
                <w:ilvl w:val="0"/>
                <w:numId w:val="60"/>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工程质量安全保证和风险防控机制，构建主业的相关风险管理标准，包括信息收集、关键风险因素识别（包括对工程质量安全有重大影响的地质构造、特殊性岩土、不良地质、地质灾害等风险因素进行有效勘察）及设计、施工和监测控制方案等相关措施的制定与实施，以及采用新技术、新方法、新设备等手段提高精度和水平以避免产生具有重大影响的工程质量、安全、环保事故。</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72"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2.5教育培训</w:t>
            </w:r>
          </w:p>
        </w:tc>
        <w:tc>
          <w:tcPr>
            <w:tcW w:w="10480" w:type="dxa"/>
            <w:vAlign w:val="top"/>
          </w:tcPr>
          <w:p>
            <w:pPr>
              <w:keepNext w:val="0"/>
              <w:keepLines w:val="0"/>
              <w:pageBreakBefore w:val="0"/>
              <w:widowControl w:val="0"/>
              <w:numPr>
                <w:ilvl w:val="0"/>
                <w:numId w:val="6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如何树立人才是第一资源的理念，激发各类人才创造活力，以推动组织可持续发展。</w:t>
            </w:r>
          </w:p>
          <w:p>
            <w:pPr>
              <w:keepNext w:val="0"/>
              <w:keepLines w:val="0"/>
              <w:pageBreakBefore w:val="0"/>
              <w:widowControl w:val="0"/>
              <w:numPr>
                <w:ilvl w:val="0"/>
                <w:numId w:val="6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如何建立员工的质量激励机制和质量考核制度，引导、鼓励和鞭策员工积极参与组织的改进和创新。</w:t>
            </w:r>
          </w:p>
          <w:p>
            <w:pPr>
              <w:keepNext w:val="0"/>
              <w:keepLines w:val="0"/>
              <w:pageBreakBefore w:val="0"/>
              <w:widowControl w:val="0"/>
              <w:numPr>
                <w:ilvl w:val="0"/>
                <w:numId w:val="61"/>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如何开展教育培训以提升员工素质，包括开展建设、勘察、设计和/或施工等职业技术资格认定、质量技能教育和培训等。</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72"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2.6工匠精神</w:t>
            </w:r>
          </w:p>
        </w:tc>
        <w:tc>
          <w:tcPr>
            <w:tcW w:w="10480" w:type="dxa"/>
            <w:vAlign w:val="top"/>
          </w:tcPr>
          <w:p>
            <w:pPr>
              <w:keepNext w:val="0"/>
              <w:keepLines w:val="0"/>
              <w:pageBreakBefore w:val="0"/>
              <w:widowControl w:val="0"/>
              <w:numPr>
                <w:ilvl w:val="0"/>
                <w:numId w:val="62"/>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如何树立精雕细琢、精益求精的工作理念，培育新时期的工匠精神，进一步提高员工素质和整体水平。</w:t>
            </w:r>
          </w:p>
          <w:p>
            <w:pPr>
              <w:keepNext w:val="0"/>
              <w:keepLines w:val="0"/>
              <w:pageBreakBefore w:val="0"/>
              <w:widowControl w:val="0"/>
              <w:numPr>
                <w:ilvl w:val="0"/>
                <w:numId w:val="62"/>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如何发扬工匠精神，提高服务提供质量，增强组织的核心竞争力。</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72" w:type="dxa"/>
            <w:vMerge w:val="continue"/>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2.7质量变革</w:t>
            </w:r>
          </w:p>
        </w:tc>
        <w:tc>
          <w:tcPr>
            <w:tcW w:w="10480" w:type="dxa"/>
            <w:vAlign w:val="top"/>
          </w:tcPr>
          <w:p>
            <w:pPr>
              <w:keepNext w:val="0"/>
              <w:keepLines w:val="0"/>
              <w:pageBreakBefore w:val="0"/>
              <w:widowControl w:val="0"/>
              <w:numPr>
                <w:ilvl w:val="0"/>
                <w:numId w:val="6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如何提升工程质量水平，并通过不断改进工程质量，形成独特的竞争优势和对产业链的参与优势。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b.如何改善组织建设、勘察、设计和/或施工工艺等环节技术及管理水平等方面存在的差距，以提升产业链组织的稳定性。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c.如何开展质量改进活动，包括诸如质量提升小组或跨部门质量提升或质量改进团队的建设以及质量改进工具与提升方法的应用等。</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创新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3.1动力变革</w:t>
            </w:r>
          </w:p>
        </w:tc>
        <w:tc>
          <w:tcPr>
            <w:tcW w:w="10480" w:type="dxa"/>
            <w:vAlign w:val="top"/>
          </w:tcPr>
          <w:p>
            <w:pPr>
              <w:keepNext w:val="0"/>
              <w:keepLines w:val="0"/>
              <w:pageBreakBefore w:val="0"/>
              <w:widowControl w:val="0"/>
              <w:numPr>
                <w:ilvl w:val="0"/>
                <w:numId w:val="6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创新是高质量发展的第一动力，如何将创新理念融入到组织之中，并建立、实施和保持创新管理体系，以提高组织效益和竞争优势。</w:t>
            </w:r>
          </w:p>
          <w:p>
            <w:pPr>
              <w:keepNext w:val="0"/>
              <w:keepLines w:val="0"/>
              <w:pageBreakBefore w:val="0"/>
              <w:widowControl w:val="0"/>
              <w:numPr>
                <w:ilvl w:val="0"/>
                <w:numId w:val="6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如何发现创新机会并管理创新过程，包括建立创新激励机制和管理制度等。</w:t>
            </w:r>
          </w:p>
          <w:p>
            <w:pPr>
              <w:keepNext w:val="0"/>
              <w:keepLines w:val="0"/>
              <w:pageBreakBefore w:val="0"/>
              <w:widowControl w:val="0"/>
              <w:numPr>
                <w:ilvl w:val="0"/>
                <w:numId w:val="6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如何去追求被认定为可实现/可控制的风险的机会，以及在合适的时机中断此活动以支持更优先的机会。</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3.2创新能力</w:t>
            </w:r>
          </w:p>
        </w:tc>
        <w:tc>
          <w:tcPr>
            <w:tcW w:w="10480" w:type="dxa"/>
            <w:vAlign w:val="top"/>
          </w:tcPr>
          <w:p>
            <w:pPr>
              <w:keepNext w:val="0"/>
              <w:keepLines w:val="0"/>
              <w:pageBreakBefore w:val="0"/>
              <w:widowControl w:val="0"/>
              <w:numPr>
                <w:ilvl w:val="0"/>
                <w:numId w:val="65"/>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如何建设创新平台和打造科研创新团队（包括参与重大科研项目的能力），并保持创新平台的有效运行以提升工程建设业组织的核心竞争力。</w:t>
            </w:r>
          </w:p>
          <w:p>
            <w:pPr>
              <w:keepNext w:val="0"/>
              <w:keepLines w:val="0"/>
              <w:pageBreakBefore w:val="0"/>
              <w:widowControl w:val="0"/>
              <w:numPr>
                <w:ilvl w:val="0"/>
                <w:numId w:val="65"/>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积极学习和应用先进技术和方法，并对运营过程中所产生的信息和知识进行系统管理，适时建设知识管理系统，持续提高工程建设业组织的纠错能力、应变能力和创新能力，实现关键核心技术自主可控、解决“卡脖子”等技术难题。</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3.3管理创新</w:t>
            </w:r>
          </w:p>
        </w:tc>
        <w:tc>
          <w:tcPr>
            <w:tcW w:w="10480" w:type="dxa"/>
            <w:vAlign w:val="top"/>
          </w:tcPr>
          <w:p>
            <w:pPr>
              <w:keepNext w:val="0"/>
              <w:keepLines w:val="0"/>
              <w:pageBreakBefore w:val="0"/>
              <w:widowControl w:val="0"/>
              <w:numPr>
                <w:ilvl w:val="0"/>
                <w:numId w:val="66"/>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如何根据工程建设业组织的战略任务，结合技术和产品发展的趋势，有计划地推动管理创新，包括针对具体工程建设质量问题，创新管理工具和方法，以使组织的各项活动更加高效。</w:t>
            </w:r>
          </w:p>
          <w:p>
            <w:pPr>
              <w:keepNext w:val="0"/>
              <w:keepLines w:val="0"/>
              <w:pageBreakBefore w:val="0"/>
              <w:widowControl w:val="0"/>
              <w:numPr>
                <w:ilvl w:val="0"/>
                <w:numId w:val="66"/>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如何进行工程建设业组织的管理模式、经营模式、商业模式创新，如开展个性化服务或定制化服务等。</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3.4技术创新</w:t>
            </w:r>
          </w:p>
        </w:tc>
        <w:tc>
          <w:tcPr>
            <w:tcW w:w="10480" w:type="dxa"/>
            <w:vAlign w:val="top"/>
          </w:tcPr>
          <w:p>
            <w:pPr>
              <w:keepNext w:val="0"/>
              <w:keepLines w:val="0"/>
              <w:pageBreakBefore w:val="0"/>
              <w:widowControl w:val="0"/>
              <w:numPr>
                <w:ilvl w:val="0"/>
                <w:numId w:val="6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围绕工程建设业组织的使命和愿景，结合政策导向和环境的变化，通过引进、消化、吸收、开发适用的先进技术和先进标准形成工程建设业组织的技术体系，并有效保护自身的知识产权，包括海内外专利的申请和保护。</w:t>
            </w:r>
          </w:p>
          <w:p>
            <w:pPr>
              <w:keepNext w:val="0"/>
              <w:keepLines w:val="0"/>
              <w:pageBreakBefore w:val="0"/>
              <w:widowControl w:val="0"/>
              <w:numPr>
                <w:ilvl w:val="0"/>
                <w:numId w:val="6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如何建立、实施和保持技术评估体系，并与竞争对手和标杆进行比较分析，不断提高工程建设业组织的建设、勘察、设计和/或施工</w:t>
            </w:r>
            <w:r>
              <w:rPr>
                <w:rFonts w:hint="default" w:ascii="Times New Roman" w:hAnsi="Times New Roman" w:eastAsia="宋体" w:cs="Times New Roman"/>
                <w:spacing w:val="0"/>
                <w:w w:val="100"/>
                <w:sz w:val="21"/>
                <w:szCs w:val="21"/>
              </w:rPr>
              <w:t>技术水平</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以增强组织的核心竞争力。</w:t>
            </w:r>
          </w:p>
          <w:p>
            <w:pPr>
              <w:keepNext w:val="0"/>
              <w:keepLines w:val="0"/>
              <w:pageBreakBefore w:val="0"/>
              <w:widowControl w:val="0"/>
              <w:numPr>
                <w:ilvl w:val="0"/>
                <w:numId w:val="67"/>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如何利用互联网、物联网、大数据、云计算、5G等新一代信息技术进行诸如建设、勘察、设计和/或施工等技术</w:t>
            </w:r>
            <w:r>
              <w:rPr>
                <w:rFonts w:hint="default" w:ascii="Times New Roman" w:hAnsi="Times New Roman" w:eastAsia="宋体" w:cs="Times New Roman"/>
                <w:spacing w:val="0"/>
                <w:w w:val="100"/>
                <w:sz w:val="21"/>
                <w:szCs w:val="21"/>
              </w:rPr>
              <w:t>创新</w:t>
            </w:r>
            <w:r>
              <w:rPr>
                <w:rFonts w:hint="default" w:ascii="Times New Roman" w:hAnsi="Times New Roman" w:eastAsia="宋体" w:cs="Times New Roman"/>
                <w:spacing w:val="0"/>
                <w:w w:val="100"/>
                <w:sz w:val="21"/>
                <w:szCs w:val="21"/>
                <w:lang w:val="en-US" w:eastAsia="zh-CN"/>
              </w:rPr>
              <w:t>和改进，并将新技术、新工艺及时转化为建筑技术标准。</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品牌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100分</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4.1品牌规划</w:t>
            </w:r>
          </w:p>
        </w:tc>
        <w:tc>
          <w:tcPr>
            <w:tcW w:w="10480" w:type="dxa"/>
            <w:vAlign w:val="top"/>
          </w:tcPr>
          <w:p>
            <w:pPr>
              <w:keepNext w:val="0"/>
              <w:keepLines w:val="0"/>
              <w:pageBreakBefore w:val="0"/>
              <w:widowControl w:val="0"/>
              <w:numPr>
                <w:ilvl w:val="0"/>
                <w:numId w:val="6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如何基于顾客及相关方的需求和期望进行品牌定位，建立以品牌核心价值和特性为中心的品牌识别系统。</w:t>
            </w:r>
          </w:p>
          <w:p>
            <w:pPr>
              <w:keepNext w:val="0"/>
              <w:keepLines w:val="0"/>
              <w:pageBreakBefore w:val="0"/>
              <w:widowControl w:val="0"/>
              <w:numPr>
                <w:ilvl w:val="0"/>
                <w:numId w:val="6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如何制定和实施品牌规划。</w:t>
            </w:r>
          </w:p>
          <w:p>
            <w:pPr>
              <w:keepNext w:val="0"/>
              <w:keepLines w:val="0"/>
              <w:pageBreakBefore w:val="0"/>
              <w:widowControl w:val="0"/>
              <w:numPr>
                <w:ilvl w:val="0"/>
                <w:numId w:val="68"/>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如何利用工程建设业组织有价值的活动提升品牌的知名度、认知度、忠诚度和美誉度。</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4.2品牌管理</w:t>
            </w:r>
          </w:p>
        </w:tc>
        <w:tc>
          <w:tcPr>
            <w:tcW w:w="10480" w:type="dxa"/>
            <w:vAlign w:val="top"/>
          </w:tcPr>
          <w:p>
            <w:pPr>
              <w:keepNext w:val="0"/>
              <w:keepLines w:val="0"/>
              <w:pageBreakBefore w:val="0"/>
              <w:widowControl w:val="0"/>
              <w:numPr>
                <w:ilvl w:val="0"/>
                <w:numId w:val="6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如何进行品牌管理，抓住时机进行品牌延伸扩张，并有效规避品牌延伸的风险。 </w:t>
            </w:r>
          </w:p>
          <w:p>
            <w:pPr>
              <w:keepNext w:val="0"/>
              <w:keepLines w:val="0"/>
              <w:pageBreakBefore w:val="0"/>
              <w:widowControl w:val="0"/>
              <w:numPr>
                <w:ilvl w:val="0"/>
                <w:numId w:val="6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 xml:space="preserve">如何预防市场垄断及倾销行为。 </w:t>
            </w:r>
          </w:p>
          <w:p>
            <w:pPr>
              <w:keepNext w:val="0"/>
              <w:keepLines w:val="0"/>
              <w:pageBreakBefore w:val="0"/>
              <w:widowControl w:val="0"/>
              <w:numPr>
                <w:ilvl w:val="0"/>
                <w:numId w:val="6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如何进行品牌资产管理，实现品牌资产的保值和增值。</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7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4.3品牌保护</w:t>
            </w:r>
          </w:p>
        </w:tc>
        <w:tc>
          <w:tcPr>
            <w:tcW w:w="10480" w:type="dxa"/>
            <w:vAlign w:val="top"/>
          </w:tcPr>
          <w:p>
            <w:pPr>
              <w:keepNext w:val="0"/>
              <w:keepLines w:val="0"/>
              <w:pageBreakBefore w:val="0"/>
              <w:widowControl w:val="0"/>
              <w:numPr>
                <w:ilvl w:val="0"/>
                <w:numId w:val="7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如何进行品牌保护，包括工程建设业组织商标国内外的注册。</w:t>
            </w:r>
          </w:p>
          <w:p>
            <w:pPr>
              <w:keepNext w:val="0"/>
              <w:keepLines w:val="0"/>
              <w:pageBreakBefore w:val="0"/>
              <w:widowControl w:val="0"/>
              <w:numPr>
                <w:ilvl w:val="0"/>
                <w:numId w:val="7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如何建立和实施顾客及其他利益相关方投诉及快速协调解决机制，以使工程建设业组织有效避免潜在的品牌风险。</w:t>
            </w:r>
          </w:p>
          <w:p>
            <w:pPr>
              <w:keepNext w:val="0"/>
              <w:keepLines w:val="0"/>
              <w:pageBreakBefore w:val="0"/>
              <w:widowControl w:val="0"/>
              <w:numPr>
                <w:ilvl w:val="0"/>
                <w:numId w:val="7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如何建立和保持品牌危机预警和应急处理系统，评估公关方案的及时性和有效性，消除或降低品牌的负面影响。</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77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效益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250分</w:t>
            </w: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5.1质量水平</w:t>
            </w:r>
          </w:p>
        </w:tc>
        <w:tc>
          <w:tcPr>
            <w:tcW w:w="10480" w:type="dxa"/>
            <w:vAlign w:val="top"/>
          </w:tcPr>
          <w:p>
            <w:pPr>
              <w:keepNext w:val="0"/>
              <w:keepLines w:val="0"/>
              <w:pageBreakBefore w:val="0"/>
              <w:widowControl w:val="0"/>
              <w:numPr>
                <w:ilvl w:val="0"/>
                <w:numId w:val="71"/>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的关键质量指标水平及提升情况，如场地电磁辐射强度、土壤氡浓度、玻璃节能性能（遮阳系数、传热系数、可见光透射比）、外窗幕墙气密性能、建筑隔声性能、室内主要空气污染物浓度降低比例（游离甲醛、苯、氨、氡、甲苯、二甲苯和 TVOC 等）、集中空调房间内环境（温度、湿度、风速、新风量）、节水器具用水效率等级、绿色建材应用比例、可再循环材料和可再利用材料用量比例以及检查点合格率等。</w:t>
            </w:r>
          </w:p>
          <w:p>
            <w:pPr>
              <w:keepNext w:val="0"/>
              <w:keepLines w:val="0"/>
              <w:pageBreakBefore w:val="0"/>
              <w:widowControl w:val="0"/>
              <w:numPr>
                <w:ilvl w:val="0"/>
                <w:numId w:val="71"/>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w:t>
            </w:r>
            <w:r>
              <w:rPr>
                <w:rFonts w:hint="default" w:ascii="Times New Roman" w:hAnsi="Times New Roman" w:eastAsia="宋体" w:cs="Times New Roman"/>
                <w:spacing w:val="0"/>
                <w:w w:val="100"/>
                <w:sz w:val="21"/>
                <w:szCs w:val="21"/>
              </w:rPr>
              <w:t>完成度</w:t>
            </w:r>
            <w:r>
              <w:rPr>
                <w:rFonts w:hint="default" w:ascii="Times New Roman" w:hAnsi="Times New Roman" w:eastAsia="宋体" w:cs="Times New Roman"/>
                <w:spacing w:val="0"/>
                <w:w w:val="100"/>
                <w:sz w:val="21"/>
                <w:szCs w:val="21"/>
                <w:lang w:val="en-US" w:eastAsia="zh-CN"/>
              </w:rPr>
              <w:t>及质量安全状况，如人员伤亡、质量安全事故、大规模群体投诉举报、质量诚信不良记录等。</w:t>
            </w:r>
          </w:p>
          <w:p>
            <w:pPr>
              <w:keepNext w:val="0"/>
              <w:keepLines w:val="0"/>
              <w:pageBreakBefore w:val="0"/>
              <w:widowControl w:val="0"/>
              <w:numPr>
                <w:ilvl w:val="0"/>
                <w:numId w:val="71"/>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rPr>
              <w:t>说明国内外工程质量或勘察设计质量相关奖励或荣誉情况</w:t>
            </w:r>
            <w:r>
              <w:rPr>
                <w:rFonts w:hint="default" w:ascii="Times New Roman" w:hAnsi="Times New Roman" w:eastAsia="宋体" w:cs="Times New Roman"/>
                <w:spacing w:val="0"/>
                <w:w w:val="100"/>
                <w:sz w:val="21"/>
                <w:szCs w:val="21"/>
                <w:lang w:val="en-US" w:eastAsia="zh-CN"/>
              </w:rPr>
              <w:t>。</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5.2创新价值</w:t>
            </w:r>
          </w:p>
        </w:tc>
        <w:tc>
          <w:tcPr>
            <w:tcW w:w="10480" w:type="dxa"/>
            <w:vAlign w:val="top"/>
          </w:tcPr>
          <w:p>
            <w:pPr>
              <w:keepNext w:val="0"/>
              <w:keepLines w:val="0"/>
              <w:pageBreakBefore w:val="0"/>
              <w:widowControl w:val="0"/>
              <w:numPr>
                <w:ilvl w:val="0"/>
                <w:numId w:val="72"/>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勘察、设计和/或施工等环节拥有的核心技术或业务引领行业发展状况以及增强市场竞争力方面的促进作用，如适应市场需求、替代进口装备（材料）和突破技术壁垒以及推动科技进步、引领产业发展、保护生态环境、减少资源消耗、保障国家安全等。</w:t>
            </w:r>
          </w:p>
          <w:p>
            <w:pPr>
              <w:keepNext w:val="0"/>
              <w:keepLines w:val="0"/>
              <w:pageBreakBefore w:val="0"/>
              <w:widowControl w:val="0"/>
              <w:numPr>
                <w:ilvl w:val="0"/>
                <w:numId w:val="72"/>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说明获得科技成果、科技奖项、知识产权（专利）、工法和标准等状况。</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5.3品牌影响</w:t>
            </w:r>
          </w:p>
        </w:tc>
        <w:tc>
          <w:tcPr>
            <w:tcW w:w="10480" w:type="dxa"/>
            <w:vAlign w:val="top"/>
          </w:tcPr>
          <w:p>
            <w:pPr>
              <w:keepNext w:val="0"/>
              <w:keepLines w:val="0"/>
              <w:pageBreakBefore w:val="0"/>
              <w:widowControl w:val="0"/>
              <w:numPr>
                <w:ilvl w:val="0"/>
                <w:numId w:val="7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说明主品牌在建设、勘察、设计和/或施工市场的影响情况，如知名度、美誉度和忠诚度等情况及发展趋势。</w:t>
            </w:r>
          </w:p>
          <w:p>
            <w:pPr>
              <w:keepNext w:val="0"/>
              <w:keepLines w:val="0"/>
              <w:pageBreakBefore w:val="0"/>
              <w:widowControl w:val="0"/>
              <w:numPr>
                <w:ilvl w:val="0"/>
                <w:numId w:val="7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说明主营业务市场规模/份额变化情况。</w:t>
            </w:r>
          </w:p>
          <w:p>
            <w:pPr>
              <w:keepNext w:val="0"/>
              <w:keepLines w:val="0"/>
              <w:pageBreakBefore w:val="0"/>
              <w:widowControl w:val="0"/>
              <w:numPr>
                <w:ilvl w:val="0"/>
                <w:numId w:val="73"/>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说明主要品牌竞争力、社会认可及品牌价值。</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5.4绿色成效</w:t>
            </w:r>
          </w:p>
        </w:tc>
        <w:tc>
          <w:tcPr>
            <w:tcW w:w="10480" w:type="dxa"/>
            <w:vAlign w:val="top"/>
          </w:tcPr>
          <w:p>
            <w:pPr>
              <w:keepNext w:val="0"/>
              <w:keepLines w:val="0"/>
              <w:pageBreakBefore w:val="0"/>
              <w:widowControl w:val="0"/>
              <w:numPr>
                <w:ilvl w:val="0"/>
                <w:numId w:val="7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说明建设工程绿色建材实际使用率、绿色示范工地数量、环保投诉率及文明施工投诉率等情况及发展趋势。</w:t>
            </w:r>
          </w:p>
          <w:p>
            <w:pPr>
              <w:keepNext w:val="0"/>
              <w:keepLines w:val="0"/>
              <w:pageBreakBefore w:val="0"/>
              <w:widowControl w:val="0"/>
              <w:numPr>
                <w:ilvl w:val="0"/>
                <w:numId w:val="7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说明对绿色建造节约资源和保护环境的效果进行评估的情况。</w:t>
            </w:r>
          </w:p>
          <w:p>
            <w:pPr>
              <w:keepNext w:val="0"/>
              <w:keepLines w:val="0"/>
              <w:pageBreakBefore w:val="0"/>
              <w:widowControl w:val="0"/>
              <w:numPr>
                <w:ilvl w:val="0"/>
                <w:numId w:val="74"/>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说明工程建设项目减排效果评估情况，评估证明材料应包括碳排放计算报告及发展趋势</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适用于建设、勘察、施工单位</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w:t>
            </w:r>
            <w:r>
              <w:rPr>
                <w:rFonts w:hint="default" w:ascii="Times New Roman" w:hAnsi="Times New Roman" w:eastAsia="宋体" w:cs="Times New Roman"/>
                <w:b w:val="0"/>
                <w:color w:val="auto"/>
                <w:spacing w:val="0"/>
                <w:w w:val="100"/>
                <w:sz w:val="21"/>
                <w:szCs w:val="21"/>
              </w:rPr>
              <w:t>说明</w:t>
            </w:r>
            <w:r>
              <w:rPr>
                <w:rFonts w:hint="default" w:ascii="Times New Roman" w:hAnsi="Times New Roman" w:eastAsia="宋体" w:cs="Times New Roman"/>
                <w:b w:val="0"/>
                <w:color w:val="auto"/>
                <w:spacing w:val="0"/>
                <w:w w:val="100"/>
                <w:sz w:val="21"/>
                <w:szCs w:val="21"/>
                <w:lang w:val="en-US" w:eastAsia="zh-CN"/>
              </w:rPr>
              <w:t>工程建设</w:t>
            </w:r>
            <w:r>
              <w:rPr>
                <w:rFonts w:hint="default" w:ascii="Times New Roman" w:hAnsi="Times New Roman" w:eastAsia="宋体" w:cs="Times New Roman"/>
                <w:b w:val="0"/>
                <w:color w:val="auto"/>
                <w:spacing w:val="0"/>
                <w:w w:val="100"/>
                <w:sz w:val="21"/>
                <w:szCs w:val="21"/>
              </w:rPr>
              <w:t>项目在安全耐久、健康舒适、生活便利、资源节约和环境宜居等方面采用的技术体系及实际运行效果</w:t>
            </w:r>
            <w:r>
              <w:rPr>
                <w:rFonts w:hint="default" w:ascii="Times New Roman" w:hAnsi="Times New Roman" w:eastAsia="宋体" w:cs="Times New Roman"/>
                <w:b w:val="0"/>
                <w:color w:val="auto"/>
                <w:spacing w:val="0"/>
                <w:w w:val="100"/>
                <w:sz w:val="21"/>
                <w:szCs w:val="21"/>
                <w:lang w:val="en-US" w:eastAsia="zh-CN"/>
              </w:rPr>
              <w:t>（适用于设计单位</w:t>
            </w:r>
            <w:r>
              <w:rPr>
                <w:rFonts w:hint="default" w:ascii="Times New Roman" w:hAnsi="Times New Roman" w:eastAsia="宋体" w:cs="Times New Roman"/>
                <w:b w:val="0"/>
                <w:color w:val="auto"/>
                <w:spacing w:val="0"/>
                <w:w w:val="100"/>
                <w:sz w:val="21"/>
                <w:szCs w:val="21"/>
                <w:lang w:eastAsia="zh-CN"/>
              </w:rPr>
              <w:t>）</w:t>
            </w:r>
            <w:r>
              <w:rPr>
                <w:rFonts w:hint="default" w:ascii="Times New Roman" w:hAnsi="Times New Roman" w:eastAsia="宋体" w:cs="Times New Roman"/>
                <w:spacing w:val="0"/>
                <w:w w:val="100"/>
                <w:sz w:val="21"/>
                <w:szCs w:val="21"/>
              </w:rPr>
              <w:t>。</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5.5效率变革</w:t>
            </w:r>
          </w:p>
        </w:tc>
        <w:tc>
          <w:tcPr>
            <w:tcW w:w="1048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a.说明生产组织效率，如现场质量管理成熟度及建设、勘察、设计和/或施工过程</w:t>
            </w:r>
            <w:r>
              <w:rPr>
                <w:rFonts w:hint="default" w:ascii="Times New Roman" w:hAnsi="Times New Roman" w:eastAsia="宋体" w:cs="Times New Roman"/>
                <w:spacing w:val="0"/>
                <w:w w:val="100"/>
                <w:sz w:val="21"/>
                <w:szCs w:val="21"/>
              </w:rPr>
              <w:t>信息化、智能化</w:t>
            </w:r>
            <w:r>
              <w:rPr>
                <w:rFonts w:hint="default" w:ascii="Times New Roman" w:hAnsi="Times New Roman" w:eastAsia="宋体" w:cs="Times New Roman"/>
                <w:spacing w:val="0"/>
                <w:w w:val="100"/>
                <w:sz w:val="21"/>
                <w:szCs w:val="21"/>
                <w:lang w:val="en-US" w:eastAsia="zh-CN"/>
              </w:rPr>
              <w:t>和数字化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lang w:val="en-US" w:eastAsia="zh-CN"/>
              </w:rPr>
              <w:t>水平及发展趋势。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b.说明组织运行效率如全员劳动生产率及建设、勘察、设计和/或施工过程有效性和效率状况及发展趋势。</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5.6经济效益</w:t>
            </w:r>
          </w:p>
        </w:tc>
        <w:tc>
          <w:tcPr>
            <w:tcW w:w="10480" w:type="dxa"/>
            <w:vAlign w:val="top"/>
          </w:tcPr>
          <w:p>
            <w:pPr>
              <w:keepNext w:val="0"/>
              <w:keepLines w:val="0"/>
              <w:pageBreakBefore w:val="0"/>
              <w:widowControl w:val="0"/>
              <w:numPr>
                <w:ilvl w:val="0"/>
                <w:numId w:val="75"/>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说明主营业务收入占比、营业收入利润率、净利润、人均利润额。</w:t>
            </w:r>
          </w:p>
          <w:p>
            <w:pPr>
              <w:keepNext w:val="0"/>
              <w:keepLines w:val="0"/>
              <w:pageBreakBefore w:val="0"/>
              <w:widowControl w:val="0"/>
              <w:numPr>
                <w:ilvl w:val="0"/>
                <w:numId w:val="75"/>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说明资产负债率、总资产贡献率、资本保值增值率、流动资产周转率、成本费用利润率等。</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2" w:type="dxa"/>
            <w:vMerge w:val="continue"/>
            <w:vAlign w:val="top"/>
          </w:tcPr>
          <w:p>
            <w:pPr>
              <w:keepNext w:val="0"/>
              <w:keepLines w:val="0"/>
              <w:pageBreakBefore w:val="0"/>
              <w:widowControl w:val="0"/>
              <w:kinsoku/>
              <w:wordWrap/>
              <w:overflowPunct/>
              <w:topLinePunct w:val="0"/>
              <w:autoSpaceDE/>
              <w:autoSpaceDN/>
              <w:bidi w:val="0"/>
              <w:adjustRightInd/>
              <w:snapToGrid/>
              <w:spacing w:line="34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932" w:type="dxa"/>
            <w:vMerge w:val="continue"/>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5.7社会效益</w:t>
            </w:r>
          </w:p>
        </w:tc>
        <w:tc>
          <w:tcPr>
            <w:tcW w:w="10480" w:type="dxa"/>
            <w:vAlign w:val="top"/>
          </w:tcPr>
          <w:p>
            <w:pPr>
              <w:keepNext w:val="0"/>
              <w:keepLines w:val="0"/>
              <w:pageBreakBefore w:val="0"/>
              <w:widowControl w:val="0"/>
              <w:numPr>
                <w:ilvl w:val="0"/>
                <w:numId w:val="7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说明社会责任方面情况，包括社会责任规划与报告、重点支持领域、参与社会及社区公益活动，公益投入金额等。</w:t>
            </w:r>
          </w:p>
          <w:p>
            <w:pPr>
              <w:keepNext w:val="0"/>
              <w:keepLines w:val="0"/>
              <w:pageBreakBefore w:val="0"/>
              <w:widowControl w:val="0"/>
              <w:numPr>
                <w:ilvl w:val="0"/>
                <w:numId w:val="7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说明构建和谐劳资关系（员工职业安全、员工人均年收入、员工平均工资涨幅、员工缴纳“五险一金”以及员工流动率等方面）情况。</w:t>
            </w:r>
          </w:p>
          <w:p>
            <w:pPr>
              <w:keepNext w:val="0"/>
              <w:keepLines w:val="0"/>
              <w:pageBreakBefore w:val="0"/>
              <w:widowControl w:val="0"/>
              <w:numPr>
                <w:ilvl w:val="0"/>
                <w:numId w:val="7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说明防治和降低工程建设中排放污染物对环境产生危害的措施。</w:t>
            </w:r>
          </w:p>
          <w:p>
            <w:pPr>
              <w:keepNext w:val="0"/>
              <w:keepLines w:val="0"/>
              <w:pageBreakBefore w:val="0"/>
              <w:widowControl w:val="0"/>
              <w:numPr>
                <w:ilvl w:val="0"/>
                <w:numId w:val="7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说明其他如疫情防控和保障产业链供应链稳定情况。</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88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vertAlign w:val="baseline"/>
                <w:lang w:val="en-US" w:eastAsia="zh-CN"/>
              </w:rPr>
              <w:t>合计</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1000分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pacing w:val="0"/>
          <w:w w:val="100"/>
          <w:sz w:val="24"/>
          <w:lang w:val="en-US" w:eastAsia="zh-CN"/>
        </w:rPr>
      </w:pPr>
      <w:r>
        <w:rPr>
          <w:rFonts w:hint="eastAsia" w:ascii="宋体" w:hAnsi="宋体" w:eastAsia="宋体" w:cs="宋体"/>
          <w:spacing w:val="0"/>
          <w:w w:val="100"/>
          <w:sz w:val="24"/>
          <w:szCs w:val="24"/>
          <w:lang w:val="en-US" w:eastAsia="zh-CN"/>
        </w:rPr>
        <w:t>注：本文件所称工程建设业组织是指建设、勘察、设计和施工</w:t>
      </w:r>
      <w:r>
        <w:rPr>
          <w:rFonts w:hint="eastAsia" w:ascii="宋体" w:hAnsi="宋体" w:eastAsia="宋体" w:cs="宋体"/>
          <w:spacing w:val="0"/>
          <w:w w:val="100"/>
          <w:sz w:val="24"/>
          <w:szCs w:val="24"/>
        </w:rPr>
        <w:t>等单位</w:t>
      </w:r>
      <w:r>
        <w:rPr>
          <w:rFonts w:hint="eastAsia" w:ascii="宋体" w:hAnsi="宋体" w:eastAsia="宋体" w:cs="宋体"/>
          <w:spacing w:val="0"/>
          <w:w w:val="100"/>
          <w:sz w:val="24"/>
          <w:szCs w:val="24"/>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pStyle w:val="2"/>
        <w:rPr>
          <w:rFonts w:hint="eastAsia" w:ascii="Times New Roman" w:hAnsi="Times New Roman"/>
          <w:spacing w:val="0"/>
          <w:w w:val="100"/>
          <w:sz w:val="36"/>
          <w:szCs w:val="36"/>
          <w:lang w:val="en-US" w:eastAsia="zh-CN"/>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pStyle w:val="2"/>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imes New Roman" w:hAnsi="Times New Roman" w:eastAsia="黑体" w:cs="黑体"/>
          <w:spacing w:val="0"/>
          <w:w w:val="100"/>
          <w:sz w:val="32"/>
          <w:szCs w:val="32"/>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4</w:t>
      </w:r>
    </w:p>
    <w:p>
      <w:pPr>
        <w:keepNext w:val="0"/>
        <w:keepLines w:val="0"/>
        <w:pageBreakBefore w:val="0"/>
        <w:widowControl w:val="0"/>
        <w:tabs>
          <w:tab w:val="left" w:pos="1575"/>
          <w:tab w:val="left" w:pos="3780"/>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中山市政府质量奖评分要点（医疗机构）</w:t>
      </w:r>
    </w:p>
    <w:tbl>
      <w:tblPr>
        <w:tblStyle w:val="7"/>
        <w:tblW w:w="15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43"/>
        <w:gridCol w:w="2158"/>
        <w:gridCol w:w="9857"/>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32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985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27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lang w:val="en-US" w:eastAsia="zh-CN"/>
              </w:rPr>
            </w:pPr>
          </w:p>
        </w:tc>
        <w:tc>
          <w:tcPr>
            <w:tcW w:w="104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9857"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271"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w:t>
            </w:r>
          </w:p>
        </w:tc>
        <w:tc>
          <w:tcPr>
            <w:tcW w:w="1043"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领导</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215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1.1团队建设</w:t>
            </w:r>
          </w:p>
        </w:tc>
        <w:tc>
          <w:tcPr>
            <w:tcW w:w="9857" w:type="dxa"/>
            <w:vAlign w:val="top"/>
          </w:tcPr>
          <w:p>
            <w:pPr>
              <w:keepNext w:val="0"/>
              <w:keepLines w:val="0"/>
              <w:pageBreakBefore w:val="0"/>
              <w:widowControl w:val="0"/>
              <w:numPr>
                <w:ilvl w:val="0"/>
                <w:numId w:val="7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如何进行组织架构设计和治理系统建设，包括质量管理机构或部门的设置与运行情况，以激发组织活力。</w:t>
            </w:r>
          </w:p>
          <w:p>
            <w:pPr>
              <w:keepNext w:val="0"/>
              <w:keepLines w:val="0"/>
              <w:pageBreakBefore w:val="0"/>
              <w:widowControl w:val="0"/>
              <w:numPr>
                <w:ilvl w:val="0"/>
                <w:numId w:val="7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如何对组织/团队的领导和组成成员的绩效进行评价，以使组织/团队为其决策和活动的影响承担责任。</w:t>
            </w:r>
          </w:p>
          <w:p>
            <w:pPr>
              <w:keepNext w:val="0"/>
              <w:keepLines w:val="0"/>
              <w:pageBreakBefore w:val="0"/>
              <w:widowControl w:val="0"/>
              <w:numPr>
                <w:ilvl w:val="0"/>
                <w:numId w:val="7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如何运用绩效评价结果改进自身运作的有效性，促进组织/团队发展。</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1.2文化理念</w:t>
            </w:r>
          </w:p>
        </w:tc>
        <w:tc>
          <w:tcPr>
            <w:tcW w:w="9857" w:type="dxa"/>
            <w:vAlign w:val="top"/>
          </w:tcPr>
          <w:p>
            <w:pPr>
              <w:keepNext w:val="0"/>
              <w:keepLines w:val="0"/>
              <w:pageBreakBefore w:val="0"/>
              <w:widowControl w:val="0"/>
              <w:numPr>
                <w:ilvl w:val="0"/>
                <w:numId w:val="7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如何强化患者需求导向，并坚守纯粹医者信念，尊重医学科学规律，遵守医学伦理道德，遵循临床诊疗技术规范，为患者提供安全、适宜、优质、高效的医疗卫生服务。</w:t>
            </w:r>
          </w:p>
          <w:p>
            <w:pPr>
              <w:keepNext w:val="0"/>
              <w:keepLines w:val="0"/>
              <w:pageBreakBefore w:val="0"/>
              <w:widowControl w:val="0"/>
              <w:numPr>
                <w:ilvl w:val="0"/>
                <w:numId w:val="7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如何弘扬崇高的职业精神，激发医务人员对工作极端负责、对技术精益求精的不竭动力，并以充满人文关怀的医疗服务赢得患者、社会的信任和尊重。</w:t>
            </w:r>
          </w:p>
          <w:p>
            <w:pPr>
              <w:keepNext w:val="0"/>
              <w:keepLines w:val="0"/>
              <w:pageBreakBefore w:val="0"/>
              <w:widowControl w:val="0"/>
              <w:numPr>
                <w:ilvl w:val="0"/>
                <w:numId w:val="7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如何打造尊重患者权利的医疗团队文化。</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1.3社会责任</w:t>
            </w:r>
          </w:p>
        </w:tc>
        <w:tc>
          <w:tcPr>
            <w:tcW w:w="9857" w:type="dxa"/>
            <w:vAlign w:val="top"/>
          </w:tcPr>
          <w:p>
            <w:pPr>
              <w:keepNext w:val="0"/>
              <w:keepLines w:val="0"/>
              <w:pageBreakBefore w:val="0"/>
              <w:widowControl w:val="0"/>
              <w:numPr>
                <w:ilvl w:val="0"/>
                <w:numId w:val="79"/>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如何树立并恪守职业道德规范，认真遵守医疗质量管理相关法律法规、规范、标准和本机构医疗质量管理制度的规定，规范临床诊疗行为。</w:t>
            </w:r>
          </w:p>
          <w:p>
            <w:pPr>
              <w:keepNext w:val="0"/>
              <w:keepLines w:val="0"/>
              <w:pageBreakBefore w:val="0"/>
              <w:widowControl w:val="0"/>
              <w:numPr>
                <w:ilvl w:val="0"/>
                <w:numId w:val="79"/>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如何进行公益支持，包括</w:t>
            </w:r>
            <w:r>
              <w:rPr>
                <w:rFonts w:hint="default" w:ascii="Times New Roman" w:hAnsi="Times New Roman" w:eastAsia="宋体" w:cs="Times New Roman"/>
                <w:spacing w:val="0"/>
                <w:w w:val="100"/>
                <w:sz w:val="21"/>
                <w:szCs w:val="21"/>
              </w:rPr>
              <w:t>参加社会组织</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rPr>
              <w:t>发挥</w:t>
            </w:r>
            <w:r>
              <w:rPr>
                <w:rFonts w:hint="default" w:ascii="Times New Roman" w:hAnsi="Times New Roman" w:eastAsia="宋体" w:cs="Times New Roman"/>
                <w:spacing w:val="0"/>
                <w:w w:val="100"/>
                <w:sz w:val="21"/>
                <w:szCs w:val="21"/>
                <w:lang w:val="en-US" w:eastAsia="zh-CN"/>
              </w:rPr>
              <w:t>行业</w:t>
            </w:r>
            <w:r>
              <w:rPr>
                <w:rFonts w:hint="default" w:ascii="Times New Roman" w:hAnsi="Times New Roman" w:eastAsia="宋体" w:cs="Times New Roman"/>
                <w:spacing w:val="0"/>
                <w:w w:val="100"/>
                <w:sz w:val="21"/>
                <w:szCs w:val="21"/>
              </w:rPr>
              <w:t>引领作用</w:t>
            </w:r>
            <w:r>
              <w:rPr>
                <w:rFonts w:hint="default" w:ascii="Times New Roman" w:hAnsi="Times New Roman" w:eastAsia="宋体" w:cs="Times New Roman"/>
                <w:spacing w:val="0"/>
                <w:w w:val="100"/>
                <w:sz w:val="21"/>
                <w:szCs w:val="21"/>
                <w:lang w:eastAsia="zh-CN"/>
              </w:rPr>
              <w:t>、</w:t>
            </w:r>
            <w:r>
              <w:rPr>
                <w:rFonts w:hint="default" w:ascii="Times New Roman" w:hAnsi="Times New Roman" w:eastAsia="宋体" w:cs="Times New Roman"/>
                <w:spacing w:val="0"/>
                <w:w w:val="100"/>
                <w:sz w:val="21"/>
                <w:szCs w:val="21"/>
                <w:lang w:val="en-US" w:eastAsia="zh-CN"/>
              </w:rPr>
              <w:t>组织义诊以及</w:t>
            </w:r>
            <w:r>
              <w:rPr>
                <w:rFonts w:hint="default" w:ascii="Times New Roman" w:hAnsi="Times New Roman" w:eastAsia="宋体" w:cs="Times New Roman"/>
                <w:spacing w:val="0"/>
                <w:w w:val="100"/>
                <w:sz w:val="21"/>
                <w:szCs w:val="21"/>
              </w:rPr>
              <w:t>参加社区</w:t>
            </w:r>
            <w:r>
              <w:rPr>
                <w:rFonts w:hint="default" w:ascii="Times New Roman" w:hAnsi="Times New Roman" w:eastAsia="宋体" w:cs="Times New Roman"/>
                <w:spacing w:val="0"/>
                <w:w w:val="100"/>
                <w:sz w:val="21"/>
                <w:szCs w:val="21"/>
                <w:lang w:val="en-US" w:eastAsia="zh-CN"/>
              </w:rPr>
              <w:t>医疗等</w:t>
            </w:r>
            <w:r>
              <w:rPr>
                <w:rFonts w:hint="default" w:ascii="Times New Roman" w:hAnsi="Times New Roman" w:eastAsia="宋体" w:cs="Times New Roman"/>
                <w:spacing w:val="0"/>
                <w:w w:val="100"/>
                <w:sz w:val="21"/>
                <w:szCs w:val="21"/>
              </w:rPr>
              <w:t>活动</w:t>
            </w:r>
            <w:r>
              <w:rPr>
                <w:rFonts w:hint="default" w:ascii="Times New Roman" w:hAnsi="Times New Roman" w:eastAsia="宋体" w:cs="Times New Roman"/>
                <w:spacing w:val="0"/>
                <w:w w:val="100"/>
                <w:sz w:val="21"/>
                <w:szCs w:val="21"/>
                <w:lang w:val="en-US" w:eastAsia="zh-CN"/>
              </w:rPr>
              <w:t>并营造重视质量、关注质量和享受质量的氛围。</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w:t>
            </w:r>
          </w:p>
        </w:tc>
        <w:tc>
          <w:tcPr>
            <w:tcW w:w="1043"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质量</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300分</w:t>
            </w: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2.1质量管理</w:t>
            </w:r>
          </w:p>
        </w:tc>
        <w:tc>
          <w:tcPr>
            <w:tcW w:w="9857" w:type="dxa"/>
            <w:vAlign w:val="top"/>
          </w:tcPr>
          <w:p>
            <w:pPr>
              <w:keepNext w:val="0"/>
              <w:keepLines w:val="0"/>
              <w:pageBreakBefore w:val="0"/>
              <w:widowControl w:val="0"/>
              <w:numPr>
                <w:ilvl w:val="0"/>
                <w:numId w:val="8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如何运用云计算、大数据、物联网、区块链、第五代移动通信（5G）等新一代信息技术进行药学、药事、护理及门急诊等医疗服务质量管理，并建立规范诊疗行为的标准化管理机制。</w:t>
            </w:r>
          </w:p>
          <w:p>
            <w:pPr>
              <w:keepNext w:val="0"/>
              <w:keepLines w:val="0"/>
              <w:pageBreakBefore w:val="0"/>
              <w:widowControl w:val="0"/>
              <w:numPr>
                <w:ilvl w:val="0"/>
                <w:numId w:val="8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如何收集医疗质量信息并进行及时分析和反馈，以对医疗质量问题和医疗安全风险进行预警。</w:t>
            </w:r>
          </w:p>
          <w:p>
            <w:pPr>
              <w:keepNext w:val="0"/>
              <w:keepLines w:val="0"/>
              <w:pageBreakBefore w:val="0"/>
              <w:widowControl w:val="0"/>
              <w:numPr>
                <w:ilvl w:val="0"/>
                <w:numId w:val="80"/>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如何在医疗流程中采用计算机网络进行患者就诊信息管理，包括开通远程网络诊疗系统。</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2.2质量安全</w:t>
            </w:r>
          </w:p>
        </w:tc>
        <w:tc>
          <w:tcPr>
            <w:tcW w:w="9857" w:type="dxa"/>
            <w:vAlign w:val="top"/>
          </w:tcPr>
          <w:p>
            <w:pPr>
              <w:keepNext w:val="0"/>
              <w:keepLines w:val="0"/>
              <w:pageBreakBefore w:val="0"/>
              <w:widowControl w:val="0"/>
              <w:numPr>
                <w:ilvl w:val="0"/>
                <w:numId w:val="81"/>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如何提高医疗安全意识，履行质量安全责任并遵守医疗质量安全核心制度、应急预案和工作流程，加强医疗质量关键环节的安全与风险管理，做到合理检查、合理用药、合理治疗，落实患者安全目标。</w:t>
            </w:r>
          </w:p>
          <w:p>
            <w:pPr>
              <w:keepNext w:val="0"/>
              <w:keepLines w:val="0"/>
              <w:pageBreakBefore w:val="0"/>
              <w:widowControl w:val="0"/>
              <w:numPr>
                <w:ilvl w:val="0"/>
                <w:numId w:val="81"/>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sz w:val="21"/>
                <w:szCs w:val="21"/>
                <w:highlight w:val="none"/>
                <w:lang w:val="en-US" w:eastAsia="zh-CN"/>
              </w:rPr>
              <w:t>如何建立医疗质量(安全)不良事件报告制度，鼓励医疗机构和医务人员主动上报临床诊疗过程中的不良事件，促进信息共享，避免出现重大医疗事故或瞒报、漏报重大医疗过失事件的行为。</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2.3医防协同</w:t>
            </w:r>
          </w:p>
        </w:tc>
        <w:tc>
          <w:tcPr>
            <w:tcW w:w="9857" w:type="dxa"/>
            <w:vAlign w:val="top"/>
          </w:tcPr>
          <w:p>
            <w:pPr>
              <w:keepNext w:val="0"/>
              <w:keepLines w:val="0"/>
              <w:pageBreakBefore w:val="0"/>
              <w:widowControl w:val="0"/>
              <w:numPr>
                <w:ilvl w:val="0"/>
                <w:numId w:val="82"/>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如何加强临床专科服务能力建设，促进专科协同发展。</w:t>
            </w:r>
          </w:p>
          <w:p>
            <w:pPr>
              <w:keepNext w:val="0"/>
              <w:keepLines w:val="0"/>
              <w:pageBreakBefore w:val="0"/>
              <w:widowControl w:val="0"/>
              <w:numPr>
                <w:ilvl w:val="0"/>
                <w:numId w:val="82"/>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如何创新医防协同机制，包括建立人员通、信息通、资源通和监督监管相互制约的机制。</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15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2.4教育培训</w:t>
            </w:r>
          </w:p>
        </w:tc>
        <w:tc>
          <w:tcPr>
            <w:tcW w:w="9857" w:type="dxa"/>
            <w:vAlign w:val="top"/>
          </w:tcPr>
          <w:p>
            <w:pPr>
              <w:keepNext w:val="0"/>
              <w:keepLines w:val="0"/>
              <w:pageBreakBefore w:val="0"/>
              <w:widowControl w:val="0"/>
              <w:numPr>
                <w:ilvl w:val="0"/>
                <w:numId w:val="8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kern w:val="2"/>
                <w:sz w:val="21"/>
                <w:szCs w:val="21"/>
                <w:lang w:val="en-US" w:eastAsia="zh-CN" w:bidi="ar-SA"/>
              </w:rPr>
              <w:t>如何提高医务人员、专业技术人员整体素质，全面提升医疗质量，保障医疗安全。</w:t>
            </w:r>
          </w:p>
          <w:p>
            <w:pPr>
              <w:keepNext w:val="0"/>
              <w:keepLines w:val="0"/>
              <w:pageBreakBefore w:val="0"/>
              <w:widowControl w:val="0"/>
              <w:numPr>
                <w:ilvl w:val="0"/>
                <w:numId w:val="8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如何开展教育培训以提升医务工作者素质，包括开展</w:t>
            </w:r>
            <w:r>
              <w:rPr>
                <w:rFonts w:hint="default" w:ascii="Times New Roman" w:hAnsi="Times New Roman" w:eastAsia="宋体" w:cs="Times New Roman"/>
                <w:spacing w:val="0"/>
                <w:w w:val="100"/>
                <w:kern w:val="2"/>
                <w:sz w:val="21"/>
                <w:szCs w:val="21"/>
                <w:lang w:val="en-US" w:eastAsia="zh-CN" w:bidi="ar-SA"/>
              </w:rPr>
              <w:t>质量技能培训、</w:t>
            </w:r>
            <w:r>
              <w:rPr>
                <w:rFonts w:hint="default" w:ascii="Times New Roman" w:hAnsi="Times New Roman" w:eastAsia="宋体" w:cs="Times New Roman"/>
                <w:spacing w:val="0"/>
                <w:w w:val="100"/>
                <w:sz w:val="21"/>
                <w:szCs w:val="21"/>
                <w:lang w:val="en-US" w:eastAsia="zh-CN"/>
              </w:rPr>
              <w:t>职业技术资格认定、质量技能教育和培训，以及</w:t>
            </w:r>
            <w:r>
              <w:rPr>
                <w:rFonts w:hint="default" w:ascii="Times New Roman" w:hAnsi="Times New Roman" w:eastAsia="宋体" w:cs="Times New Roman"/>
                <w:spacing w:val="0"/>
                <w:w w:val="100"/>
                <w:kern w:val="2"/>
                <w:sz w:val="21"/>
                <w:szCs w:val="21"/>
                <w:lang w:val="en-US" w:eastAsia="zh-CN" w:bidi="ar-SA"/>
              </w:rPr>
              <w:t>医疗质量管理相关法律、法规、规章制度、技术规范、标准、诊疗常规及指南的培训和宣传教育，强化医务人员的责任担当。</w:t>
            </w:r>
          </w:p>
          <w:p>
            <w:pPr>
              <w:keepNext w:val="0"/>
              <w:keepLines w:val="0"/>
              <w:pageBreakBefore w:val="0"/>
              <w:widowControl w:val="0"/>
              <w:numPr>
                <w:ilvl w:val="0"/>
                <w:numId w:val="83"/>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lang w:val="en-US" w:eastAsia="zh-CN"/>
              </w:rPr>
              <w:t>如何建立医务工作者的质量激励机制和质量考核制度，引导、鼓励和鞭策医务工作者积极参与组织的改进和创新。</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rPr>
            </w:pPr>
          </w:p>
        </w:tc>
        <w:tc>
          <w:tcPr>
            <w:tcW w:w="215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2.5持续改进</w:t>
            </w:r>
          </w:p>
        </w:tc>
        <w:tc>
          <w:tcPr>
            <w:tcW w:w="9857" w:type="dxa"/>
            <w:vAlign w:val="top"/>
          </w:tcPr>
          <w:p>
            <w:pPr>
              <w:keepNext w:val="0"/>
              <w:keepLines w:val="0"/>
              <w:pageBreakBefore w:val="0"/>
              <w:widowControl w:val="0"/>
              <w:numPr>
                <w:ilvl w:val="0"/>
                <w:numId w:val="84"/>
              </w:numPr>
              <w:shd w:val="clear" w:color="auto" w:fill="auto"/>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如何针对</w:t>
            </w:r>
            <w:r>
              <w:rPr>
                <w:rFonts w:hint="default" w:ascii="Times New Roman" w:hAnsi="Times New Roman" w:eastAsia="宋体" w:cs="Times New Roman"/>
                <w:spacing w:val="0"/>
                <w:w w:val="100"/>
                <w:sz w:val="21"/>
                <w:szCs w:val="21"/>
                <w:highlight w:val="none"/>
                <w:lang w:val="en-US" w:eastAsia="zh-CN"/>
              </w:rPr>
              <w:t>存在的医疗、医患问题及时采取有效干预措施，并评估干预效果，促进医疗质量的持续改进。</w:t>
            </w:r>
          </w:p>
          <w:p>
            <w:pPr>
              <w:keepNext w:val="0"/>
              <w:keepLines w:val="0"/>
              <w:pageBreakBefore w:val="0"/>
              <w:widowControl w:val="0"/>
              <w:numPr>
                <w:ilvl w:val="0"/>
                <w:numId w:val="84"/>
              </w:numPr>
              <w:shd w:val="clear" w:color="auto" w:fill="auto"/>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如何优化和改进患者就医流程和为患者提供的医疗服务。</w:t>
            </w:r>
          </w:p>
          <w:p>
            <w:pPr>
              <w:keepNext w:val="0"/>
              <w:keepLines w:val="0"/>
              <w:pageBreakBefore w:val="0"/>
              <w:widowControl w:val="0"/>
              <w:numPr>
                <w:ilvl w:val="0"/>
                <w:numId w:val="84"/>
              </w:numPr>
              <w:shd w:val="clear" w:color="auto" w:fill="auto"/>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kern w:val="2"/>
                <w:sz w:val="21"/>
                <w:szCs w:val="21"/>
                <w:lang w:val="en-US" w:eastAsia="zh-CN" w:bidi="ar-SA"/>
              </w:rPr>
            </w:pPr>
            <w:r>
              <w:rPr>
                <w:rFonts w:hint="default" w:ascii="Times New Roman" w:hAnsi="Times New Roman" w:eastAsia="宋体" w:cs="Times New Roman"/>
                <w:spacing w:val="0"/>
                <w:w w:val="100"/>
                <w:sz w:val="21"/>
                <w:szCs w:val="21"/>
                <w:highlight w:val="none"/>
                <w:lang w:val="en-US" w:eastAsia="zh-CN"/>
              </w:rPr>
              <w:t>如何运用医疗质量管理工具开展医疗质量管理与自我评价，对诊疗流程的优化、现场管理中存在的问题及服务效率的提升与持续改进。</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w:t>
            </w:r>
          </w:p>
        </w:tc>
        <w:tc>
          <w:tcPr>
            <w:tcW w:w="1043"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创新</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215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3.1创新能力</w:t>
            </w:r>
          </w:p>
        </w:tc>
        <w:tc>
          <w:tcPr>
            <w:tcW w:w="9857" w:type="dxa"/>
            <w:vAlign w:val="top"/>
          </w:tcPr>
          <w:p>
            <w:pPr>
              <w:keepNext w:val="0"/>
              <w:keepLines w:val="0"/>
              <w:pageBreakBefore w:val="0"/>
              <w:widowControl w:val="0"/>
              <w:numPr>
                <w:ilvl w:val="0"/>
                <w:numId w:val="8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如何面向国家战略需求和医药卫生领域重大科学问题提升医疗科研团队的创新能力。</w:t>
            </w:r>
          </w:p>
          <w:p>
            <w:pPr>
              <w:keepNext w:val="0"/>
              <w:keepLines w:val="0"/>
              <w:pageBreakBefore w:val="0"/>
              <w:widowControl w:val="0"/>
              <w:numPr>
                <w:ilvl w:val="0"/>
                <w:numId w:val="8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如何加强以满足临床需求为导向的临床专科建设，以专科发展带动诊疗能力和水平提升。</w:t>
            </w:r>
          </w:p>
          <w:p>
            <w:pPr>
              <w:keepNext w:val="0"/>
              <w:keepLines w:val="0"/>
              <w:pageBreakBefore w:val="0"/>
              <w:widowControl w:val="0"/>
              <w:numPr>
                <w:ilvl w:val="0"/>
                <w:numId w:val="85"/>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如何强化科研攻关对重大疫情和突发公共卫生事件应对的支撑作用。</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3.2服务创新</w:t>
            </w:r>
          </w:p>
        </w:tc>
        <w:tc>
          <w:tcPr>
            <w:tcW w:w="9857" w:type="dxa"/>
            <w:vAlign w:val="top"/>
          </w:tcPr>
          <w:p>
            <w:pPr>
              <w:keepNext w:val="0"/>
              <w:keepLines w:val="0"/>
              <w:pageBreakBefore w:val="0"/>
              <w:widowControl w:val="0"/>
              <w:numPr>
                <w:ilvl w:val="0"/>
                <w:numId w:val="86"/>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如何推动医疗服务模式创新，包括针对具体医疗质量问题，创新质量管理工具和方法，以使各项活动更加有效。</w:t>
            </w:r>
          </w:p>
          <w:p>
            <w:pPr>
              <w:keepNext w:val="0"/>
              <w:keepLines w:val="0"/>
              <w:pageBreakBefore w:val="0"/>
              <w:widowControl w:val="0"/>
              <w:numPr>
                <w:ilvl w:val="0"/>
                <w:numId w:val="8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如何创新急诊急救服务模式，有效提升医疗急救服务能力。</w:t>
            </w:r>
          </w:p>
          <w:p>
            <w:pPr>
              <w:keepNext w:val="0"/>
              <w:keepLines w:val="0"/>
              <w:pageBreakBefore w:val="0"/>
              <w:widowControl w:val="0"/>
              <w:numPr>
                <w:ilvl w:val="0"/>
                <w:numId w:val="87"/>
              </w:numPr>
              <w:kinsoku/>
              <w:wordWrap/>
              <w:overflowPunct/>
              <w:topLinePunct w:val="0"/>
              <w:autoSpaceDE/>
              <w:autoSpaceDN/>
              <w:bidi w:val="0"/>
              <w:adjustRightInd/>
              <w:snapToGrid/>
              <w:spacing w:line="32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lang w:val="en-US" w:eastAsia="zh-CN"/>
              </w:rPr>
              <w:t>如何推广多学科诊疗模式，包括中医综合诊疗模式、多专业一体化诊疗模式、全链条服务模式等。</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rPr>
            </w:pP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3.3技术创新</w:t>
            </w:r>
          </w:p>
        </w:tc>
        <w:tc>
          <w:tcPr>
            <w:tcW w:w="9857" w:type="dxa"/>
            <w:vAlign w:val="top"/>
          </w:tcPr>
          <w:p>
            <w:pPr>
              <w:keepNext w:val="0"/>
              <w:keepLines w:val="0"/>
              <w:pageBreakBefore w:val="0"/>
              <w:widowControl w:val="0"/>
              <w:numPr>
                <w:ilvl w:val="0"/>
                <w:numId w:val="8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如何面向生命科学、生物医药科技前沿加强基础和临床研究，推动原创性疾病预防诊断治疗新技术、新产品、新方案和新策略等的产出。</w:t>
            </w:r>
          </w:p>
          <w:p>
            <w:pPr>
              <w:keepNext w:val="0"/>
              <w:keepLines w:val="0"/>
              <w:pageBreakBefore w:val="0"/>
              <w:widowControl w:val="0"/>
              <w:numPr>
                <w:ilvl w:val="0"/>
                <w:numId w:val="8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如何健全职务发明制度并推动科技成果转化，并把所获收益用于对作出重要贡献的人员奖励。</w:t>
            </w:r>
          </w:p>
          <w:p>
            <w:pPr>
              <w:keepNext w:val="0"/>
              <w:keepLines w:val="0"/>
              <w:pageBreakBefore w:val="0"/>
              <w:widowControl w:val="0"/>
              <w:numPr>
                <w:ilvl w:val="0"/>
                <w:numId w:val="86"/>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如何建立自身核心技术或核心业务的技术体系，并有效保护自身的知识产权，包括海内外专利的申请和保护。</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w:t>
            </w:r>
          </w:p>
        </w:tc>
        <w:tc>
          <w:tcPr>
            <w:tcW w:w="1043"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品牌</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4.1医患关系</w:t>
            </w:r>
          </w:p>
        </w:tc>
        <w:tc>
          <w:tcPr>
            <w:tcW w:w="9857" w:type="dxa"/>
            <w:vAlign w:val="top"/>
          </w:tcPr>
          <w:p>
            <w:pPr>
              <w:keepNext w:val="0"/>
              <w:keepLines w:val="0"/>
              <w:pageBreakBefore w:val="0"/>
              <w:widowControl w:val="0"/>
              <w:numPr>
                <w:ilvl w:val="0"/>
                <w:numId w:val="8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如何遵循安全、有效、经济的合理用药原则，尊重患者对药品使用的知情权。</w:t>
            </w:r>
          </w:p>
          <w:p>
            <w:pPr>
              <w:keepNext w:val="0"/>
              <w:keepLines w:val="0"/>
              <w:pageBreakBefore w:val="0"/>
              <w:widowControl w:val="0"/>
              <w:numPr>
                <w:ilvl w:val="0"/>
                <w:numId w:val="8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如何建立医患沟通渠道（如回访制度）、信息收集及防控机制，做好医患沟通交流，增进理解与信任，为构建和谐医患关系营造良好社会氛围。</w:t>
            </w:r>
          </w:p>
          <w:p>
            <w:pPr>
              <w:keepNext w:val="0"/>
              <w:keepLines w:val="0"/>
              <w:pageBreakBefore w:val="0"/>
              <w:widowControl w:val="0"/>
              <w:numPr>
                <w:ilvl w:val="0"/>
                <w:numId w:val="8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如何建立和完善医疗纠纷预防和处理机制、患者投诉及快速协调解决机制，并完善投诉管理，防范、处理、预防或减少医疗纠纷的发生。</w:t>
            </w:r>
          </w:p>
          <w:p>
            <w:pPr>
              <w:keepNext w:val="0"/>
              <w:keepLines w:val="0"/>
              <w:pageBreakBefore w:val="0"/>
              <w:widowControl w:val="0"/>
              <w:numPr>
                <w:ilvl w:val="0"/>
                <w:numId w:val="88"/>
              </w:numPr>
              <w:kinsoku/>
              <w:wordWrap/>
              <w:overflowPunct/>
              <w:topLinePunct w:val="0"/>
              <w:autoSpaceDE/>
              <w:autoSpaceDN/>
              <w:bidi w:val="0"/>
              <w:adjustRightInd/>
              <w:snapToGrid/>
              <w:spacing w:line="34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如何建立有效的探视管理制度以保证患者良好的休息环境。</w:t>
            </w:r>
          </w:p>
        </w:tc>
        <w:tc>
          <w:tcPr>
            <w:tcW w:w="12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4.2医务保护</w:t>
            </w:r>
          </w:p>
        </w:tc>
        <w:tc>
          <w:tcPr>
            <w:tcW w:w="9857" w:type="dxa"/>
            <w:vAlign w:val="top"/>
          </w:tcPr>
          <w:p>
            <w:pPr>
              <w:keepNext w:val="0"/>
              <w:keepLines w:val="0"/>
              <w:pageBreakBefore w:val="0"/>
              <w:widowControl w:val="0"/>
              <w:numPr>
                <w:ilvl w:val="0"/>
                <w:numId w:val="8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highlight w:val="none"/>
                <w:lang w:val="en-US" w:eastAsia="zh-CN"/>
              </w:rPr>
              <w:t>如何提高风险防范意识，建立完善相关风险制度，利用医疗责任保险、医疗意外保险等风险分担形式，保障医患双方合法权益。</w:t>
            </w:r>
          </w:p>
          <w:p>
            <w:pPr>
              <w:keepNext w:val="0"/>
              <w:keepLines w:val="0"/>
              <w:pageBreakBefore w:val="0"/>
              <w:widowControl w:val="0"/>
              <w:numPr>
                <w:ilvl w:val="0"/>
                <w:numId w:val="8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如何建立保护和关心爱护医务人员的长效机制和职工关爱帮扶机制，切实解决医务人员实际困难。</w:t>
            </w:r>
          </w:p>
          <w:p>
            <w:pPr>
              <w:keepNext w:val="0"/>
              <w:keepLines w:val="0"/>
              <w:pageBreakBefore w:val="0"/>
              <w:widowControl w:val="0"/>
              <w:numPr>
                <w:ilvl w:val="0"/>
                <w:numId w:val="8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如何改善医务人员工作环境和条件，维护医务人员合法权益，保护医务人员安全。</w:t>
            </w:r>
          </w:p>
          <w:p>
            <w:pPr>
              <w:keepNext w:val="0"/>
              <w:keepLines w:val="0"/>
              <w:pageBreakBefore w:val="0"/>
              <w:widowControl w:val="0"/>
              <w:numPr>
                <w:ilvl w:val="0"/>
                <w:numId w:val="89"/>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如何建立医务人员职业荣誉保护制度，特别是名医大师荣誉的保护。</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restart"/>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w:t>
            </w:r>
          </w:p>
        </w:tc>
        <w:tc>
          <w:tcPr>
            <w:tcW w:w="1043"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效益</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215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5.1质量水平</w:t>
            </w:r>
          </w:p>
        </w:tc>
        <w:tc>
          <w:tcPr>
            <w:tcW w:w="9857" w:type="dxa"/>
            <w:vAlign w:val="top"/>
          </w:tcPr>
          <w:p>
            <w:pPr>
              <w:keepNext w:val="0"/>
              <w:keepLines w:val="0"/>
              <w:pageBreakBefore w:val="0"/>
              <w:widowControl w:val="0"/>
              <w:numPr>
                <w:ilvl w:val="0"/>
                <w:numId w:val="9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说明关键医疗质量控制指标的现实状况及发展趋势。</w:t>
            </w:r>
          </w:p>
          <w:p>
            <w:pPr>
              <w:keepNext w:val="0"/>
              <w:keepLines w:val="0"/>
              <w:pageBreakBefore w:val="0"/>
              <w:widowControl w:val="0"/>
              <w:numPr>
                <w:ilvl w:val="0"/>
                <w:numId w:val="9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说明患者安全情况，如住院患者跌倒发生率、近5年医疗器械消毒灭菌合格率及药物不良反应报告例数、抗菌药物使用合理率及合理处方百分率等。</w:t>
            </w:r>
          </w:p>
          <w:p>
            <w:pPr>
              <w:keepNext w:val="0"/>
              <w:keepLines w:val="0"/>
              <w:pageBreakBefore w:val="0"/>
              <w:widowControl w:val="0"/>
              <w:numPr>
                <w:ilvl w:val="0"/>
                <w:numId w:val="90"/>
              </w:numPr>
              <w:kinsoku/>
              <w:wordWrap/>
              <w:overflowPunct/>
              <w:topLinePunct w:val="0"/>
              <w:autoSpaceDE/>
              <w:autoSpaceDN/>
              <w:bidi w:val="0"/>
              <w:adjustRightInd/>
              <w:snapToGrid/>
              <w:spacing w:line="30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治疗质量状况，如手术冰冻与石蜡病理诊断符合率、恶性肿瘤手术前诊断与术后病理诊断符合率、患者放弃治疗自动出院率、住院手术例数、死亡例、住院危重抢救例数、死亡例数、急诊科危重抢救例数、死亡例数等。</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center"/>
          </w:tcPr>
          <w:p>
            <w:pPr>
              <w:keepNext w:val="0"/>
              <w:keepLines w:val="0"/>
              <w:pageBreakBefore w:val="0"/>
              <w:numPr>
                <w:ilvl w:val="0"/>
                <w:numId w:val="3"/>
              </w:numPr>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5.2创新价值</w:t>
            </w:r>
          </w:p>
        </w:tc>
        <w:tc>
          <w:tcPr>
            <w:tcW w:w="9857" w:type="dxa"/>
            <w:vAlign w:val="top"/>
          </w:tcPr>
          <w:p>
            <w:pPr>
              <w:keepNext w:val="0"/>
              <w:keepLines w:val="0"/>
              <w:pageBreakBefore w:val="0"/>
              <w:widowControl w:val="0"/>
              <w:numPr>
                <w:ilvl w:val="0"/>
                <w:numId w:val="91"/>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说明在哪些医疗项目方面具有特色以及在创新成果、核心技术、科研方面获得的奖励情况。</w:t>
            </w:r>
          </w:p>
          <w:p>
            <w:pPr>
              <w:keepNext w:val="0"/>
              <w:keepLines w:val="0"/>
              <w:pageBreakBefore w:val="0"/>
              <w:widowControl w:val="0"/>
              <w:numPr>
                <w:ilvl w:val="0"/>
                <w:numId w:val="91"/>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说明科研项目、科研水平、新技术的开发与应用及用于科研的经费使用与发展情况。</w:t>
            </w:r>
          </w:p>
          <w:p>
            <w:pPr>
              <w:keepNext w:val="0"/>
              <w:keepLines w:val="0"/>
              <w:pageBreakBefore w:val="0"/>
              <w:widowControl w:val="0"/>
              <w:numPr>
                <w:ilvl w:val="0"/>
                <w:numId w:val="91"/>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kern w:val="2"/>
                <w:sz w:val="21"/>
                <w:szCs w:val="21"/>
                <w:highlight w:val="none"/>
                <w:lang w:val="en-US" w:eastAsia="zh-CN" w:bidi="ar-SA"/>
              </w:rPr>
            </w:pPr>
            <w:r>
              <w:rPr>
                <w:rFonts w:hint="default" w:ascii="Times New Roman" w:hAnsi="Times New Roman" w:eastAsia="宋体" w:cs="Times New Roman"/>
                <w:spacing w:val="0"/>
                <w:w w:val="100"/>
                <w:kern w:val="2"/>
                <w:sz w:val="21"/>
                <w:szCs w:val="21"/>
                <w:highlight w:val="none"/>
                <w:lang w:val="en-US" w:eastAsia="zh-CN" w:bidi="ar-SA"/>
              </w:rPr>
              <w:t>说明参与国际、国家标准（技术标准）的制修订及科研成果（近五年）等情况，如国内论文数及被引用次数（以全国中文核心期刊和中国科技核心期刊发布信息为准）、承担与完成国家、省级科研课题数、获得国家、省级科研基金额度等。</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5.3运营绩效</w:t>
            </w:r>
          </w:p>
        </w:tc>
        <w:tc>
          <w:tcPr>
            <w:tcW w:w="9857" w:type="dxa"/>
            <w:vAlign w:val="top"/>
          </w:tcPr>
          <w:p>
            <w:pPr>
              <w:keepNext w:val="0"/>
              <w:keepLines w:val="0"/>
              <w:pageBreakBefore w:val="0"/>
              <w:widowControl w:val="0"/>
              <w:numPr>
                <w:ilvl w:val="0"/>
                <w:numId w:val="92"/>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说明资源配置情况，如实际开放床位、重症医学科实际开放床位、急诊留观实际开放床位、员工总数、卫生技术人员数（其中：医师数、护理人员数、医技人数）等。</w:t>
            </w:r>
          </w:p>
          <w:p>
            <w:pPr>
              <w:keepNext w:val="0"/>
              <w:keepLines w:val="0"/>
              <w:pageBreakBefore w:val="0"/>
              <w:widowControl w:val="0"/>
              <w:numPr>
                <w:ilvl w:val="0"/>
                <w:numId w:val="92"/>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说明工作效率，如出院患者平均住院日、平均每张床位工作日、床位使用率、床位周转次数、从其他医院转来的患者数量占医治患者总数量的比例等情况。</w:t>
            </w:r>
          </w:p>
          <w:p>
            <w:pPr>
              <w:keepNext w:val="0"/>
              <w:keepLines w:val="0"/>
              <w:pageBreakBefore w:val="0"/>
              <w:widowControl w:val="0"/>
              <w:numPr>
                <w:ilvl w:val="0"/>
                <w:numId w:val="92"/>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工作负荷，如年门诊人次、健康体检人次、年急诊人次、留观人次、年住院患者入院、出院例数，出院患者实际占用总床日、年住院手术例数、年门诊手术例数、医生人均每日担负诊疗次数、平均每日门（急）诊人次、平均每日手术台次等情况。</w:t>
            </w:r>
          </w:p>
          <w:p>
            <w:pPr>
              <w:keepNext w:val="0"/>
              <w:keepLines w:val="0"/>
              <w:pageBreakBefore w:val="0"/>
              <w:widowControl w:val="0"/>
              <w:numPr>
                <w:ilvl w:val="0"/>
                <w:numId w:val="92"/>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lang w:val="en-US" w:eastAsia="zh-CN"/>
              </w:rPr>
              <w:t>说明临床病例讨论和诊疗协议会次数及患者接受住院治疗的周期及患者平均治疗周期、危重病例、疑难病例的治愈比率在行业内的对比情况。</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3" w:type="dxa"/>
            <w:vMerge w:val="continue"/>
            <w:vAlign w:val="top"/>
          </w:tcPr>
          <w:p>
            <w:pPr>
              <w:keepNext w:val="0"/>
              <w:keepLines w:val="0"/>
              <w:pageBreakBefore w:val="0"/>
              <w:kinsoku/>
              <w:wordWrap/>
              <w:overflowPunct/>
              <w:topLinePunct w:val="0"/>
              <w:autoSpaceDE/>
              <w:autoSpaceDN/>
              <w:bidi w:val="0"/>
              <w:adjustRightInd/>
              <w:snapToGrid/>
              <w:spacing w:line="32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043" w:type="dxa"/>
            <w:vMerge w:val="continue"/>
            <w:vAlign w:val="top"/>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2158"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5.4社会评价</w:t>
            </w:r>
          </w:p>
        </w:tc>
        <w:tc>
          <w:tcPr>
            <w:tcW w:w="9857" w:type="dxa"/>
            <w:vAlign w:val="top"/>
          </w:tcPr>
          <w:p>
            <w:pPr>
              <w:keepNext w:val="0"/>
              <w:keepLines w:val="0"/>
              <w:pageBreakBefore w:val="0"/>
              <w:widowControl w:val="0"/>
              <w:numPr>
                <w:ilvl w:val="0"/>
                <w:numId w:val="93"/>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说明医疗主管部门对本组织/团队的评价情况和获得的荣誉。</w:t>
            </w:r>
          </w:p>
          <w:p>
            <w:pPr>
              <w:keepNext w:val="0"/>
              <w:keepLines w:val="0"/>
              <w:pageBreakBefore w:val="0"/>
              <w:widowControl w:val="0"/>
              <w:numPr>
                <w:ilvl w:val="0"/>
                <w:numId w:val="93"/>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说明患者及相关方满意度测评及其结果应用情况。</w:t>
            </w:r>
          </w:p>
          <w:p>
            <w:pPr>
              <w:keepNext w:val="0"/>
              <w:keepLines w:val="0"/>
              <w:pageBreakBefore w:val="0"/>
              <w:widowControl w:val="0"/>
              <w:numPr>
                <w:ilvl w:val="0"/>
                <w:numId w:val="93"/>
              </w:numPr>
              <w:kinsoku/>
              <w:wordWrap/>
              <w:overflowPunct/>
              <w:topLinePunct w:val="0"/>
              <w:autoSpaceDE/>
              <w:autoSpaceDN/>
              <w:bidi w:val="0"/>
              <w:adjustRightInd/>
              <w:snapToGrid/>
              <w:spacing w:line="290" w:lineRule="exact"/>
              <w:ind w:left="225" w:leftChars="0" w:hanging="225" w:firstLineChars="0"/>
              <w:jc w:val="both"/>
              <w:textAlignment w:val="auto"/>
              <w:rPr>
                <w:rFonts w:hint="default" w:ascii="Times New Roman" w:hAnsi="Times New Roman" w:eastAsia="宋体" w:cs="Times New Roman"/>
                <w:spacing w:val="0"/>
                <w:w w:val="100"/>
                <w:sz w:val="21"/>
                <w:szCs w:val="21"/>
                <w:highlight w:val="none"/>
                <w:lang w:val="en-US" w:eastAsia="zh-CN"/>
              </w:rPr>
            </w:pPr>
            <w:r>
              <w:rPr>
                <w:rFonts w:hint="default" w:ascii="Times New Roman" w:hAnsi="Times New Roman" w:eastAsia="宋体" w:cs="Times New Roman"/>
                <w:spacing w:val="0"/>
                <w:w w:val="100"/>
                <w:sz w:val="21"/>
                <w:szCs w:val="21"/>
                <w:highlight w:val="none"/>
                <w:lang w:val="en-US" w:eastAsia="zh-CN"/>
              </w:rPr>
              <w:t>说明社会相关机构对本组织/团队的评价情况和获得的荣誉（包括国内外质量奖励或荣誉）。</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3801"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vertAlign w:val="baseline"/>
                <w:lang w:val="en-US" w:eastAsia="zh-CN"/>
              </w:rPr>
              <w:t>合计</w:t>
            </w:r>
          </w:p>
        </w:tc>
        <w:tc>
          <w:tcPr>
            <w:tcW w:w="12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1000分</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pacing w:val="0"/>
          <w:w w:val="100"/>
          <w:sz w:val="24"/>
          <w:szCs w:val="24"/>
          <w:lang w:val="en-US" w:eastAsia="zh-CN"/>
        </w:rPr>
      </w:pPr>
      <w:r>
        <w:rPr>
          <w:rFonts w:hint="eastAsia" w:ascii="宋体" w:hAnsi="宋体" w:eastAsia="宋体" w:cs="宋体"/>
          <w:spacing w:val="0"/>
          <w:w w:val="100"/>
          <w:sz w:val="24"/>
          <w:szCs w:val="24"/>
          <w:lang w:val="en-US" w:eastAsia="zh-CN"/>
        </w:rPr>
        <w:t>注：本文件所述医疗机构是指医院科室、专项医疗团队或社区医院（服务中心、站）。</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spacing w:val="0"/>
          <w:w w:val="100"/>
          <w:sz w:val="36"/>
          <w:szCs w:val="36"/>
          <w:lang w:val="en-US" w:eastAsia="zh-CN"/>
        </w:rPr>
      </w:pPr>
      <w:r>
        <w:rPr>
          <w:rFonts w:hint="eastAsia" w:ascii="Times New Roman" w:hAnsi="Times New Roman" w:eastAsia="黑体" w:cs="黑体"/>
          <w:b w:val="0"/>
          <w:bCs w:val="0"/>
          <w:spacing w:val="0"/>
          <w:w w:val="100"/>
          <w:sz w:val="32"/>
          <w:szCs w:val="32"/>
        </w:rPr>
        <w:t>附件</w:t>
      </w:r>
      <w:r>
        <w:rPr>
          <w:rFonts w:hint="eastAsia" w:ascii="Times New Roman" w:hAnsi="Times New Roman" w:eastAsia="黑体" w:cs="黑体"/>
          <w:b w:val="0"/>
          <w:bCs w:val="0"/>
          <w:spacing w:val="0"/>
          <w:w w:val="10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方正小标宋简体"/>
          <w:spacing w:val="0"/>
          <w:w w:val="100"/>
          <w:sz w:val="44"/>
          <w:szCs w:val="44"/>
          <w:lang w:val="en-US" w:eastAsia="zh-CN"/>
        </w:rPr>
      </w:pPr>
      <w:r>
        <w:rPr>
          <w:rFonts w:hint="eastAsia" w:ascii="Times New Roman" w:hAnsi="Times New Roman" w:eastAsia="方正小标宋简体" w:cs="方正小标宋简体"/>
          <w:spacing w:val="0"/>
          <w:w w:val="100"/>
          <w:sz w:val="44"/>
          <w:szCs w:val="44"/>
          <w:lang w:val="en-US" w:eastAsia="zh-CN"/>
        </w:rPr>
        <w:t>中山市政府质量奖评分要点（教育机构）</w:t>
      </w:r>
    </w:p>
    <w:tbl>
      <w:tblPr>
        <w:tblStyle w:val="7"/>
        <w:tblW w:w="15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310"/>
        <w:gridCol w:w="1665"/>
        <w:gridCol w:w="10099"/>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序号</w:t>
            </w:r>
          </w:p>
        </w:tc>
        <w:tc>
          <w:tcPr>
            <w:tcW w:w="297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评价指标</w:t>
            </w:r>
          </w:p>
        </w:tc>
        <w:tc>
          <w:tcPr>
            <w:tcW w:w="1009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评价要点</w:t>
            </w:r>
          </w:p>
        </w:tc>
        <w:tc>
          <w:tcPr>
            <w:tcW w:w="134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一级</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pacing w:val="0"/>
                <w:w w:val="100"/>
                <w:sz w:val="21"/>
                <w:szCs w:val="21"/>
                <w:lang w:val="en-US" w:eastAsia="zh-CN"/>
              </w:rPr>
            </w:pPr>
            <w:r>
              <w:rPr>
                <w:rFonts w:hint="eastAsia" w:ascii="黑体" w:hAnsi="黑体" w:eastAsia="黑体" w:cs="黑体"/>
                <w:spacing w:val="0"/>
                <w:w w:val="100"/>
                <w:sz w:val="21"/>
                <w:szCs w:val="21"/>
                <w:lang w:val="en-US" w:eastAsia="zh-CN"/>
              </w:rPr>
              <w:t>二级</w:t>
            </w:r>
          </w:p>
        </w:tc>
        <w:tc>
          <w:tcPr>
            <w:tcW w:w="10099"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343"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领导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150分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rPr>
            </w:pPr>
            <w:r>
              <w:rPr>
                <w:rFonts w:hint="default" w:ascii="Times New Roman" w:hAnsi="Times New Roman" w:eastAsia="宋体" w:cs="Times New Roman"/>
                <w:spacing w:val="0"/>
                <w:w w:val="100"/>
                <w:sz w:val="21"/>
                <w:szCs w:val="21"/>
                <w:vertAlign w:val="baseline"/>
                <w:lang w:val="en-US" w:eastAsia="zh-CN"/>
              </w:rPr>
              <w:t>1.1文化理念</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a.如何遵守学校校训，强化历史传承。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b.如何加强校风、教风、学风建设，建设体现学校办学理念和特色的校园文化，增进师生相互关爱，增强学校凝聚力，并对文化建设的成效进行评估。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c.如何建立密切的家校协同育人机制，坚持立德树人与全员全过程全方位育人并举。</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1.2办学方向</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a.学校如何加强爱党、爱国、爱人民、爱集体的社会主义道德情感教育，树立正确的价值取向与精神风貌。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b.如何采取诸如体验式学习、技能大赛、“大国工匠进校园”、“劳模进校园”、“优秀师生校园分享”、“百姓学习之星”等措施塑造学生世界观、人生观和价值观，培养学生的价值认知。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c.如何将培育和践行社会主义核心价值观融入教育教学全过程，深入实施素质教育，教育引导学生德智体美劳全面发展。</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1.3学校管理</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a.如何建设现代学校制度，健全并落实学校各项管理制度，加强作业、睡眠、手机、读物、体质、考试及课后服务等管理。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b.如何发挥社区或家长委员会等参与学校管理的积极作用，包括定期召开教职工代表大会。</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c.如何制定符合学校实际的发展规划，优化校园空间环境，建设健康校园、平安校园、书香校园、温馨校园、文明校园，营造和谐育人环境。</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r>
              <w:rPr>
                <w:rFonts w:hint="default" w:ascii="Times New Roman" w:hAnsi="Times New Roman" w:eastAsia="宋体" w:cs="Times New Roman"/>
                <w:spacing w:val="0"/>
                <w:w w:val="100"/>
                <w:sz w:val="21"/>
                <w:szCs w:val="21"/>
                <w:vertAlign w:val="baseline"/>
                <w:lang w:val="en-US" w:eastAsia="zh-CN"/>
              </w:rPr>
              <w:t>1.4社会责任</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a.如何推广先进的教育理念、方法和制度，树立德智体美劳全面发展和德技并修的育人理念。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b.如何引导师生参加社会公益，如常态化开展校园开放日、面向中小学生的职业体验、面向社会的便民服务、职教成果展示等。</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质量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r>
              <w:rPr>
                <w:rFonts w:hint="default" w:ascii="Times New Roman" w:hAnsi="Times New Roman" w:eastAsia="宋体" w:cs="Times New Roman"/>
                <w:spacing w:val="0"/>
                <w:w w:val="100"/>
                <w:sz w:val="21"/>
                <w:szCs w:val="21"/>
                <w:vertAlign w:val="baseline"/>
                <w:lang w:val="en-US" w:eastAsia="zh-CN"/>
              </w:rPr>
              <w:t>300分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2.1管理体系</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a.说明学校管理体系的建设和融合情况，如质量、创新或合规性管理等体系的建立、实施、保持和融合情况。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b.如何运用新一代信息技术对教育教学全过程进行有效管理，以提升运营效率。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c.如何对这些管理体系的建设、运行和融合进行监测和评审，并不断提高其有效性和效率。</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2.2教学质量</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a.如何进行课程设计和开发，建立健全德育课、文化课、美育课等公共课程、专业课程与区域产业、市场需求或国家战略相匹配的课程体系。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b.如何从教学各个环节(如课堂讲授、习题课、实验课、课堂讨论、辅导答疑、教书育人等)全面确保教学质量。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c.如何在科学严谨的基础上，加强实践能力培养，形成深入浅出、图文并茂、形式多样的活页式、工作手册式、融媒体式教材，提升学生的阅读爱好、动手实践能力等素养。</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2.3质量安全</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a.如何营造质量安全氛围，增强师生质量安全意识。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b.如何履行质量安全责任，落实质量安全制度，加强质量安全教育培训。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c.如何建立心理疏导机制，加强学生心理疏导，培养学生健康心理和健康新观念。</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2.4师资素养</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a.如何加强师资队伍建设，包括从组织中聘请劳动模范、技术能手、大国工匠、道德楷模担任校外辅导员或兼职导师，提升学校教学能力和水平。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b.如何健全师德师风建设长效机制，加强教师培养培训，提升课程开发能力，改善教学方法，以提高学校核心竞争力。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c.如何建立健全校企共建共享生产性实训基地，提升学生的动手实践能力。</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2.5质量改进</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a.如何建立并实施以学生为中心的专业与课程质量持续改进机制。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kern w:val="2"/>
                <w:sz w:val="21"/>
                <w:szCs w:val="21"/>
                <w:lang w:val="en-US" w:eastAsia="zh-CN" w:bidi="ar-SA"/>
              </w:rPr>
            </w:pPr>
            <w:r>
              <w:rPr>
                <w:rFonts w:hint="default" w:ascii="Times New Roman" w:hAnsi="Times New Roman" w:eastAsia="宋体" w:cs="Times New Roman"/>
                <w:b w:val="0"/>
                <w:bCs w:val="0"/>
                <w:spacing w:val="0"/>
                <w:w w:val="100"/>
                <w:sz w:val="21"/>
                <w:szCs w:val="21"/>
                <w:lang w:val="en-US" w:eastAsia="zh-CN"/>
              </w:rPr>
              <w:t>b.如何开展质量改进活动，包括诸如质量提升小组或跨部门质量提升或质量改进团队的建设以及质量改进工具与提升方法的应用等。</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kern w:val="2"/>
                <w:sz w:val="21"/>
                <w:szCs w:val="21"/>
                <w:vertAlign w:val="baseline"/>
                <w:lang w:val="en-US" w:eastAsia="zh-CN" w:bidi="ar-SA"/>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创新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3.1创新平台</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a.如何将创新理念融入到教育教学之中，并建立、实施和保持创新管理体系，以提高学校竞争优势。</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b.如何建设教育教学创新平台和打造教研创新团队（包括参与重大教研项目的能力），并保持创新平台的有效运行以提升学校的核心竞争力。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c.如何建设教育教学示范基地。</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3.2管理创新</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a.如何根据学校的文化特色，有组织有计划地推动管理理念或制度、模式、方法创新，包括针对具体质量问题，创新管理工具和方法，以使组织的各项活动更加高效。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b.如何进行素质教育和特色教育创新。</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宋体" w:cs="Times New Roman"/>
                <w:spacing w:val="0"/>
                <w:w w:val="100"/>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3.3技术创新</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a.如何培养学生的创新意识、创新思维、创造性思维和终身学习的能力，使学生在牢固、系统地掌握学科知识的同时发展他们的创新能力。</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b.如何建立、实施和保持教育教学科研技术评估体系，并从教学整体出发，运用系统的科学方法，优化资源配置，达到最佳教学效果。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c.如何利用互联网、物联网、大数据、云计算、5G等新一代信息技术对教与学过程和资源设计、开发、利用、管理和评价，以实现教与学过程优化、</w:t>
            </w:r>
            <w:r>
              <w:rPr>
                <w:rFonts w:hint="default" w:ascii="Times New Roman" w:hAnsi="Times New Roman" w:eastAsia="宋体" w:cs="Times New Roman"/>
                <w:b w:val="0"/>
                <w:bCs w:val="0"/>
                <w:spacing w:val="0"/>
                <w:w w:val="100"/>
                <w:sz w:val="21"/>
                <w:szCs w:val="21"/>
              </w:rPr>
              <w:t>创新</w:t>
            </w:r>
            <w:r>
              <w:rPr>
                <w:rFonts w:hint="default" w:ascii="Times New Roman" w:hAnsi="Times New Roman" w:eastAsia="宋体" w:cs="Times New Roman"/>
                <w:b w:val="0"/>
                <w:bCs w:val="0"/>
                <w:spacing w:val="0"/>
                <w:w w:val="100"/>
                <w:sz w:val="21"/>
                <w:szCs w:val="21"/>
                <w:lang w:val="en-US" w:eastAsia="zh-CN"/>
              </w:rPr>
              <w:t>和改进。</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4</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品牌150分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spacing w:val="0"/>
                <w:w w:val="100"/>
                <w:sz w:val="21"/>
                <w:szCs w:val="21"/>
                <w:highlight w:val="none"/>
                <w:vertAlign w:val="baseline"/>
                <w:lang w:val="en-US" w:eastAsia="zh-CN"/>
              </w:rPr>
            </w:pPr>
            <w:r>
              <w:rPr>
                <w:rFonts w:hint="default" w:ascii="Times New Roman" w:hAnsi="Times New Roman" w:eastAsia="宋体" w:cs="Times New Roman"/>
                <w:spacing w:val="0"/>
                <w:w w:val="100"/>
                <w:sz w:val="21"/>
                <w:szCs w:val="21"/>
                <w:highlight w:val="none"/>
                <w:vertAlign w:val="baseline"/>
                <w:lang w:val="en-US" w:eastAsia="zh-CN"/>
              </w:rPr>
              <w:t>4.1学校条件</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a.如何确定、提供并维护教学场所、运动场地、公共绿地、教学实验设施设备、音体美辅助设施、心理辅导、图书馆、学校食堂、校车等基础设施。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b.如何加强学校教育信息化建设。</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c.如何建立劳动教育、综合实践基地，统筹利用博物馆、展览馆、红色教育基地、乡村人文自然资源等开展教育教学活动。</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highlight w:val="none"/>
                <w:vertAlign w:val="baseline"/>
                <w:lang w:val="en-US" w:eastAsia="zh-CN"/>
              </w:rPr>
            </w:pPr>
            <w:r>
              <w:rPr>
                <w:rFonts w:hint="default" w:ascii="Times New Roman" w:hAnsi="Times New Roman" w:eastAsia="宋体" w:cs="Times New Roman"/>
                <w:spacing w:val="0"/>
                <w:w w:val="100"/>
                <w:sz w:val="21"/>
                <w:szCs w:val="21"/>
                <w:highlight w:val="none"/>
                <w:vertAlign w:val="baseline"/>
                <w:lang w:val="en-US" w:eastAsia="zh-CN"/>
              </w:rPr>
              <w:t>4.2沟通反馈</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a.学校如何建立与学生及家长就教学质量、教学过程、教师素质、校纪校风、教育管理、餐饮、医疗、校车等方面进行沟通反馈的机制。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b.如何利用学生及家长的反馈信息改善学校管理和教学质量。</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31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highlight w:val="none"/>
                <w:vertAlign w:val="baseline"/>
                <w:lang w:val="en-US" w:eastAsia="zh-CN"/>
              </w:rPr>
            </w:pPr>
            <w:r>
              <w:rPr>
                <w:rFonts w:hint="default" w:ascii="Times New Roman" w:hAnsi="Times New Roman" w:eastAsia="宋体" w:cs="Times New Roman"/>
                <w:spacing w:val="0"/>
                <w:w w:val="100"/>
                <w:sz w:val="21"/>
                <w:szCs w:val="21"/>
                <w:highlight w:val="none"/>
                <w:vertAlign w:val="baseline"/>
                <w:lang w:val="en-US" w:eastAsia="zh-CN"/>
              </w:rPr>
              <w:t>4.3办学评价</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a.如何建立及实施内外部教学评价机制。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b.如何利用主管部门或相关机构对学校的评价改进教学质量。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c.如何进行学生综合素质评价，并加强综合素质档案建设和使用，客观反映学生德智体美劳全面发展整体水平及变化。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d.师生、家长、社会等方面对学校教育教学服务质量的满意度。</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w:t>
            </w:r>
          </w:p>
        </w:tc>
        <w:tc>
          <w:tcPr>
            <w:tcW w:w="131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效益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200分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highlight w:val="none"/>
                <w:vertAlign w:val="baseline"/>
                <w:lang w:val="en-US" w:eastAsia="zh-CN"/>
              </w:rPr>
            </w:pPr>
            <w:r>
              <w:rPr>
                <w:rFonts w:hint="default" w:ascii="Times New Roman" w:hAnsi="Times New Roman" w:eastAsia="宋体" w:cs="Times New Roman"/>
                <w:spacing w:val="0"/>
                <w:w w:val="100"/>
                <w:sz w:val="21"/>
                <w:szCs w:val="21"/>
                <w:highlight w:val="none"/>
                <w:vertAlign w:val="baseline"/>
                <w:lang w:val="en-US" w:eastAsia="zh-CN"/>
              </w:rPr>
              <w:t>5.1教学水平</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a.说明教学质量水平，如学生的思想品德、理想信念、学业水平和身心发展等情况。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b.职业院校应说明向社会发布职业教育质量和毕业生就业等情况，以及就业率、专业对口就业率、平均薪酬、用人单位对毕业生满意度、毕业生就业满意度等情况。</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5.2创新价值</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a.说明获得教学成果奖或教学能力大赛奖等。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b.说明创新成果价值，包括先进性、独创性、可推广性经验等。</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highlight w:val="none"/>
                <w:vertAlign w:val="baseline"/>
                <w:lang w:val="en-US" w:eastAsia="zh-CN"/>
              </w:rPr>
            </w:pPr>
            <w:r>
              <w:rPr>
                <w:rFonts w:hint="default" w:ascii="Times New Roman" w:hAnsi="Times New Roman" w:eastAsia="宋体" w:cs="Times New Roman"/>
                <w:spacing w:val="0"/>
                <w:w w:val="100"/>
                <w:sz w:val="21"/>
                <w:szCs w:val="21"/>
                <w:highlight w:val="none"/>
                <w:vertAlign w:val="baseline"/>
                <w:lang w:val="en-US" w:eastAsia="zh-CN"/>
              </w:rPr>
              <w:t>5.3社会认可</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a.说明学校文化示范影响、特色专业情况。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b.说明校企合作、产教融合、工学结合及实训培训（1+X证书制度）情况。</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3"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425" w:leftChars="0" w:hanging="425" w:firstLineChars="0"/>
              <w:jc w:val="center"/>
              <w:textAlignment w:val="auto"/>
              <w:rPr>
                <w:rFonts w:hint="default" w:ascii="Times New Roman" w:hAnsi="Times New Roman" w:eastAsia="宋体" w:cs="Times New Roman"/>
                <w:spacing w:val="0"/>
                <w:w w:val="100"/>
                <w:sz w:val="21"/>
                <w:szCs w:val="21"/>
                <w:vertAlign w:val="baseline"/>
              </w:rPr>
            </w:pPr>
          </w:p>
        </w:tc>
        <w:tc>
          <w:tcPr>
            <w:tcW w:w="1310"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5.4社会效益</w:t>
            </w:r>
          </w:p>
        </w:tc>
        <w:tc>
          <w:tcPr>
            <w:tcW w:w="10099"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a.说明带动本地区教育水平提升与服务经济社会发展。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b.说明职业教育服务城市文明、城市创新、民生需求、产业发展以及促进义务教育“控辍保学”成效。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宋体" w:cs="Times New Roman"/>
                <w:b w:val="0"/>
                <w:bCs w:val="0"/>
                <w:spacing w:val="0"/>
                <w:w w:val="100"/>
                <w:sz w:val="21"/>
                <w:szCs w:val="21"/>
                <w:lang w:val="en-US" w:eastAsia="zh-CN"/>
              </w:rPr>
            </w:pPr>
            <w:r>
              <w:rPr>
                <w:rFonts w:hint="default" w:ascii="Times New Roman" w:hAnsi="Times New Roman" w:eastAsia="宋体" w:cs="Times New Roman"/>
                <w:b w:val="0"/>
                <w:bCs w:val="0"/>
                <w:spacing w:val="0"/>
                <w:w w:val="100"/>
                <w:sz w:val="21"/>
                <w:szCs w:val="21"/>
                <w:lang w:val="en-US" w:eastAsia="zh-CN"/>
              </w:rPr>
              <w:t>c.获得荣誉情况。</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847"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center"/>
              <w:textAlignment w:val="auto"/>
              <w:rPr>
                <w:rFonts w:hint="default" w:ascii="Times New Roman" w:hAnsi="Times New Roman" w:eastAsia="宋体" w:cs="Times New Roman"/>
                <w:spacing w:val="0"/>
                <w:w w:val="100"/>
                <w:sz w:val="21"/>
                <w:szCs w:val="21"/>
                <w:lang w:val="en-US" w:eastAsia="zh-CN"/>
              </w:rPr>
            </w:pPr>
            <w:r>
              <w:rPr>
                <w:rFonts w:hint="default" w:ascii="Times New Roman" w:hAnsi="Times New Roman" w:eastAsia="宋体" w:cs="Times New Roman"/>
                <w:spacing w:val="0"/>
                <w:w w:val="100"/>
                <w:sz w:val="21"/>
                <w:szCs w:val="21"/>
                <w:vertAlign w:val="baseline"/>
                <w:lang w:val="en-US" w:eastAsia="zh-CN"/>
              </w:rPr>
              <w:t>合计</w:t>
            </w:r>
          </w:p>
        </w:tc>
        <w:tc>
          <w:tcPr>
            <w:tcW w:w="1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spacing w:val="0"/>
                <w:w w:val="100"/>
                <w:sz w:val="21"/>
                <w:szCs w:val="21"/>
                <w:vertAlign w:val="baseline"/>
                <w:lang w:val="en-US" w:eastAsia="zh-CN"/>
              </w:rPr>
            </w:pPr>
            <w:r>
              <w:rPr>
                <w:rFonts w:hint="default" w:ascii="Times New Roman" w:hAnsi="Times New Roman" w:eastAsia="宋体" w:cs="Times New Roman"/>
                <w:spacing w:val="0"/>
                <w:w w:val="100"/>
                <w:sz w:val="21"/>
                <w:szCs w:val="21"/>
                <w:vertAlign w:val="baseline"/>
                <w:lang w:val="en-US" w:eastAsia="zh-CN"/>
              </w:rPr>
              <w:t>1000分</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pacing w:val="0"/>
          <w:w w:val="100"/>
          <w:sz w:val="24"/>
          <w:lang w:val="en-US"/>
        </w:rPr>
      </w:pPr>
      <w:r>
        <w:rPr>
          <w:rFonts w:hint="eastAsia" w:ascii="宋体" w:hAnsi="宋体" w:eastAsia="宋体" w:cs="宋体"/>
          <w:spacing w:val="0"/>
          <w:w w:val="100"/>
          <w:sz w:val="24"/>
          <w:szCs w:val="24"/>
          <w:lang w:val="en-US" w:eastAsia="zh-CN"/>
        </w:rPr>
        <w:t>注：本文件教育机构主要是指小学、初中和职业院校，简称学校。</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b w:val="0"/>
          <w:bCs w:val="0"/>
          <w:spacing w:val="0"/>
          <w:w w:val="100"/>
          <w:sz w:val="32"/>
          <w:szCs w:val="32"/>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中山市政府质量奖评分权重</w:t>
      </w:r>
      <w:bookmarkStart w:id="0" w:name="_GoBack"/>
      <w:bookmarkEnd w:id="0"/>
    </w:p>
    <w:tbl>
      <w:tblPr>
        <w:tblStyle w:val="6"/>
        <w:tblW w:w="14745" w:type="dxa"/>
        <w:tblCellSpacing w:w="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1000"/>
        <w:gridCol w:w="2040"/>
        <w:gridCol w:w="2083"/>
        <w:gridCol w:w="2469"/>
        <w:gridCol w:w="1885"/>
        <w:gridCol w:w="2313"/>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tblCellSpacing w:w="0" w:type="dxa"/>
        </w:trPr>
        <w:tc>
          <w:tcPr>
            <w:tcW w:w="638" w:type="dxa"/>
            <w:vMerge w:val="restart"/>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序号</w:t>
            </w:r>
          </w:p>
        </w:tc>
        <w:tc>
          <w:tcPr>
            <w:tcW w:w="1000" w:type="dxa"/>
            <w:vMerge w:val="restart"/>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权重</w:t>
            </w:r>
          </w:p>
        </w:tc>
        <w:tc>
          <w:tcPr>
            <w:tcW w:w="6592" w:type="dxa"/>
            <w:gridSpan w:val="3"/>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领导、质量、创新和品牌四部分评分标准</w:t>
            </w:r>
          </w:p>
        </w:tc>
        <w:tc>
          <w:tcPr>
            <w:tcW w:w="6515" w:type="dxa"/>
            <w:gridSpan w:val="3"/>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效益部分评分标准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trPr>
        <w:tc>
          <w:tcPr>
            <w:tcW w:w="638"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1000" w:type="dxa"/>
            <w:vMerge w:val="continue"/>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p>
        </w:tc>
        <w:tc>
          <w:tcPr>
            <w:tcW w:w="2040"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方法（完整性、适宜性和有效性）</w:t>
            </w:r>
          </w:p>
        </w:tc>
        <w:tc>
          <w:tcPr>
            <w:tcW w:w="2083"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实施（一致性、彻底性和灵活性）</w:t>
            </w:r>
          </w:p>
        </w:tc>
        <w:tc>
          <w:tcPr>
            <w:tcW w:w="2469"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评估与改善（周期性、连续性和创新性）</w:t>
            </w:r>
          </w:p>
        </w:tc>
        <w:tc>
          <w:tcPr>
            <w:tcW w:w="1885"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当前状态</w:t>
            </w:r>
          </w:p>
        </w:tc>
        <w:tc>
          <w:tcPr>
            <w:tcW w:w="2313"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对比评价</w:t>
            </w:r>
          </w:p>
        </w:tc>
        <w:tc>
          <w:tcPr>
            <w:tcW w:w="2317" w:type="dxa"/>
            <w:tcBorders>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default" w:ascii="Times New Roman" w:hAnsi="Times New Roman" w:eastAsia="宋体" w:cs="Times New Roman"/>
                <w:kern w:val="2"/>
                <w:sz w:val="18"/>
                <w:szCs w:val="18"/>
                <w:lang w:val="en-US" w:eastAsia="zh-CN" w:bidi="ar-SA"/>
              </w:rPr>
            </w:pPr>
            <w:r>
              <w:rPr>
                <w:rFonts w:hint="default" w:ascii="Times New Roman" w:hAnsi="Times New Roman" w:eastAsia="宋体" w:cs="Times New Roman"/>
                <w:kern w:val="2"/>
                <w:sz w:val="18"/>
                <w:szCs w:val="18"/>
                <w:lang w:val="en-US" w:eastAsia="zh-CN" w:bidi="ar-SA"/>
              </w:rPr>
              <w:t>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0%，5%或10%</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方法</w:t>
            </w:r>
            <w:r>
              <w:rPr>
                <w:rFonts w:hint="default" w:ascii="Times New Roman" w:hAnsi="Times New Roman" w:eastAsia="宋体" w:cs="Times New Roman"/>
                <w:color w:val="000000"/>
                <w:sz w:val="18"/>
                <w:szCs w:val="18"/>
                <w:lang w:val="en-US" w:eastAsia="zh-CN"/>
              </w:rPr>
              <w:t>不明确或没有方法</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所述</w:t>
            </w:r>
            <w:r>
              <w:rPr>
                <w:rFonts w:hint="default" w:ascii="Times New Roman" w:hAnsi="Times New Roman" w:eastAsia="宋体" w:cs="Times New Roman"/>
                <w:color w:val="000000"/>
                <w:sz w:val="18"/>
                <w:szCs w:val="18"/>
              </w:rPr>
              <w:t>信息是零散的、孤立的。</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没有或略有一些简略的方法得以</w:t>
            </w:r>
            <w:r>
              <w:rPr>
                <w:rFonts w:hint="default" w:ascii="Times New Roman" w:hAnsi="Times New Roman" w:eastAsia="宋体" w:cs="Times New Roman"/>
                <w:color w:val="000000"/>
                <w:sz w:val="18"/>
                <w:szCs w:val="18"/>
                <w:lang w:val="en-US" w:eastAsia="zh-CN"/>
              </w:rPr>
              <w:t>实施</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不能证实</w:t>
            </w:r>
            <w:r>
              <w:rPr>
                <w:rFonts w:hint="default" w:ascii="Times New Roman" w:hAnsi="Times New Roman" w:eastAsia="宋体" w:cs="Times New Roman"/>
                <w:color w:val="000000"/>
                <w:sz w:val="18"/>
                <w:szCs w:val="18"/>
                <w:lang w:val="en-US" w:eastAsia="zh-CN"/>
              </w:rPr>
              <w:t>进行了评估或改善</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或</w:t>
            </w:r>
            <w:r>
              <w:rPr>
                <w:rFonts w:hint="default" w:ascii="Times New Roman" w:hAnsi="Times New Roman" w:eastAsia="宋体" w:cs="Times New Roman"/>
                <w:color w:val="000000"/>
                <w:sz w:val="18"/>
                <w:szCs w:val="18"/>
              </w:rPr>
              <w:t>仅仅是对问题的被动</w:t>
            </w:r>
            <w:r>
              <w:rPr>
                <w:rFonts w:hint="default" w:ascii="Times New Roman" w:hAnsi="Times New Roman" w:eastAsia="宋体" w:cs="Times New Roman"/>
                <w:color w:val="000000"/>
                <w:sz w:val="18"/>
                <w:szCs w:val="18"/>
                <w:lang w:val="en-US" w:eastAsia="zh-CN"/>
              </w:rPr>
              <w:t>式</w:t>
            </w:r>
            <w:r>
              <w:rPr>
                <w:rFonts w:hint="default" w:ascii="Times New Roman" w:hAnsi="Times New Roman" w:eastAsia="宋体" w:cs="Times New Roman"/>
                <w:color w:val="000000"/>
                <w:sz w:val="18"/>
                <w:szCs w:val="18"/>
              </w:rPr>
              <w:t>反应。</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效益方面数据</w:t>
            </w:r>
            <w:r>
              <w:rPr>
                <w:rFonts w:hint="default" w:ascii="Times New Roman" w:hAnsi="Times New Roman" w:eastAsia="宋体" w:cs="Times New Roman"/>
                <w:color w:val="000000"/>
                <w:sz w:val="18"/>
                <w:szCs w:val="18"/>
              </w:rPr>
              <w:t>或</w:t>
            </w:r>
            <w:r>
              <w:rPr>
                <w:rFonts w:hint="default" w:ascii="Times New Roman" w:hAnsi="Times New Roman" w:eastAsia="宋体" w:cs="Times New Roman"/>
                <w:color w:val="000000"/>
                <w:sz w:val="18"/>
                <w:szCs w:val="18"/>
                <w:lang w:val="en-US" w:eastAsia="zh-CN"/>
              </w:rPr>
              <w:t>显示效益数据</w:t>
            </w:r>
            <w:r>
              <w:rPr>
                <w:rFonts w:hint="default" w:ascii="Times New Roman" w:hAnsi="Times New Roman" w:eastAsia="宋体" w:cs="Times New Roman"/>
                <w:color w:val="000000"/>
                <w:sz w:val="18"/>
                <w:szCs w:val="18"/>
              </w:rPr>
              <w:t>很差。</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w:t>
            </w:r>
            <w:r>
              <w:rPr>
                <w:rFonts w:hint="default" w:ascii="Times New Roman" w:hAnsi="Times New Roman" w:eastAsia="宋体" w:cs="Times New Roman"/>
                <w:color w:val="000000"/>
                <w:sz w:val="18"/>
                <w:szCs w:val="18"/>
                <w:lang w:val="en-US" w:eastAsia="zh-CN"/>
              </w:rPr>
              <w:t>数据或</w:t>
            </w:r>
            <w:r>
              <w:rPr>
                <w:rFonts w:hint="default" w:ascii="Times New Roman" w:hAnsi="Times New Roman" w:eastAsia="宋体" w:cs="Times New Roman"/>
                <w:color w:val="000000"/>
                <w:sz w:val="18"/>
                <w:szCs w:val="18"/>
              </w:rPr>
              <w:t>信息。</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没有显示趋势的数据，或</w:t>
            </w:r>
            <w:r>
              <w:rPr>
                <w:rFonts w:hint="default" w:ascii="Times New Roman" w:hAnsi="Times New Roman" w:eastAsia="宋体" w:cs="Times New Roman"/>
                <w:color w:val="000000"/>
                <w:sz w:val="18"/>
                <w:szCs w:val="18"/>
                <w:lang w:val="en-US" w:eastAsia="zh-CN"/>
              </w:rPr>
              <w:t>显示的数据大部分呈下滑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2</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15%，</w:t>
            </w:r>
            <w:r>
              <w:rPr>
                <w:rFonts w:hint="default" w:ascii="Times New Roman" w:hAnsi="Times New Roman" w:eastAsia="宋体" w:cs="Times New Roman"/>
                <w:color w:val="000000"/>
                <w:sz w:val="18"/>
                <w:szCs w:val="18"/>
                <w:lang w:val="en-US" w:eastAsia="zh-CN"/>
              </w:rPr>
              <w:t>2</w:t>
            </w:r>
            <w:r>
              <w:rPr>
                <w:rFonts w:hint="default" w:ascii="Times New Roman" w:hAnsi="Times New Roman" w:eastAsia="宋体" w:cs="Times New Roman"/>
                <w:color w:val="000000"/>
                <w:sz w:val="18"/>
                <w:szCs w:val="18"/>
              </w:rPr>
              <w:t>0%，25%或30%</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lang w:val="en-US" w:eastAsia="zh-CN"/>
              </w:rPr>
              <w:t>清晰地描述了较完整的</w:t>
            </w:r>
            <w:r>
              <w:rPr>
                <w:rFonts w:hint="default" w:ascii="Times New Roman" w:hAnsi="Times New Roman" w:eastAsia="宋体" w:cs="Times New Roman"/>
                <w:color w:val="000000"/>
                <w:sz w:val="18"/>
                <w:szCs w:val="18"/>
              </w:rPr>
              <w:t>方法。</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开始</w:t>
            </w:r>
            <w:r>
              <w:rPr>
                <w:rFonts w:hint="default" w:ascii="Times New Roman" w:hAnsi="Times New Roman" w:eastAsia="宋体" w:cs="Times New Roman"/>
                <w:color w:val="000000"/>
                <w:sz w:val="18"/>
                <w:szCs w:val="18"/>
                <w:lang w:val="en-US" w:eastAsia="zh-CN"/>
              </w:rPr>
              <w:t>有计划有步骤的进行评估，并进行了初步的改善</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一级评价项目</w:t>
            </w:r>
            <w:r>
              <w:rPr>
                <w:rFonts w:hint="default" w:ascii="Times New Roman" w:hAnsi="Times New Roman" w:eastAsia="宋体" w:cs="Times New Roman"/>
                <w:color w:val="000000"/>
                <w:sz w:val="18"/>
                <w:szCs w:val="18"/>
              </w:rPr>
              <w:t>，报告了很少的结果。</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没有报告或报告了很少</w:t>
            </w:r>
            <w:r>
              <w:rPr>
                <w:rFonts w:hint="default" w:ascii="Times New Roman" w:hAnsi="Times New Roman" w:eastAsia="宋体" w:cs="Times New Roman"/>
                <w:color w:val="000000"/>
                <w:sz w:val="18"/>
                <w:szCs w:val="18"/>
                <w:lang w:val="en-US" w:eastAsia="zh-CN"/>
              </w:rPr>
              <w:t>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在报告的某些数据中</w:t>
            </w:r>
            <w:r>
              <w:rPr>
                <w:rFonts w:hint="default" w:ascii="Times New Roman" w:hAnsi="Times New Roman" w:eastAsia="宋体" w:cs="Times New Roman"/>
                <w:color w:val="000000"/>
                <w:sz w:val="18"/>
                <w:szCs w:val="18"/>
                <w:lang w:val="en-US" w:eastAsia="zh-CN"/>
              </w:rPr>
              <w:t>呈下滑</w:t>
            </w:r>
            <w:r>
              <w:rPr>
                <w:rFonts w:hint="default" w:ascii="Times New Roman" w:hAnsi="Times New Roman" w:eastAsia="宋体" w:cs="Times New Roman"/>
                <w:color w:val="000000"/>
                <w:sz w:val="18"/>
                <w:szCs w:val="18"/>
              </w:rPr>
              <w:t>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35%，40%，45%或50%</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完整的、适宜的</w:t>
            </w:r>
            <w:r>
              <w:rPr>
                <w:rFonts w:hint="default" w:ascii="Times New Roman" w:hAnsi="Times New Roman" w:eastAsia="宋体" w:cs="Times New Roman"/>
                <w:color w:val="000000"/>
                <w:sz w:val="18"/>
                <w:szCs w:val="18"/>
              </w:rPr>
              <w:t>、有效的方法。　</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展现了方法实施的一致性和彻底性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用以评价和改进关键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二级评价项目</w:t>
            </w: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w:t>
            </w:r>
            <w:r>
              <w:rPr>
                <w:rFonts w:hint="default" w:ascii="Times New Roman" w:hAnsi="Times New Roman" w:eastAsia="宋体" w:cs="Times New Roman"/>
                <w:color w:val="000000"/>
                <w:sz w:val="18"/>
                <w:szCs w:val="18"/>
                <w:lang w:val="en-US" w:eastAsia="zh-CN"/>
              </w:rPr>
              <w:t>部分竞争对手或标杆的</w:t>
            </w:r>
            <w:r>
              <w:rPr>
                <w:rFonts w:hint="default" w:ascii="Times New Roman" w:hAnsi="Times New Roman" w:eastAsia="宋体" w:cs="Times New Roman"/>
                <w:color w:val="000000"/>
                <w:sz w:val="18"/>
                <w:szCs w:val="18"/>
              </w:rPr>
              <w:t>对比性数据。</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报告了一些趋势数据，并且主要的趋势是有利的。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4</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55%，60%，65%或70%</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并体现出适当的创新性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报告了好的</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好的组织</w:t>
            </w:r>
            <w:r>
              <w:rPr>
                <w:rFonts w:hint="default" w:ascii="Times New Roman" w:hAnsi="Times New Roman" w:eastAsia="宋体" w:cs="Times New Roman"/>
                <w:color w:val="000000"/>
                <w:sz w:val="18"/>
                <w:szCs w:val="18"/>
                <w:lang w:val="en-US" w:eastAsia="zh-CN"/>
              </w:rPr>
              <w:t>效益状况</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与有关竞争者和（或）标杆进行对比评价，某些</w:t>
            </w:r>
            <w:r>
              <w:rPr>
                <w:rFonts w:hint="default" w:ascii="Times New Roman" w:hAnsi="Times New Roman" w:eastAsia="宋体" w:cs="Times New Roman"/>
                <w:color w:val="000000"/>
                <w:sz w:val="18"/>
                <w:szCs w:val="18"/>
                <w:lang w:val="en-US" w:eastAsia="zh-CN"/>
              </w:rPr>
              <w:t>指标</w:t>
            </w:r>
            <w:r>
              <w:rPr>
                <w:rFonts w:hint="default" w:ascii="Times New Roman" w:hAnsi="Times New Roman" w:eastAsia="宋体" w:cs="Times New Roman"/>
                <w:color w:val="000000"/>
                <w:sz w:val="18"/>
                <w:szCs w:val="18"/>
              </w:rPr>
              <w:t>显示</w:t>
            </w:r>
            <w:r>
              <w:rPr>
                <w:rFonts w:hint="default" w:ascii="Times New Roman" w:hAnsi="Times New Roman" w:eastAsia="宋体" w:cs="Times New Roman"/>
                <w:color w:val="000000"/>
                <w:sz w:val="18"/>
                <w:szCs w:val="18"/>
                <w:lang w:val="en-US" w:eastAsia="zh-CN"/>
              </w:rPr>
              <w:t>出</w:t>
            </w:r>
            <w:r>
              <w:rPr>
                <w:rFonts w:hint="default" w:ascii="Times New Roman" w:hAnsi="Times New Roman" w:eastAsia="宋体" w:cs="Times New Roman"/>
                <w:color w:val="000000"/>
                <w:sz w:val="18"/>
                <w:szCs w:val="18"/>
              </w:rPr>
              <w:t>“</w:t>
            </w:r>
            <w:r>
              <w:rPr>
                <w:rFonts w:hint="default" w:ascii="Times New Roman" w:hAnsi="Times New Roman" w:eastAsia="宋体" w:cs="Times New Roman"/>
                <w:color w:val="000000"/>
                <w:sz w:val="18"/>
                <w:szCs w:val="18"/>
                <w:lang w:val="en-US" w:eastAsia="zh-CN"/>
              </w:rPr>
              <w:t>良</w:t>
            </w:r>
            <w:r>
              <w:rPr>
                <w:rFonts w:hint="default" w:ascii="Times New Roman" w:hAnsi="Times New Roman" w:eastAsia="宋体" w:cs="Times New Roman"/>
                <w:color w:val="000000"/>
                <w:sz w:val="18"/>
                <w:szCs w:val="18"/>
              </w:rPr>
              <w:t>好”的相对</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在对于达成组织的使命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重要的领域，</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5</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75%，80%或85%</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有</w:t>
            </w:r>
            <w:r>
              <w:rPr>
                <w:rFonts w:hint="default" w:ascii="Times New Roman" w:hAnsi="Times New Roman" w:eastAsia="宋体" w:cs="Times New Roman"/>
                <w:color w:val="000000"/>
                <w:sz w:val="18"/>
                <w:szCs w:val="18"/>
                <w:lang w:val="en-US" w:eastAsia="zh-CN"/>
              </w:rPr>
              <w:t>绝大部分完整的、适宜的</w:t>
            </w:r>
            <w:r>
              <w:rPr>
                <w:rFonts w:hint="default" w:ascii="Times New Roman" w:hAnsi="Times New Roman" w:eastAsia="宋体" w:cs="Times New Roman"/>
                <w:color w:val="000000"/>
                <w:sz w:val="18"/>
                <w:szCs w:val="18"/>
              </w:rPr>
              <w:t>、有效的方法。</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w:t>
            </w:r>
            <w:r>
              <w:rPr>
                <w:rFonts w:hint="default" w:ascii="Times New Roman" w:hAnsi="Times New Roman" w:eastAsia="宋体" w:cs="Times New Roman"/>
                <w:color w:val="000000"/>
                <w:sz w:val="18"/>
                <w:szCs w:val="18"/>
                <w:lang w:val="en-US" w:eastAsia="zh-CN"/>
              </w:rPr>
              <w:t>大部分</w:t>
            </w:r>
            <w:r>
              <w:rPr>
                <w:rFonts w:hint="default" w:ascii="Times New Roman" w:hAnsi="Times New Roman" w:eastAsia="宋体" w:cs="Times New Roman"/>
                <w:color w:val="000000"/>
                <w:sz w:val="18"/>
                <w:szCs w:val="18"/>
              </w:rPr>
              <w:t>领域或工作单位</w:t>
            </w:r>
            <w:r>
              <w:rPr>
                <w:rFonts w:hint="default" w:ascii="Times New Roman" w:hAnsi="Times New Roman" w:eastAsia="宋体" w:cs="Times New Roman"/>
                <w:color w:val="000000"/>
                <w:sz w:val="18"/>
                <w:szCs w:val="18"/>
                <w:lang w:val="en-US" w:eastAsia="zh-CN"/>
              </w:rPr>
              <w:t>展现了方法实施的一致性、彻底性和灵活性，且无明显差异</w:t>
            </w:r>
            <w:r>
              <w:rPr>
                <w:rFonts w:hint="default" w:ascii="Times New Roman" w:hAnsi="Times New Roman" w:eastAsia="宋体" w:cs="Times New Roman"/>
                <w:color w:val="000000"/>
                <w:sz w:val="18"/>
                <w:szCs w:val="18"/>
              </w:rPr>
              <w:t>。</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w:t>
            </w:r>
            <w:r>
              <w:rPr>
                <w:rFonts w:hint="default" w:ascii="Times New Roman" w:hAnsi="Times New Roman" w:eastAsia="宋体" w:cs="Times New Roman"/>
                <w:color w:val="000000"/>
                <w:sz w:val="18"/>
                <w:szCs w:val="18"/>
                <w:lang w:val="en-US" w:eastAsia="zh-CN"/>
              </w:rPr>
              <w:t>有计划有步骤的进行评估，</w:t>
            </w:r>
            <w:r>
              <w:rPr>
                <w:rFonts w:hint="default" w:ascii="Times New Roman" w:hAnsi="Times New Roman" w:eastAsia="宋体" w:cs="Times New Roman"/>
                <w:color w:val="000000"/>
                <w:sz w:val="18"/>
                <w:szCs w:val="18"/>
              </w:rPr>
              <w:t>以改进关键</w:t>
            </w:r>
            <w:r>
              <w:rPr>
                <w:rFonts w:hint="default" w:ascii="Times New Roman" w:hAnsi="Times New Roman" w:eastAsia="宋体" w:cs="Times New Roman"/>
                <w:color w:val="000000"/>
                <w:sz w:val="18"/>
                <w:szCs w:val="18"/>
                <w:lang w:val="en-US" w:eastAsia="zh-CN"/>
              </w:rPr>
              <w:t>活动</w:t>
            </w:r>
            <w:r>
              <w:rPr>
                <w:rFonts w:hint="default" w:ascii="Times New Roman" w:hAnsi="Times New Roman" w:eastAsia="宋体" w:cs="Times New Roman"/>
                <w:color w:val="000000"/>
                <w:sz w:val="18"/>
                <w:szCs w:val="18"/>
              </w:rPr>
              <w:t>的效率和有效性</w:t>
            </w:r>
            <w:r>
              <w:rPr>
                <w:rFonts w:hint="default" w:ascii="Times New Roman" w:hAnsi="Times New Roman" w:eastAsia="宋体" w:cs="Times New Roman"/>
                <w:color w:val="000000"/>
                <w:sz w:val="18"/>
                <w:szCs w:val="18"/>
                <w:lang w:eastAsia="zh-CN"/>
              </w:rPr>
              <w:t>，</w:t>
            </w:r>
            <w:r>
              <w:rPr>
                <w:rFonts w:hint="default" w:ascii="Times New Roman" w:hAnsi="Times New Roman" w:eastAsia="宋体" w:cs="Times New Roman"/>
                <w:color w:val="000000"/>
                <w:sz w:val="18"/>
                <w:szCs w:val="18"/>
                <w:lang w:val="en-US" w:eastAsia="zh-CN"/>
              </w:rPr>
              <w:t>并体现出连续的创新性</w:t>
            </w:r>
            <w:r>
              <w:rPr>
                <w:rFonts w:hint="default" w:ascii="Times New Roman" w:hAnsi="Times New Roman" w:eastAsia="宋体" w:cs="Times New Roman"/>
                <w:color w:val="000000"/>
                <w:sz w:val="18"/>
                <w:szCs w:val="18"/>
              </w:rPr>
              <w:t>。</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报告了从良好到卓越的组织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与有关竞争者和（或）标杆进行对比</w:t>
            </w:r>
            <w:r>
              <w:rPr>
                <w:rFonts w:hint="default" w:ascii="Times New Roman" w:hAnsi="Times New Roman" w:eastAsia="宋体" w:cs="Times New Roman"/>
                <w:color w:val="000000"/>
                <w:sz w:val="18"/>
                <w:szCs w:val="18"/>
                <w:lang w:val="en-US" w:eastAsia="zh-CN"/>
              </w:rPr>
              <w:t>显示</w:t>
            </w:r>
            <w:r>
              <w:rPr>
                <w:rFonts w:hint="default" w:ascii="Times New Roman" w:hAnsi="Times New Roman" w:eastAsia="宋体" w:cs="Times New Roman"/>
                <w:color w:val="000000"/>
                <w:sz w:val="18"/>
                <w:szCs w:val="18"/>
              </w:rPr>
              <w:t>大多数趋势和当前</w:t>
            </w:r>
            <w:r>
              <w:rPr>
                <w:rFonts w:hint="default" w:ascii="Times New Roman" w:hAnsi="Times New Roman" w:eastAsia="宋体" w:cs="Times New Roman"/>
                <w:color w:val="000000"/>
                <w:sz w:val="18"/>
                <w:szCs w:val="18"/>
                <w:lang w:val="en-US" w:eastAsia="zh-CN"/>
              </w:rPr>
              <w:t>状态</w:t>
            </w:r>
            <w:r>
              <w:rPr>
                <w:rFonts w:hint="default" w:ascii="Times New Roman" w:hAnsi="Times New Roman" w:eastAsia="宋体" w:cs="Times New Roman"/>
                <w:color w:val="000000"/>
                <w:sz w:val="18"/>
                <w:szCs w:val="18"/>
              </w:rPr>
              <w:t>达到了“领先”和“非常好”的相对水平。</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重要的大多数领域，保持了有利的趋势。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blCellSpacing w:w="0" w:type="dxa"/>
        </w:trPr>
        <w:tc>
          <w:tcPr>
            <w:tcW w:w="638"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center"/>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6</w:t>
            </w:r>
          </w:p>
        </w:tc>
        <w:tc>
          <w:tcPr>
            <w:tcW w:w="1000" w:type="dxa"/>
            <w:tcBorders>
              <w:tl2br w:val="nil"/>
              <w:tr2bl w:val="nil"/>
            </w:tcBorders>
            <w:tcMar>
              <w:left w:w="108"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90%，95%，或100%</w:t>
            </w:r>
          </w:p>
        </w:tc>
        <w:tc>
          <w:tcPr>
            <w:tcW w:w="2040"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，全部有系统、有效的方法。</w:t>
            </w:r>
          </w:p>
        </w:tc>
        <w:tc>
          <w:tcPr>
            <w:tcW w:w="208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在任何领域或工作单位均无明显的弱项或差距。</w:t>
            </w:r>
          </w:p>
        </w:tc>
        <w:tc>
          <w:tcPr>
            <w:tcW w:w="2469"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基于事实的系统评价、改进、改善和创新，在整个组织中成为关键的管理工具。</w:t>
            </w:r>
          </w:p>
        </w:tc>
        <w:tc>
          <w:tcPr>
            <w:tcW w:w="1885"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针对</w:t>
            </w:r>
            <w:r>
              <w:rPr>
                <w:rFonts w:hint="default" w:ascii="Times New Roman" w:hAnsi="Times New Roman" w:eastAsia="宋体" w:cs="Times New Roman"/>
                <w:b/>
                <w:bCs/>
                <w:color w:val="000000"/>
                <w:sz w:val="18"/>
                <w:szCs w:val="18"/>
                <w:lang w:val="en-US" w:eastAsia="zh-CN"/>
              </w:rPr>
              <w:t>评价要点</w:t>
            </w:r>
            <w:r>
              <w:rPr>
                <w:rFonts w:hint="default" w:ascii="Times New Roman" w:hAnsi="Times New Roman" w:eastAsia="宋体" w:cs="Times New Roman"/>
                <w:color w:val="000000"/>
                <w:sz w:val="18"/>
                <w:szCs w:val="18"/>
              </w:rPr>
              <w:t>报告了卓越的组织</w:t>
            </w:r>
            <w:r>
              <w:rPr>
                <w:rFonts w:hint="default" w:ascii="Times New Roman" w:hAnsi="Times New Roman" w:eastAsia="宋体" w:cs="Times New Roman"/>
                <w:color w:val="000000"/>
                <w:sz w:val="18"/>
                <w:szCs w:val="18"/>
                <w:lang w:val="en-US" w:eastAsia="zh-CN"/>
              </w:rPr>
              <w:t>效益状态</w:t>
            </w:r>
            <w:r>
              <w:rPr>
                <w:rFonts w:hint="default" w:ascii="Times New Roman" w:hAnsi="Times New Roman" w:eastAsia="宋体" w:cs="Times New Roman"/>
                <w:color w:val="000000"/>
                <w:sz w:val="18"/>
                <w:szCs w:val="18"/>
              </w:rPr>
              <w:t>。</w:t>
            </w:r>
          </w:p>
        </w:tc>
        <w:tc>
          <w:tcPr>
            <w:tcW w:w="2313"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在许多领域被证实处于行业领先和标杆地位。</w:t>
            </w:r>
          </w:p>
        </w:tc>
        <w:tc>
          <w:tcPr>
            <w:tcW w:w="2317" w:type="dxa"/>
            <w:tcBorders>
              <w:tl2br w:val="nil"/>
              <w:tr2bl w:val="nil"/>
            </w:tcBorders>
            <w:tcMar>
              <w:left w:w="108" w:type="dxa"/>
              <w:right w:w="108" w:type="dxa"/>
            </w:tcMar>
            <w:vAlign w:val="top"/>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jc w:val="both"/>
              <w:textAlignment w:val="auto"/>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到目前为止，在对达成组织的使命</w:t>
            </w:r>
            <w:r>
              <w:rPr>
                <w:rFonts w:hint="default" w:ascii="Times New Roman" w:hAnsi="Times New Roman" w:eastAsia="宋体" w:cs="Times New Roman"/>
                <w:color w:val="000000"/>
                <w:sz w:val="18"/>
                <w:szCs w:val="18"/>
                <w:lang w:val="en-US" w:eastAsia="zh-CN"/>
              </w:rPr>
              <w:t>和战略</w:t>
            </w:r>
            <w:r>
              <w:rPr>
                <w:rFonts w:hint="default" w:ascii="Times New Roman" w:hAnsi="Times New Roman" w:eastAsia="宋体" w:cs="Times New Roman"/>
                <w:color w:val="000000"/>
                <w:sz w:val="18"/>
                <w:szCs w:val="18"/>
              </w:rPr>
              <w:t>重要的所有领域，保持了有利的趋势。</w:t>
            </w:r>
          </w:p>
        </w:tc>
      </w:tr>
    </w:tbl>
    <w:p/>
    <w:sectPr>
      <w:pgSz w:w="16838" w:h="11906" w:orient="landscape"/>
      <w:pgMar w:top="1304" w:right="1134" w:bottom="1247" w:left="1134" w:header="851" w:footer="850" w:gutter="0"/>
      <w:pgNumType w:fmt="numberInDash"/>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6FBDC"/>
    <w:multiLevelType w:val="singleLevel"/>
    <w:tmpl w:val="8176FBDC"/>
    <w:lvl w:ilvl="0" w:tentative="0">
      <w:start w:val="1"/>
      <w:numFmt w:val="lowerLetter"/>
      <w:lvlText w:val="%1."/>
      <w:lvlJc w:val="left"/>
      <w:pPr>
        <w:ind w:left="425" w:hanging="425"/>
      </w:pPr>
      <w:rPr>
        <w:rFonts w:hint="default"/>
      </w:rPr>
    </w:lvl>
  </w:abstractNum>
  <w:abstractNum w:abstractNumId="1">
    <w:nsid w:val="83342C9A"/>
    <w:multiLevelType w:val="singleLevel"/>
    <w:tmpl w:val="83342C9A"/>
    <w:lvl w:ilvl="0" w:tentative="0">
      <w:start w:val="1"/>
      <w:numFmt w:val="lowerLetter"/>
      <w:lvlText w:val="%1."/>
      <w:lvlJc w:val="left"/>
      <w:pPr>
        <w:ind w:left="425" w:hanging="425"/>
      </w:pPr>
      <w:rPr>
        <w:rFonts w:hint="default"/>
      </w:rPr>
    </w:lvl>
  </w:abstractNum>
  <w:abstractNum w:abstractNumId="2">
    <w:nsid w:val="8511CC1E"/>
    <w:multiLevelType w:val="singleLevel"/>
    <w:tmpl w:val="8511CC1E"/>
    <w:lvl w:ilvl="0" w:tentative="0">
      <w:start w:val="1"/>
      <w:numFmt w:val="lowerLetter"/>
      <w:lvlText w:val="%1."/>
      <w:lvlJc w:val="left"/>
      <w:pPr>
        <w:ind w:left="425" w:hanging="425"/>
      </w:pPr>
      <w:rPr>
        <w:rFonts w:hint="default"/>
      </w:rPr>
    </w:lvl>
  </w:abstractNum>
  <w:abstractNum w:abstractNumId="3">
    <w:nsid w:val="851B8219"/>
    <w:multiLevelType w:val="singleLevel"/>
    <w:tmpl w:val="851B8219"/>
    <w:lvl w:ilvl="0" w:tentative="0">
      <w:start w:val="1"/>
      <w:numFmt w:val="lowerLetter"/>
      <w:lvlText w:val="%1."/>
      <w:lvlJc w:val="left"/>
      <w:pPr>
        <w:ind w:left="425" w:hanging="425"/>
      </w:pPr>
      <w:rPr>
        <w:rFonts w:hint="default"/>
      </w:rPr>
    </w:lvl>
  </w:abstractNum>
  <w:abstractNum w:abstractNumId="4">
    <w:nsid w:val="86A7871A"/>
    <w:multiLevelType w:val="singleLevel"/>
    <w:tmpl w:val="86A7871A"/>
    <w:lvl w:ilvl="0" w:tentative="0">
      <w:start w:val="1"/>
      <w:numFmt w:val="decimal"/>
      <w:lvlText w:val="%1."/>
      <w:lvlJc w:val="left"/>
      <w:pPr>
        <w:ind w:left="425" w:hanging="425"/>
      </w:pPr>
      <w:rPr>
        <w:rFonts w:hint="default" w:ascii="宋体" w:hAnsi="宋体" w:eastAsia="宋体" w:cs="宋体"/>
      </w:rPr>
    </w:lvl>
  </w:abstractNum>
  <w:abstractNum w:abstractNumId="5">
    <w:nsid w:val="8877B9CD"/>
    <w:multiLevelType w:val="singleLevel"/>
    <w:tmpl w:val="8877B9CD"/>
    <w:lvl w:ilvl="0" w:tentative="0">
      <w:start w:val="1"/>
      <w:numFmt w:val="lowerLetter"/>
      <w:lvlText w:val="%1."/>
      <w:lvlJc w:val="left"/>
      <w:pPr>
        <w:ind w:left="425" w:hanging="425"/>
      </w:pPr>
      <w:rPr>
        <w:rFonts w:hint="default"/>
      </w:rPr>
    </w:lvl>
  </w:abstractNum>
  <w:abstractNum w:abstractNumId="6">
    <w:nsid w:val="89ADB99F"/>
    <w:multiLevelType w:val="singleLevel"/>
    <w:tmpl w:val="89ADB99F"/>
    <w:lvl w:ilvl="0" w:tentative="0">
      <w:start w:val="1"/>
      <w:numFmt w:val="lowerLetter"/>
      <w:lvlText w:val="%1."/>
      <w:lvlJc w:val="left"/>
      <w:pPr>
        <w:ind w:left="425" w:hanging="425"/>
      </w:pPr>
      <w:rPr>
        <w:rFonts w:hint="default"/>
      </w:rPr>
    </w:lvl>
  </w:abstractNum>
  <w:abstractNum w:abstractNumId="7">
    <w:nsid w:val="8BEB9794"/>
    <w:multiLevelType w:val="singleLevel"/>
    <w:tmpl w:val="8BEB9794"/>
    <w:lvl w:ilvl="0" w:tentative="0">
      <w:start w:val="1"/>
      <w:numFmt w:val="lowerLetter"/>
      <w:lvlText w:val="%1."/>
      <w:lvlJc w:val="left"/>
      <w:pPr>
        <w:ind w:left="425" w:hanging="425"/>
      </w:pPr>
      <w:rPr>
        <w:rFonts w:hint="default"/>
      </w:rPr>
    </w:lvl>
  </w:abstractNum>
  <w:abstractNum w:abstractNumId="8">
    <w:nsid w:val="90B2DCB4"/>
    <w:multiLevelType w:val="singleLevel"/>
    <w:tmpl w:val="90B2DCB4"/>
    <w:lvl w:ilvl="0" w:tentative="0">
      <w:start w:val="1"/>
      <w:numFmt w:val="lowerLetter"/>
      <w:lvlText w:val="%1."/>
      <w:lvlJc w:val="left"/>
      <w:pPr>
        <w:ind w:left="425" w:hanging="425"/>
      </w:pPr>
      <w:rPr>
        <w:rFonts w:hint="default"/>
      </w:rPr>
    </w:lvl>
  </w:abstractNum>
  <w:abstractNum w:abstractNumId="9">
    <w:nsid w:val="90CF2299"/>
    <w:multiLevelType w:val="singleLevel"/>
    <w:tmpl w:val="90CF2299"/>
    <w:lvl w:ilvl="0" w:tentative="0">
      <w:start w:val="1"/>
      <w:numFmt w:val="lowerLetter"/>
      <w:lvlText w:val="%1."/>
      <w:lvlJc w:val="left"/>
      <w:pPr>
        <w:ind w:left="425" w:hanging="425"/>
      </w:pPr>
      <w:rPr>
        <w:rFonts w:hint="default"/>
      </w:rPr>
    </w:lvl>
  </w:abstractNum>
  <w:abstractNum w:abstractNumId="10">
    <w:nsid w:val="90EA082A"/>
    <w:multiLevelType w:val="singleLevel"/>
    <w:tmpl w:val="90EA082A"/>
    <w:lvl w:ilvl="0" w:tentative="0">
      <w:start w:val="1"/>
      <w:numFmt w:val="lowerLetter"/>
      <w:lvlText w:val="%1."/>
      <w:lvlJc w:val="left"/>
      <w:pPr>
        <w:ind w:left="425" w:hanging="425"/>
      </w:pPr>
      <w:rPr>
        <w:rFonts w:hint="default"/>
      </w:rPr>
    </w:lvl>
  </w:abstractNum>
  <w:abstractNum w:abstractNumId="11">
    <w:nsid w:val="93AAEC79"/>
    <w:multiLevelType w:val="singleLevel"/>
    <w:tmpl w:val="93AAEC79"/>
    <w:lvl w:ilvl="0" w:tentative="0">
      <w:start w:val="1"/>
      <w:numFmt w:val="lowerLetter"/>
      <w:lvlText w:val="%1."/>
      <w:lvlJc w:val="left"/>
      <w:pPr>
        <w:ind w:left="425" w:hanging="425"/>
      </w:pPr>
      <w:rPr>
        <w:rFonts w:hint="default"/>
      </w:rPr>
    </w:lvl>
  </w:abstractNum>
  <w:abstractNum w:abstractNumId="12">
    <w:nsid w:val="9434CD03"/>
    <w:multiLevelType w:val="singleLevel"/>
    <w:tmpl w:val="9434CD03"/>
    <w:lvl w:ilvl="0" w:tentative="0">
      <w:start w:val="1"/>
      <w:numFmt w:val="lowerLetter"/>
      <w:lvlText w:val="%1."/>
      <w:lvlJc w:val="left"/>
      <w:pPr>
        <w:ind w:left="425" w:hanging="425"/>
      </w:pPr>
      <w:rPr>
        <w:rFonts w:hint="default"/>
      </w:rPr>
    </w:lvl>
  </w:abstractNum>
  <w:abstractNum w:abstractNumId="13">
    <w:nsid w:val="95BACDB8"/>
    <w:multiLevelType w:val="singleLevel"/>
    <w:tmpl w:val="95BACDB8"/>
    <w:lvl w:ilvl="0" w:tentative="0">
      <w:start w:val="1"/>
      <w:numFmt w:val="lowerLetter"/>
      <w:lvlText w:val="%1."/>
      <w:lvlJc w:val="left"/>
      <w:pPr>
        <w:ind w:left="425" w:hanging="425"/>
      </w:pPr>
      <w:rPr>
        <w:rFonts w:hint="default"/>
      </w:rPr>
    </w:lvl>
  </w:abstractNum>
  <w:abstractNum w:abstractNumId="14">
    <w:nsid w:val="995A2A9F"/>
    <w:multiLevelType w:val="singleLevel"/>
    <w:tmpl w:val="995A2A9F"/>
    <w:lvl w:ilvl="0" w:tentative="0">
      <w:start w:val="1"/>
      <w:numFmt w:val="lowerLetter"/>
      <w:lvlText w:val="%1."/>
      <w:lvlJc w:val="left"/>
      <w:pPr>
        <w:ind w:left="425" w:hanging="425"/>
      </w:pPr>
      <w:rPr>
        <w:rFonts w:hint="default"/>
      </w:rPr>
    </w:lvl>
  </w:abstractNum>
  <w:abstractNum w:abstractNumId="15">
    <w:nsid w:val="9A23B43E"/>
    <w:multiLevelType w:val="singleLevel"/>
    <w:tmpl w:val="9A23B43E"/>
    <w:lvl w:ilvl="0" w:tentative="0">
      <w:start w:val="1"/>
      <w:numFmt w:val="lowerLetter"/>
      <w:lvlText w:val="%1."/>
      <w:lvlJc w:val="left"/>
      <w:pPr>
        <w:ind w:left="425" w:hanging="425"/>
      </w:pPr>
      <w:rPr>
        <w:rFonts w:hint="default"/>
      </w:rPr>
    </w:lvl>
  </w:abstractNum>
  <w:abstractNum w:abstractNumId="16">
    <w:nsid w:val="9B1F8E54"/>
    <w:multiLevelType w:val="singleLevel"/>
    <w:tmpl w:val="9B1F8E54"/>
    <w:lvl w:ilvl="0" w:tentative="0">
      <w:start w:val="1"/>
      <w:numFmt w:val="lowerLetter"/>
      <w:lvlText w:val="%1."/>
      <w:lvlJc w:val="left"/>
      <w:pPr>
        <w:ind w:left="425" w:hanging="425"/>
      </w:pPr>
      <w:rPr>
        <w:rFonts w:hint="default"/>
      </w:rPr>
    </w:lvl>
  </w:abstractNum>
  <w:abstractNum w:abstractNumId="17">
    <w:nsid w:val="A0EED73E"/>
    <w:multiLevelType w:val="singleLevel"/>
    <w:tmpl w:val="A0EED73E"/>
    <w:lvl w:ilvl="0" w:tentative="0">
      <w:start w:val="1"/>
      <w:numFmt w:val="lowerLetter"/>
      <w:lvlText w:val="%1."/>
      <w:lvlJc w:val="left"/>
      <w:pPr>
        <w:ind w:left="425" w:hanging="425"/>
      </w:pPr>
      <w:rPr>
        <w:rFonts w:hint="default"/>
      </w:rPr>
    </w:lvl>
  </w:abstractNum>
  <w:abstractNum w:abstractNumId="18">
    <w:nsid w:val="A3B26920"/>
    <w:multiLevelType w:val="singleLevel"/>
    <w:tmpl w:val="A3B26920"/>
    <w:lvl w:ilvl="0" w:tentative="0">
      <w:start w:val="1"/>
      <w:numFmt w:val="lowerLetter"/>
      <w:lvlText w:val="%1."/>
      <w:lvlJc w:val="left"/>
      <w:pPr>
        <w:ind w:left="425" w:hanging="425"/>
      </w:pPr>
      <w:rPr>
        <w:rFonts w:hint="default"/>
      </w:rPr>
    </w:lvl>
  </w:abstractNum>
  <w:abstractNum w:abstractNumId="19">
    <w:nsid w:val="A500C4C2"/>
    <w:multiLevelType w:val="singleLevel"/>
    <w:tmpl w:val="A500C4C2"/>
    <w:lvl w:ilvl="0" w:tentative="0">
      <w:start w:val="1"/>
      <w:numFmt w:val="lowerLetter"/>
      <w:lvlText w:val="%1."/>
      <w:lvlJc w:val="left"/>
      <w:pPr>
        <w:ind w:left="425" w:hanging="425"/>
      </w:pPr>
      <w:rPr>
        <w:rFonts w:hint="default"/>
      </w:rPr>
    </w:lvl>
  </w:abstractNum>
  <w:abstractNum w:abstractNumId="20">
    <w:nsid w:val="A7EF9CE3"/>
    <w:multiLevelType w:val="singleLevel"/>
    <w:tmpl w:val="A7EF9CE3"/>
    <w:lvl w:ilvl="0" w:tentative="0">
      <w:start w:val="1"/>
      <w:numFmt w:val="lowerLetter"/>
      <w:lvlText w:val="%1."/>
      <w:lvlJc w:val="left"/>
      <w:pPr>
        <w:ind w:left="425" w:hanging="425"/>
      </w:pPr>
      <w:rPr>
        <w:rFonts w:hint="default"/>
      </w:rPr>
    </w:lvl>
  </w:abstractNum>
  <w:abstractNum w:abstractNumId="21">
    <w:nsid w:val="B3A9CA72"/>
    <w:multiLevelType w:val="singleLevel"/>
    <w:tmpl w:val="B3A9CA72"/>
    <w:lvl w:ilvl="0" w:tentative="0">
      <w:start w:val="1"/>
      <w:numFmt w:val="lowerLetter"/>
      <w:lvlText w:val="%1."/>
      <w:lvlJc w:val="left"/>
      <w:pPr>
        <w:ind w:left="425" w:hanging="425"/>
      </w:pPr>
      <w:rPr>
        <w:rFonts w:hint="default"/>
      </w:rPr>
    </w:lvl>
  </w:abstractNum>
  <w:abstractNum w:abstractNumId="22">
    <w:nsid w:val="B66138BF"/>
    <w:multiLevelType w:val="singleLevel"/>
    <w:tmpl w:val="B66138BF"/>
    <w:lvl w:ilvl="0" w:tentative="0">
      <w:start w:val="1"/>
      <w:numFmt w:val="lowerLetter"/>
      <w:lvlText w:val="%1."/>
      <w:lvlJc w:val="left"/>
      <w:pPr>
        <w:ind w:left="425" w:hanging="425"/>
      </w:pPr>
      <w:rPr>
        <w:rFonts w:hint="default"/>
      </w:rPr>
    </w:lvl>
  </w:abstractNum>
  <w:abstractNum w:abstractNumId="23">
    <w:nsid w:val="B9A3A04B"/>
    <w:multiLevelType w:val="singleLevel"/>
    <w:tmpl w:val="B9A3A04B"/>
    <w:lvl w:ilvl="0" w:tentative="0">
      <w:start w:val="1"/>
      <w:numFmt w:val="lowerLetter"/>
      <w:lvlText w:val="%1."/>
      <w:lvlJc w:val="left"/>
      <w:pPr>
        <w:ind w:left="425" w:hanging="425"/>
      </w:pPr>
      <w:rPr>
        <w:rFonts w:hint="default"/>
      </w:rPr>
    </w:lvl>
  </w:abstractNum>
  <w:abstractNum w:abstractNumId="24">
    <w:nsid w:val="BC69E7A0"/>
    <w:multiLevelType w:val="singleLevel"/>
    <w:tmpl w:val="BC69E7A0"/>
    <w:lvl w:ilvl="0" w:tentative="0">
      <w:start w:val="1"/>
      <w:numFmt w:val="lowerLetter"/>
      <w:lvlText w:val="%1."/>
      <w:lvlJc w:val="left"/>
      <w:pPr>
        <w:ind w:left="425" w:hanging="425"/>
      </w:pPr>
      <w:rPr>
        <w:rFonts w:hint="default"/>
      </w:rPr>
    </w:lvl>
  </w:abstractNum>
  <w:abstractNum w:abstractNumId="25">
    <w:nsid w:val="C269A83E"/>
    <w:multiLevelType w:val="singleLevel"/>
    <w:tmpl w:val="C269A83E"/>
    <w:lvl w:ilvl="0" w:tentative="0">
      <w:start w:val="1"/>
      <w:numFmt w:val="lowerLetter"/>
      <w:lvlText w:val="%1."/>
      <w:lvlJc w:val="left"/>
      <w:pPr>
        <w:ind w:left="425" w:hanging="425"/>
      </w:pPr>
      <w:rPr>
        <w:rFonts w:hint="default"/>
      </w:rPr>
    </w:lvl>
  </w:abstractNum>
  <w:abstractNum w:abstractNumId="26">
    <w:nsid w:val="CB6D3C98"/>
    <w:multiLevelType w:val="singleLevel"/>
    <w:tmpl w:val="CB6D3C98"/>
    <w:lvl w:ilvl="0" w:tentative="0">
      <w:start w:val="1"/>
      <w:numFmt w:val="decimal"/>
      <w:lvlText w:val="%1."/>
      <w:lvlJc w:val="left"/>
      <w:pPr>
        <w:ind w:left="425" w:hanging="425"/>
      </w:pPr>
      <w:rPr>
        <w:rFonts w:hint="default" w:ascii="宋体" w:hAnsi="宋体" w:eastAsia="宋体" w:cs="宋体"/>
      </w:rPr>
    </w:lvl>
  </w:abstractNum>
  <w:abstractNum w:abstractNumId="27">
    <w:nsid w:val="CC1D0F1F"/>
    <w:multiLevelType w:val="singleLevel"/>
    <w:tmpl w:val="CC1D0F1F"/>
    <w:lvl w:ilvl="0" w:tentative="0">
      <w:start w:val="1"/>
      <w:numFmt w:val="lowerLetter"/>
      <w:lvlText w:val="%1."/>
      <w:lvlJc w:val="left"/>
      <w:pPr>
        <w:ind w:left="425" w:hanging="425"/>
      </w:pPr>
      <w:rPr>
        <w:rFonts w:hint="default"/>
      </w:rPr>
    </w:lvl>
  </w:abstractNum>
  <w:abstractNum w:abstractNumId="28">
    <w:nsid w:val="CE3D0A57"/>
    <w:multiLevelType w:val="singleLevel"/>
    <w:tmpl w:val="CE3D0A57"/>
    <w:lvl w:ilvl="0" w:tentative="0">
      <w:start w:val="1"/>
      <w:numFmt w:val="lowerLetter"/>
      <w:lvlText w:val="%1."/>
      <w:lvlJc w:val="left"/>
      <w:pPr>
        <w:ind w:left="425" w:hanging="425"/>
      </w:pPr>
      <w:rPr>
        <w:rFonts w:hint="default"/>
      </w:rPr>
    </w:lvl>
  </w:abstractNum>
  <w:abstractNum w:abstractNumId="29">
    <w:nsid w:val="D01921B5"/>
    <w:multiLevelType w:val="singleLevel"/>
    <w:tmpl w:val="D01921B5"/>
    <w:lvl w:ilvl="0" w:tentative="0">
      <w:start w:val="1"/>
      <w:numFmt w:val="lowerLetter"/>
      <w:lvlText w:val="%1."/>
      <w:lvlJc w:val="left"/>
      <w:pPr>
        <w:ind w:left="425" w:hanging="425"/>
      </w:pPr>
      <w:rPr>
        <w:rFonts w:hint="default"/>
      </w:rPr>
    </w:lvl>
  </w:abstractNum>
  <w:abstractNum w:abstractNumId="30">
    <w:nsid w:val="D280596C"/>
    <w:multiLevelType w:val="singleLevel"/>
    <w:tmpl w:val="D280596C"/>
    <w:lvl w:ilvl="0" w:tentative="0">
      <w:start w:val="1"/>
      <w:numFmt w:val="lowerLetter"/>
      <w:lvlText w:val="%1."/>
      <w:lvlJc w:val="left"/>
      <w:pPr>
        <w:ind w:left="425" w:hanging="425"/>
      </w:pPr>
      <w:rPr>
        <w:rFonts w:hint="default"/>
      </w:rPr>
    </w:lvl>
  </w:abstractNum>
  <w:abstractNum w:abstractNumId="31">
    <w:nsid w:val="D7EE15D3"/>
    <w:multiLevelType w:val="singleLevel"/>
    <w:tmpl w:val="D7EE15D3"/>
    <w:lvl w:ilvl="0" w:tentative="0">
      <w:start w:val="1"/>
      <w:numFmt w:val="lowerLetter"/>
      <w:lvlText w:val="%1."/>
      <w:lvlJc w:val="left"/>
      <w:pPr>
        <w:ind w:left="425" w:hanging="425"/>
      </w:pPr>
      <w:rPr>
        <w:rFonts w:hint="default"/>
      </w:rPr>
    </w:lvl>
  </w:abstractNum>
  <w:abstractNum w:abstractNumId="32">
    <w:nsid w:val="DB95BDC1"/>
    <w:multiLevelType w:val="singleLevel"/>
    <w:tmpl w:val="DB95BDC1"/>
    <w:lvl w:ilvl="0" w:tentative="0">
      <w:start w:val="1"/>
      <w:numFmt w:val="lowerLetter"/>
      <w:lvlText w:val="%1."/>
      <w:lvlJc w:val="left"/>
      <w:pPr>
        <w:ind w:left="425" w:hanging="425"/>
      </w:pPr>
      <w:rPr>
        <w:rFonts w:hint="default"/>
      </w:rPr>
    </w:lvl>
  </w:abstractNum>
  <w:abstractNum w:abstractNumId="33">
    <w:nsid w:val="DCE47F50"/>
    <w:multiLevelType w:val="singleLevel"/>
    <w:tmpl w:val="DCE47F50"/>
    <w:lvl w:ilvl="0" w:tentative="0">
      <w:start w:val="1"/>
      <w:numFmt w:val="lowerLetter"/>
      <w:lvlText w:val="%1."/>
      <w:lvlJc w:val="left"/>
      <w:pPr>
        <w:ind w:left="425" w:hanging="425"/>
      </w:pPr>
      <w:rPr>
        <w:rFonts w:hint="default"/>
      </w:rPr>
    </w:lvl>
  </w:abstractNum>
  <w:abstractNum w:abstractNumId="34">
    <w:nsid w:val="E2059EB7"/>
    <w:multiLevelType w:val="singleLevel"/>
    <w:tmpl w:val="E2059EB7"/>
    <w:lvl w:ilvl="0" w:tentative="0">
      <w:start w:val="1"/>
      <w:numFmt w:val="lowerLetter"/>
      <w:lvlText w:val="%1."/>
      <w:lvlJc w:val="left"/>
      <w:pPr>
        <w:ind w:left="425" w:hanging="425"/>
      </w:pPr>
      <w:rPr>
        <w:rFonts w:hint="default"/>
      </w:rPr>
    </w:lvl>
  </w:abstractNum>
  <w:abstractNum w:abstractNumId="35">
    <w:nsid w:val="E50EFE00"/>
    <w:multiLevelType w:val="singleLevel"/>
    <w:tmpl w:val="E50EFE00"/>
    <w:lvl w:ilvl="0" w:tentative="0">
      <w:start w:val="1"/>
      <w:numFmt w:val="lowerLetter"/>
      <w:lvlText w:val="%1."/>
      <w:lvlJc w:val="left"/>
      <w:pPr>
        <w:ind w:left="425" w:hanging="425"/>
      </w:pPr>
      <w:rPr>
        <w:rFonts w:hint="default"/>
      </w:rPr>
    </w:lvl>
  </w:abstractNum>
  <w:abstractNum w:abstractNumId="36">
    <w:nsid w:val="E73CABB0"/>
    <w:multiLevelType w:val="singleLevel"/>
    <w:tmpl w:val="E73CABB0"/>
    <w:lvl w:ilvl="0" w:tentative="0">
      <w:start w:val="1"/>
      <w:numFmt w:val="lowerLetter"/>
      <w:lvlText w:val="%1."/>
      <w:lvlJc w:val="left"/>
      <w:pPr>
        <w:ind w:left="425" w:hanging="425"/>
      </w:pPr>
      <w:rPr>
        <w:rFonts w:hint="default"/>
      </w:rPr>
    </w:lvl>
  </w:abstractNum>
  <w:abstractNum w:abstractNumId="37">
    <w:nsid w:val="F2D6534F"/>
    <w:multiLevelType w:val="singleLevel"/>
    <w:tmpl w:val="F2D6534F"/>
    <w:lvl w:ilvl="0" w:tentative="0">
      <w:start w:val="1"/>
      <w:numFmt w:val="lowerLetter"/>
      <w:lvlText w:val="%1."/>
      <w:lvlJc w:val="left"/>
      <w:pPr>
        <w:ind w:left="425" w:hanging="425"/>
      </w:pPr>
      <w:rPr>
        <w:rFonts w:hint="default"/>
      </w:rPr>
    </w:lvl>
  </w:abstractNum>
  <w:abstractNum w:abstractNumId="38">
    <w:nsid w:val="FD3739DB"/>
    <w:multiLevelType w:val="singleLevel"/>
    <w:tmpl w:val="FD3739DB"/>
    <w:lvl w:ilvl="0" w:tentative="0">
      <w:start w:val="1"/>
      <w:numFmt w:val="lowerLetter"/>
      <w:lvlText w:val="%1."/>
      <w:lvlJc w:val="left"/>
      <w:pPr>
        <w:ind w:left="425" w:hanging="425"/>
      </w:pPr>
      <w:rPr>
        <w:rFonts w:hint="default"/>
      </w:rPr>
    </w:lvl>
  </w:abstractNum>
  <w:abstractNum w:abstractNumId="39">
    <w:nsid w:val="FF72664E"/>
    <w:multiLevelType w:val="singleLevel"/>
    <w:tmpl w:val="FF72664E"/>
    <w:lvl w:ilvl="0" w:tentative="0">
      <w:start w:val="1"/>
      <w:numFmt w:val="lowerLetter"/>
      <w:lvlText w:val="%1."/>
      <w:lvlJc w:val="left"/>
      <w:pPr>
        <w:ind w:left="425" w:hanging="425"/>
      </w:pPr>
      <w:rPr>
        <w:rFonts w:hint="default"/>
      </w:rPr>
    </w:lvl>
  </w:abstractNum>
  <w:abstractNum w:abstractNumId="40">
    <w:nsid w:val="005D4B91"/>
    <w:multiLevelType w:val="singleLevel"/>
    <w:tmpl w:val="005D4B91"/>
    <w:lvl w:ilvl="0" w:tentative="0">
      <w:start w:val="1"/>
      <w:numFmt w:val="lowerLetter"/>
      <w:lvlText w:val="%1."/>
      <w:lvlJc w:val="left"/>
      <w:pPr>
        <w:ind w:left="425" w:hanging="425"/>
      </w:pPr>
      <w:rPr>
        <w:rFonts w:hint="default"/>
      </w:rPr>
    </w:lvl>
  </w:abstractNum>
  <w:abstractNum w:abstractNumId="41">
    <w:nsid w:val="008F5E57"/>
    <w:multiLevelType w:val="singleLevel"/>
    <w:tmpl w:val="008F5E57"/>
    <w:lvl w:ilvl="0" w:tentative="0">
      <w:start w:val="1"/>
      <w:numFmt w:val="lowerLetter"/>
      <w:lvlText w:val="%1."/>
      <w:lvlJc w:val="left"/>
      <w:pPr>
        <w:ind w:left="425" w:hanging="425"/>
      </w:pPr>
      <w:rPr>
        <w:rFonts w:hint="default"/>
      </w:rPr>
    </w:lvl>
  </w:abstractNum>
  <w:abstractNum w:abstractNumId="42">
    <w:nsid w:val="0115812B"/>
    <w:multiLevelType w:val="singleLevel"/>
    <w:tmpl w:val="0115812B"/>
    <w:lvl w:ilvl="0" w:tentative="0">
      <w:start w:val="1"/>
      <w:numFmt w:val="lowerLetter"/>
      <w:lvlText w:val="%1."/>
      <w:lvlJc w:val="left"/>
      <w:pPr>
        <w:ind w:left="425" w:hanging="425"/>
      </w:pPr>
      <w:rPr>
        <w:rFonts w:hint="default"/>
      </w:rPr>
    </w:lvl>
  </w:abstractNum>
  <w:abstractNum w:abstractNumId="43">
    <w:nsid w:val="0267451C"/>
    <w:multiLevelType w:val="singleLevel"/>
    <w:tmpl w:val="0267451C"/>
    <w:lvl w:ilvl="0" w:tentative="0">
      <w:start w:val="1"/>
      <w:numFmt w:val="lowerLetter"/>
      <w:lvlText w:val="%1."/>
      <w:lvlJc w:val="left"/>
      <w:pPr>
        <w:ind w:left="425" w:hanging="425"/>
      </w:pPr>
      <w:rPr>
        <w:rFonts w:hint="default"/>
      </w:rPr>
    </w:lvl>
  </w:abstractNum>
  <w:abstractNum w:abstractNumId="44">
    <w:nsid w:val="02760291"/>
    <w:multiLevelType w:val="singleLevel"/>
    <w:tmpl w:val="02760291"/>
    <w:lvl w:ilvl="0" w:tentative="0">
      <w:start w:val="1"/>
      <w:numFmt w:val="lowerLetter"/>
      <w:lvlText w:val="%1."/>
      <w:lvlJc w:val="left"/>
      <w:pPr>
        <w:ind w:left="425" w:hanging="425"/>
      </w:pPr>
      <w:rPr>
        <w:rFonts w:hint="default"/>
      </w:rPr>
    </w:lvl>
  </w:abstractNum>
  <w:abstractNum w:abstractNumId="45">
    <w:nsid w:val="051F3F1E"/>
    <w:multiLevelType w:val="singleLevel"/>
    <w:tmpl w:val="051F3F1E"/>
    <w:lvl w:ilvl="0" w:tentative="0">
      <w:start w:val="1"/>
      <w:numFmt w:val="lowerLetter"/>
      <w:lvlText w:val="%1."/>
      <w:lvlJc w:val="left"/>
      <w:pPr>
        <w:ind w:left="425" w:hanging="425"/>
      </w:pPr>
      <w:rPr>
        <w:rFonts w:hint="default"/>
      </w:rPr>
    </w:lvl>
  </w:abstractNum>
  <w:abstractNum w:abstractNumId="46">
    <w:nsid w:val="08B03823"/>
    <w:multiLevelType w:val="singleLevel"/>
    <w:tmpl w:val="08B03823"/>
    <w:lvl w:ilvl="0" w:tentative="0">
      <w:start w:val="1"/>
      <w:numFmt w:val="lowerLetter"/>
      <w:lvlText w:val="%1."/>
      <w:lvlJc w:val="left"/>
      <w:pPr>
        <w:ind w:left="425" w:hanging="425"/>
      </w:pPr>
      <w:rPr>
        <w:rFonts w:hint="default"/>
      </w:rPr>
    </w:lvl>
  </w:abstractNum>
  <w:abstractNum w:abstractNumId="47">
    <w:nsid w:val="08BC1B24"/>
    <w:multiLevelType w:val="singleLevel"/>
    <w:tmpl w:val="08BC1B24"/>
    <w:lvl w:ilvl="0" w:tentative="0">
      <w:start w:val="1"/>
      <w:numFmt w:val="lowerLetter"/>
      <w:lvlText w:val="%1."/>
      <w:lvlJc w:val="left"/>
      <w:pPr>
        <w:ind w:left="425" w:hanging="425"/>
      </w:pPr>
      <w:rPr>
        <w:rFonts w:hint="default"/>
      </w:rPr>
    </w:lvl>
  </w:abstractNum>
  <w:abstractNum w:abstractNumId="48">
    <w:nsid w:val="0A14797F"/>
    <w:multiLevelType w:val="singleLevel"/>
    <w:tmpl w:val="0A14797F"/>
    <w:lvl w:ilvl="0" w:tentative="0">
      <w:start w:val="1"/>
      <w:numFmt w:val="lowerLetter"/>
      <w:lvlText w:val="%1."/>
      <w:lvlJc w:val="left"/>
      <w:pPr>
        <w:ind w:left="425" w:hanging="425"/>
      </w:pPr>
      <w:rPr>
        <w:rFonts w:hint="default"/>
      </w:rPr>
    </w:lvl>
  </w:abstractNum>
  <w:abstractNum w:abstractNumId="49">
    <w:nsid w:val="0B22A90C"/>
    <w:multiLevelType w:val="singleLevel"/>
    <w:tmpl w:val="0B22A90C"/>
    <w:lvl w:ilvl="0" w:tentative="0">
      <w:start w:val="1"/>
      <w:numFmt w:val="lowerLetter"/>
      <w:lvlText w:val="%1."/>
      <w:lvlJc w:val="left"/>
      <w:pPr>
        <w:ind w:left="425" w:hanging="425"/>
      </w:pPr>
      <w:rPr>
        <w:rFonts w:hint="default"/>
      </w:rPr>
    </w:lvl>
  </w:abstractNum>
  <w:abstractNum w:abstractNumId="50">
    <w:nsid w:val="0BBAF2C4"/>
    <w:multiLevelType w:val="singleLevel"/>
    <w:tmpl w:val="0BBAF2C4"/>
    <w:lvl w:ilvl="0" w:tentative="0">
      <w:start w:val="2"/>
      <w:numFmt w:val="decimal"/>
      <w:suff w:val="space"/>
      <w:lvlText w:val="%1."/>
      <w:lvlJc w:val="left"/>
    </w:lvl>
  </w:abstractNum>
  <w:abstractNum w:abstractNumId="51">
    <w:nsid w:val="106D145C"/>
    <w:multiLevelType w:val="singleLevel"/>
    <w:tmpl w:val="106D145C"/>
    <w:lvl w:ilvl="0" w:tentative="0">
      <w:start w:val="1"/>
      <w:numFmt w:val="lowerLetter"/>
      <w:lvlText w:val="%1."/>
      <w:lvlJc w:val="left"/>
      <w:pPr>
        <w:ind w:left="425" w:hanging="425"/>
      </w:pPr>
      <w:rPr>
        <w:rFonts w:hint="default"/>
      </w:rPr>
    </w:lvl>
  </w:abstractNum>
  <w:abstractNum w:abstractNumId="52">
    <w:nsid w:val="14B39F4D"/>
    <w:multiLevelType w:val="singleLevel"/>
    <w:tmpl w:val="14B39F4D"/>
    <w:lvl w:ilvl="0" w:tentative="0">
      <w:start w:val="1"/>
      <w:numFmt w:val="lowerLetter"/>
      <w:lvlText w:val="%1."/>
      <w:lvlJc w:val="left"/>
      <w:pPr>
        <w:ind w:left="425" w:hanging="425"/>
      </w:pPr>
      <w:rPr>
        <w:rFonts w:hint="default"/>
      </w:rPr>
    </w:lvl>
  </w:abstractNum>
  <w:abstractNum w:abstractNumId="53">
    <w:nsid w:val="17DCBAD2"/>
    <w:multiLevelType w:val="singleLevel"/>
    <w:tmpl w:val="17DCBAD2"/>
    <w:lvl w:ilvl="0" w:tentative="0">
      <w:start w:val="1"/>
      <w:numFmt w:val="lowerLetter"/>
      <w:lvlText w:val="%1."/>
      <w:lvlJc w:val="left"/>
      <w:pPr>
        <w:ind w:left="425" w:hanging="425"/>
      </w:pPr>
      <w:rPr>
        <w:rFonts w:hint="default"/>
      </w:rPr>
    </w:lvl>
  </w:abstractNum>
  <w:abstractNum w:abstractNumId="54">
    <w:nsid w:val="19F33E74"/>
    <w:multiLevelType w:val="singleLevel"/>
    <w:tmpl w:val="19F33E74"/>
    <w:lvl w:ilvl="0" w:tentative="0">
      <w:start w:val="1"/>
      <w:numFmt w:val="lowerLetter"/>
      <w:lvlText w:val="%1."/>
      <w:lvlJc w:val="left"/>
      <w:pPr>
        <w:ind w:left="425" w:hanging="425"/>
      </w:pPr>
      <w:rPr>
        <w:rFonts w:hint="default"/>
      </w:rPr>
    </w:lvl>
  </w:abstractNum>
  <w:abstractNum w:abstractNumId="55">
    <w:nsid w:val="1E6336DD"/>
    <w:multiLevelType w:val="singleLevel"/>
    <w:tmpl w:val="1E6336DD"/>
    <w:lvl w:ilvl="0" w:tentative="0">
      <w:start w:val="1"/>
      <w:numFmt w:val="lowerLetter"/>
      <w:lvlText w:val="%1."/>
      <w:lvlJc w:val="left"/>
      <w:pPr>
        <w:ind w:left="425" w:hanging="425"/>
      </w:pPr>
      <w:rPr>
        <w:rFonts w:hint="default"/>
      </w:rPr>
    </w:lvl>
  </w:abstractNum>
  <w:abstractNum w:abstractNumId="56">
    <w:nsid w:val="1EA9983D"/>
    <w:multiLevelType w:val="singleLevel"/>
    <w:tmpl w:val="1EA9983D"/>
    <w:lvl w:ilvl="0" w:tentative="0">
      <w:start w:val="1"/>
      <w:numFmt w:val="lowerLetter"/>
      <w:lvlText w:val="%1."/>
      <w:lvlJc w:val="left"/>
      <w:pPr>
        <w:ind w:left="425" w:hanging="425"/>
      </w:pPr>
      <w:rPr>
        <w:rFonts w:hint="default"/>
      </w:rPr>
    </w:lvl>
  </w:abstractNum>
  <w:abstractNum w:abstractNumId="57">
    <w:nsid w:val="20402CA0"/>
    <w:multiLevelType w:val="singleLevel"/>
    <w:tmpl w:val="20402CA0"/>
    <w:lvl w:ilvl="0" w:tentative="0">
      <w:start w:val="1"/>
      <w:numFmt w:val="lowerLetter"/>
      <w:lvlText w:val="%1."/>
      <w:lvlJc w:val="left"/>
      <w:pPr>
        <w:ind w:left="425" w:hanging="425"/>
      </w:pPr>
      <w:rPr>
        <w:rFonts w:hint="default"/>
      </w:rPr>
    </w:lvl>
  </w:abstractNum>
  <w:abstractNum w:abstractNumId="58">
    <w:nsid w:val="228F0C45"/>
    <w:multiLevelType w:val="singleLevel"/>
    <w:tmpl w:val="228F0C45"/>
    <w:lvl w:ilvl="0" w:tentative="0">
      <w:start w:val="1"/>
      <w:numFmt w:val="lowerLetter"/>
      <w:lvlText w:val="%1."/>
      <w:lvlJc w:val="left"/>
      <w:pPr>
        <w:ind w:left="425" w:hanging="425"/>
      </w:pPr>
      <w:rPr>
        <w:rFonts w:hint="default"/>
      </w:rPr>
    </w:lvl>
  </w:abstractNum>
  <w:abstractNum w:abstractNumId="59">
    <w:nsid w:val="29B32EB6"/>
    <w:multiLevelType w:val="singleLevel"/>
    <w:tmpl w:val="29B32EB6"/>
    <w:lvl w:ilvl="0" w:tentative="0">
      <w:start w:val="1"/>
      <w:numFmt w:val="lowerLetter"/>
      <w:lvlText w:val="%1."/>
      <w:lvlJc w:val="left"/>
      <w:pPr>
        <w:ind w:left="425" w:hanging="425"/>
      </w:pPr>
      <w:rPr>
        <w:rFonts w:hint="default"/>
      </w:rPr>
    </w:lvl>
  </w:abstractNum>
  <w:abstractNum w:abstractNumId="60">
    <w:nsid w:val="2C19CB0C"/>
    <w:multiLevelType w:val="singleLevel"/>
    <w:tmpl w:val="2C19CB0C"/>
    <w:lvl w:ilvl="0" w:tentative="0">
      <w:start w:val="1"/>
      <w:numFmt w:val="lowerLetter"/>
      <w:lvlText w:val="%1."/>
      <w:lvlJc w:val="left"/>
      <w:pPr>
        <w:ind w:left="425" w:hanging="425"/>
      </w:pPr>
      <w:rPr>
        <w:rFonts w:hint="default"/>
      </w:rPr>
    </w:lvl>
  </w:abstractNum>
  <w:abstractNum w:abstractNumId="61">
    <w:nsid w:val="3178BF4D"/>
    <w:multiLevelType w:val="singleLevel"/>
    <w:tmpl w:val="3178BF4D"/>
    <w:lvl w:ilvl="0" w:tentative="0">
      <w:start w:val="1"/>
      <w:numFmt w:val="lowerLetter"/>
      <w:lvlText w:val="%1."/>
      <w:lvlJc w:val="left"/>
      <w:pPr>
        <w:ind w:left="425" w:hanging="425"/>
      </w:pPr>
      <w:rPr>
        <w:rFonts w:hint="default"/>
      </w:rPr>
    </w:lvl>
  </w:abstractNum>
  <w:abstractNum w:abstractNumId="62">
    <w:nsid w:val="35F1B046"/>
    <w:multiLevelType w:val="singleLevel"/>
    <w:tmpl w:val="35F1B046"/>
    <w:lvl w:ilvl="0" w:tentative="0">
      <w:start w:val="1"/>
      <w:numFmt w:val="lowerLetter"/>
      <w:lvlText w:val="%1."/>
      <w:lvlJc w:val="left"/>
      <w:pPr>
        <w:ind w:left="425" w:hanging="425"/>
      </w:pPr>
      <w:rPr>
        <w:rFonts w:hint="default"/>
      </w:rPr>
    </w:lvl>
  </w:abstractNum>
  <w:abstractNum w:abstractNumId="63">
    <w:nsid w:val="38873FB3"/>
    <w:multiLevelType w:val="singleLevel"/>
    <w:tmpl w:val="38873FB3"/>
    <w:lvl w:ilvl="0" w:tentative="0">
      <w:start w:val="1"/>
      <w:numFmt w:val="lowerLetter"/>
      <w:lvlText w:val="%1."/>
      <w:lvlJc w:val="left"/>
      <w:pPr>
        <w:ind w:left="425" w:hanging="425"/>
      </w:pPr>
      <w:rPr>
        <w:rFonts w:hint="default"/>
      </w:rPr>
    </w:lvl>
  </w:abstractNum>
  <w:abstractNum w:abstractNumId="64">
    <w:nsid w:val="3A612884"/>
    <w:multiLevelType w:val="singleLevel"/>
    <w:tmpl w:val="3A612884"/>
    <w:lvl w:ilvl="0" w:tentative="0">
      <w:start w:val="1"/>
      <w:numFmt w:val="lowerLetter"/>
      <w:lvlText w:val="%1."/>
      <w:lvlJc w:val="left"/>
      <w:pPr>
        <w:ind w:left="425" w:hanging="425"/>
      </w:pPr>
      <w:rPr>
        <w:rFonts w:hint="default"/>
      </w:rPr>
    </w:lvl>
  </w:abstractNum>
  <w:abstractNum w:abstractNumId="65">
    <w:nsid w:val="3C95A155"/>
    <w:multiLevelType w:val="singleLevel"/>
    <w:tmpl w:val="3C95A155"/>
    <w:lvl w:ilvl="0" w:tentative="0">
      <w:start w:val="1"/>
      <w:numFmt w:val="lowerLetter"/>
      <w:lvlText w:val="%1."/>
      <w:lvlJc w:val="left"/>
      <w:pPr>
        <w:ind w:left="425" w:hanging="425"/>
      </w:pPr>
      <w:rPr>
        <w:rFonts w:hint="default"/>
      </w:rPr>
    </w:lvl>
  </w:abstractNum>
  <w:abstractNum w:abstractNumId="66">
    <w:nsid w:val="3CCC17AE"/>
    <w:multiLevelType w:val="singleLevel"/>
    <w:tmpl w:val="3CCC17AE"/>
    <w:lvl w:ilvl="0" w:tentative="0">
      <w:start w:val="1"/>
      <w:numFmt w:val="lowerLetter"/>
      <w:lvlText w:val="%1."/>
      <w:lvlJc w:val="left"/>
      <w:pPr>
        <w:ind w:left="425" w:hanging="425"/>
      </w:pPr>
      <w:rPr>
        <w:rFonts w:hint="default"/>
      </w:rPr>
    </w:lvl>
  </w:abstractNum>
  <w:abstractNum w:abstractNumId="67">
    <w:nsid w:val="45C0DD5A"/>
    <w:multiLevelType w:val="singleLevel"/>
    <w:tmpl w:val="45C0DD5A"/>
    <w:lvl w:ilvl="0" w:tentative="0">
      <w:start w:val="1"/>
      <w:numFmt w:val="lowerLetter"/>
      <w:lvlText w:val="%1."/>
      <w:lvlJc w:val="left"/>
      <w:pPr>
        <w:ind w:left="425" w:hanging="425"/>
      </w:pPr>
      <w:rPr>
        <w:rFonts w:hint="default"/>
      </w:rPr>
    </w:lvl>
  </w:abstractNum>
  <w:abstractNum w:abstractNumId="68">
    <w:nsid w:val="468249C6"/>
    <w:multiLevelType w:val="singleLevel"/>
    <w:tmpl w:val="468249C6"/>
    <w:lvl w:ilvl="0" w:tentative="0">
      <w:start w:val="1"/>
      <w:numFmt w:val="lowerLetter"/>
      <w:lvlText w:val="%1."/>
      <w:lvlJc w:val="left"/>
      <w:pPr>
        <w:ind w:left="425" w:hanging="425"/>
      </w:pPr>
      <w:rPr>
        <w:rFonts w:hint="default"/>
      </w:rPr>
    </w:lvl>
  </w:abstractNum>
  <w:abstractNum w:abstractNumId="69">
    <w:nsid w:val="48649411"/>
    <w:multiLevelType w:val="singleLevel"/>
    <w:tmpl w:val="48649411"/>
    <w:lvl w:ilvl="0" w:tentative="0">
      <w:start w:val="1"/>
      <w:numFmt w:val="lowerLetter"/>
      <w:lvlText w:val="%1."/>
      <w:lvlJc w:val="left"/>
      <w:pPr>
        <w:ind w:left="425" w:hanging="425"/>
      </w:pPr>
      <w:rPr>
        <w:rFonts w:hint="default"/>
      </w:rPr>
    </w:lvl>
  </w:abstractNum>
  <w:abstractNum w:abstractNumId="70">
    <w:nsid w:val="4A4D289A"/>
    <w:multiLevelType w:val="singleLevel"/>
    <w:tmpl w:val="4A4D289A"/>
    <w:lvl w:ilvl="0" w:tentative="0">
      <w:start w:val="1"/>
      <w:numFmt w:val="lowerLetter"/>
      <w:lvlText w:val="%1."/>
      <w:lvlJc w:val="left"/>
      <w:pPr>
        <w:ind w:left="425" w:hanging="425"/>
      </w:pPr>
      <w:rPr>
        <w:rFonts w:hint="default"/>
      </w:rPr>
    </w:lvl>
  </w:abstractNum>
  <w:abstractNum w:abstractNumId="71">
    <w:nsid w:val="4A9D96EC"/>
    <w:multiLevelType w:val="singleLevel"/>
    <w:tmpl w:val="4A9D96EC"/>
    <w:lvl w:ilvl="0" w:tentative="0">
      <w:start w:val="1"/>
      <w:numFmt w:val="lowerLetter"/>
      <w:lvlText w:val="%1."/>
      <w:lvlJc w:val="left"/>
      <w:pPr>
        <w:ind w:left="425" w:hanging="425"/>
      </w:pPr>
      <w:rPr>
        <w:rFonts w:hint="default"/>
      </w:rPr>
    </w:lvl>
  </w:abstractNum>
  <w:abstractNum w:abstractNumId="72">
    <w:nsid w:val="4B58F893"/>
    <w:multiLevelType w:val="singleLevel"/>
    <w:tmpl w:val="4B58F893"/>
    <w:lvl w:ilvl="0" w:tentative="0">
      <w:start w:val="1"/>
      <w:numFmt w:val="lowerLetter"/>
      <w:lvlText w:val="%1."/>
      <w:lvlJc w:val="left"/>
      <w:pPr>
        <w:ind w:left="425" w:hanging="425"/>
      </w:pPr>
      <w:rPr>
        <w:rFonts w:hint="default"/>
      </w:rPr>
    </w:lvl>
  </w:abstractNum>
  <w:abstractNum w:abstractNumId="73">
    <w:nsid w:val="4B9048DC"/>
    <w:multiLevelType w:val="singleLevel"/>
    <w:tmpl w:val="4B9048DC"/>
    <w:lvl w:ilvl="0" w:tentative="0">
      <w:start w:val="1"/>
      <w:numFmt w:val="lowerLetter"/>
      <w:lvlText w:val="%1."/>
      <w:lvlJc w:val="left"/>
      <w:pPr>
        <w:ind w:left="425" w:hanging="425"/>
      </w:pPr>
      <w:rPr>
        <w:rFonts w:hint="default"/>
      </w:rPr>
    </w:lvl>
  </w:abstractNum>
  <w:abstractNum w:abstractNumId="74">
    <w:nsid w:val="4D87DEDE"/>
    <w:multiLevelType w:val="singleLevel"/>
    <w:tmpl w:val="4D87DEDE"/>
    <w:lvl w:ilvl="0" w:tentative="0">
      <w:start w:val="1"/>
      <w:numFmt w:val="lowerLetter"/>
      <w:lvlText w:val="%1."/>
      <w:lvlJc w:val="left"/>
      <w:pPr>
        <w:ind w:left="425" w:hanging="425"/>
      </w:pPr>
      <w:rPr>
        <w:rFonts w:hint="default"/>
      </w:rPr>
    </w:lvl>
  </w:abstractNum>
  <w:abstractNum w:abstractNumId="75">
    <w:nsid w:val="50A2DDE2"/>
    <w:multiLevelType w:val="singleLevel"/>
    <w:tmpl w:val="50A2DDE2"/>
    <w:lvl w:ilvl="0" w:tentative="0">
      <w:start w:val="1"/>
      <w:numFmt w:val="lowerLetter"/>
      <w:lvlText w:val="%1."/>
      <w:lvlJc w:val="left"/>
      <w:pPr>
        <w:ind w:left="425" w:hanging="425"/>
      </w:pPr>
      <w:rPr>
        <w:rFonts w:hint="default"/>
      </w:rPr>
    </w:lvl>
  </w:abstractNum>
  <w:abstractNum w:abstractNumId="76">
    <w:nsid w:val="543CD6DB"/>
    <w:multiLevelType w:val="singleLevel"/>
    <w:tmpl w:val="543CD6DB"/>
    <w:lvl w:ilvl="0" w:tentative="0">
      <w:start w:val="1"/>
      <w:numFmt w:val="lowerLetter"/>
      <w:lvlText w:val="%1."/>
      <w:lvlJc w:val="left"/>
      <w:pPr>
        <w:ind w:left="425" w:hanging="425"/>
      </w:pPr>
      <w:rPr>
        <w:rFonts w:hint="default"/>
      </w:rPr>
    </w:lvl>
  </w:abstractNum>
  <w:abstractNum w:abstractNumId="77">
    <w:nsid w:val="57F628BD"/>
    <w:multiLevelType w:val="singleLevel"/>
    <w:tmpl w:val="57F628BD"/>
    <w:lvl w:ilvl="0" w:tentative="0">
      <w:start w:val="1"/>
      <w:numFmt w:val="lowerLetter"/>
      <w:lvlText w:val="%1."/>
      <w:lvlJc w:val="left"/>
      <w:pPr>
        <w:ind w:left="425" w:hanging="425"/>
      </w:pPr>
      <w:rPr>
        <w:rFonts w:hint="default"/>
      </w:rPr>
    </w:lvl>
  </w:abstractNum>
  <w:abstractNum w:abstractNumId="78">
    <w:nsid w:val="5A89C84D"/>
    <w:multiLevelType w:val="singleLevel"/>
    <w:tmpl w:val="5A89C84D"/>
    <w:lvl w:ilvl="0" w:tentative="0">
      <w:start w:val="1"/>
      <w:numFmt w:val="lowerLetter"/>
      <w:lvlText w:val="%1."/>
      <w:lvlJc w:val="left"/>
      <w:pPr>
        <w:ind w:left="425" w:hanging="425"/>
      </w:pPr>
      <w:rPr>
        <w:rFonts w:hint="default"/>
      </w:rPr>
    </w:lvl>
  </w:abstractNum>
  <w:abstractNum w:abstractNumId="79">
    <w:nsid w:val="5C85A722"/>
    <w:multiLevelType w:val="singleLevel"/>
    <w:tmpl w:val="5C85A722"/>
    <w:lvl w:ilvl="0" w:tentative="0">
      <w:start w:val="1"/>
      <w:numFmt w:val="decimal"/>
      <w:lvlText w:val="%1."/>
      <w:lvlJc w:val="left"/>
      <w:pPr>
        <w:ind w:left="425" w:hanging="425"/>
      </w:pPr>
      <w:rPr>
        <w:rFonts w:hint="default" w:ascii="宋体" w:hAnsi="宋体" w:eastAsia="宋体" w:cs="宋体"/>
      </w:rPr>
    </w:lvl>
  </w:abstractNum>
  <w:abstractNum w:abstractNumId="80">
    <w:nsid w:val="5E26FC1B"/>
    <w:multiLevelType w:val="singleLevel"/>
    <w:tmpl w:val="5E26FC1B"/>
    <w:lvl w:ilvl="0" w:tentative="0">
      <w:start w:val="1"/>
      <w:numFmt w:val="lowerLetter"/>
      <w:lvlText w:val="%1."/>
      <w:lvlJc w:val="left"/>
      <w:pPr>
        <w:ind w:left="425" w:hanging="425"/>
      </w:pPr>
      <w:rPr>
        <w:rFonts w:hint="default"/>
      </w:rPr>
    </w:lvl>
  </w:abstractNum>
  <w:abstractNum w:abstractNumId="81">
    <w:nsid w:val="62E4DEB9"/>
    <w:multiLevelType w:val="singleLevel"/>
    <w:tmpl w:val="62E4DEB9"/>
    <w:lvl w:ilvl="0" w:tentative="0">
      <w:start w:val="1"/>
      <w:numFmt w:val="lowerLetter"/>
      <w:lvlText w:val="%1."/>
      <w:lvlJc w:val="left"/>
      <w:pPr>
        <w:ind w:left="425" w:hanging="425"/>
      </w:pPr>
      <w:rPr>
        <w:rFonts w:hint="default"/>
      </w:rPr>
    </w:lvl>
  </w:abstractNum>
  <w:abstractNum w:abstractNumId="82">
    <w:nsid w:val="63540708"/>
    <w:multiLevelType w:val="singleLevel"/>
    <w:tmpl w:val="63540708"/>
    <w:lvl w:ilvl="0" w:tentative="0">
      <w:start w:val="1"/>
      <w:numFmt w:val="lowerLetter"/>
      <w:lvlText w:val="%1."/>
      <w:lvlJc w:val="left"/>
      <w:pPr>
        <w:ind w:left="425" w:hanging="425"/>
      </w:pPr>
      <w:rPr>
        <w:rFonts w:hint="default"/>
      </w:rPr>
    </w:lvl>
  </w:abstractNum>
  <w:abstractNum w:abstractNumId="83">
    <w:nsid w:val="63E3B0DC"/>
    <w:multiLevelType w:val="singleLevel"/>
    <w:tmpl w:val="63E3B0DC"/>
    <w:lvl w:ilvl="0" w:tentative="0">
      <w:start w:val="1"/>
      <w:numFmt w:val="lowerLetter"/>
      <w:lvlText w:val="%1."/>
      <w:lvlJc w:val="left"/>
      <w:pPr>
        <w:ind w:left="425" w:hanging="425"/>
      </w:pPr>
      <w:rPr>
        <w:rFonts w:hint="default"/>
      </w:rPr>
    </w:lvl>
  </w:abstractNum>
  <w:abstractNum w:abstractNumId="84">
    <w:nsid w:val="64342ACB"/>
    <w:multiLevelType w:val="singleLevel"/>
    <w:tmpl w:val="64342ACB"/>
    <w:lvl w:ilvl="0" w:tentative="0">
      <w:start w:val="1"/>
      <w:numFmt w:val="lowerLetter"/>
      <w:lvlText w:val="%1."/>
      <w:lvlJc w:val="left"/>
      <w:pPr>
        <w:ind w:left="425" w:hanging="425"/>
      </w:pPr>
      <w:rPr>
        <w:rFonts w:hint="default"/>
      </w:rPr>
    </w:lvl>
  </w:abstractNum>
  <w:abstractNum w:abstractNumId="85">
    <w:nsid w:val="6AB2D08E"/>
    <w:multiLevelType w:val="singleLevel"/>
    <w:tmpl w:val="6AB2D08E"/>
    <w:lvl w:ilvl="0" w:tentative="0">
      <w:start w:val="1"/>
      <w:numFmt w:val="lowerLetter"/>
      <w:lvlText w:val="%1."/>
      <w:lvlJc w:val="left"/>
      <w:pPr>
        <w:ind w:left="425" w:hanging="425"/>
      </w:pPr>
      <w:rPr>
        <w:rFonts w:hint="default"/>
      </w:rPr>
    </w:lvl>
  </w:abstractNum>
  <w:abstractNum w:abstractNumId="86">
    <w:nsid w:val="6EF4C4A5"/>
    <w:multiLevelType w:val="singleLevel"/>
    <w:tmpl w:val="6EF4C4A5"/>
    <w:lvl w:ilvl="0" w:tentative="0">
      <w:start w:val="1"/>
      <w:numFmt w:val="lowerLetter"/>
      <w:lvlText w:val="%1."/>
      <w:lvlJc w:val="left"/>
      <w:pPr>
        <w:ind w:left="425" w:hanging="425"/>
      </w:pPr>
      <w:rPr>
        <w:rFonts w:hint="default"/>
      </w:rPr>
    </w:lvl>
  </w:abstractNum>
  <w:abstractNum w:abstractNumId="87">
    <w:nsid w:val="6FB506E2"/>
    <w:multiLevelType w:val="singleLevel"/>
    <w:tmpl w:val="6FB506E2"/>
    <w:lvl w:ilvl="0" w:tentative="0">
      <w:start w:val="1"/>
      <w:numFmt w:val="lowerLetter"/>
      <w:lvlText w:val="%1."/>
      <w:lvlJc w:val="left"/>
      <w:pPr>
        <w:ind w:left="425" w:hanging="425"/>
      </w:pPr>
      <w:rPr>
        <w:rFonts w:hint="default"/>
      </w:rPr>
    </w:lvl>
  </w:abstractNum>
  <w:abstractNum w:abstractNumId="88">
    <w:nsid w:val="7230B17F"/>
    <w:multiLevelType w:val="singleLevel"/>
    <w:tmpl w:val="7230B17F"/>
    <w:lvl w:ilvl="0" w:tentative="0">
      <w:start w:val="1"/>
      <w:numFmt w:val="lowerLetter"/>
      <w:lvlText w:val="%1."/>
      <w:lvlJc w:val="left"/>
      <w:pPr>
        <w:ind w:left="425" w:hanging="425"/>
      </w:pPr>
      <w:rPr>
        <w:rFonts w:hint="default"/>
      </w:rPr>
    </w:lvl>
  </w:abstractNum>
  <w:abstractNum w:abstractNumId="89">
    <w:nsid w:val="73019A0F"/>
    <w:multiLevelType w:val="singleLevel"/>
    <w:tmpl w:val="73019A0F"/>
    <w:lvl w:ilvl="0" w:tentative="0">
      <w:start w:val="1"/>
      <w:numFmt w:val="lowerLetter"/>
      <w:lvlText w:val="%1."/>
      <w:lvlJc w:val="left"/>
      <w:pPr>
        <w:ind w:left="425" w:hanging="425"/>
      </w:pPr>
      <w:rPr>
        <w:rFonts w:hint="default"/>
      </w:rPr>
    </w:lvl>
  </w:abstractNum>
  <w:abstractNum w:abstractNumId="90">
    <w:nsid w:val="734D9F87"/>
    <w:multiLevelType w:val="singleLevel"/>
    <w:tmpl w:val="734D9F87"/>
    <w:lvl w:ilvl="0" w:tentative="0">
      <w:start w:val="1"/>
      <w:numFmt w:val="lowerLetter"/>
      <w:lvlText w:val="%1."/>
      <w:lvlJc w:val="left"/>
      <w:pPr>
        <w:ind w:left="425" w:hanging="425"/>
      </w:pPr>
      <w:rPr>
        <w:rFonts w:hint="default"/>
      </w:rPr>
    </w:lvl>
  </w:abstractNum>
  <w:abstractNum w:abstractNumId="91">
    <w:nsid w:val="7729E700"/>
    <w:multiLevelType w:val="singleLevel"/>
    <w:tmpl w:val="7729E700"/>
    <w:lvl w:ilvl="0" w:tentative="0">
      <w:start w:val="1"/>
      <w:numFmt w:val="lowerLetter"/>
      <w:lvlText w:val="%1."/>
      <w:lvlJc w:val="left"/>
      <w:pPr>
        <w:ind w:left="425" w:hanging="425"/>
      </w:pPr>
      <w:rPr>
        <w:rFonts w:hint="default"/>
      </w:rPr>
    </w:lvl>
  </w:abstractNum>
  <w:abstractNum w:abstractNumId="92">
    <w:nsid w:val="7D7D28C7"/>
    <w:multiLevelType w:val="singleLevel"/>
    <w:tmpl w:val="7D7D28C7"/>
    <w:lvl w:ilvl="0" w:tentative="0">
      <w:start w:val="1"/>
      <w:numFmt w:val="lowerLetter"/>
      <w:lvlText w:val="%1."/>
      <w:lvlJc w:val="left"/>
      <w:pPr>
        <w:ind w:left="425" w:hanging="425"/>
      </w:pPr>
      <w:rPr>
        <w:rFonts w:hint="default"/>
      </w:rPr>
    </w:lvl>
  </w:abstractNum>
  <w:num w:numId="1">
    <w:abstractNumId w:val="50"/>
  </w:num>
  <w:num w:numId="2">
    <w:abstractNumId w:val="0"/>
  </w:num>
  <w:num w:numId="3">
    <w:abstractNumId w:val="4"/>
  </w:num>
  <w:num w:numId="4">
    <w:abstractNumId w:val="89"/>
  </w:num>
  <w:num w:numId="5">
    <w:abstractNumId w:val="57"/>
  </w:num>
  <w:num w:numId="6">
    <w:abstractNumId w:val="29"/>
  </w:num>
  <w:num w:numId="7">
    <w:abstractNumId w:val="53"/>
  </w:num>
  <w:num w:numId="8">
    <w:abstractNumId w:val="83"/>
  </w:num>
  <w:num w:numId="9">
    <w:abstractNumId w:val="36"/>
  </w:num>
  <w:num w:numId="10">
    <w:abstractNumId w:val="70"/>
  </w:num>
  <w:num w:numId="11">
    <w:abstractNumId w:val="76"/>
  </w:num>
  <w:num w:numId="12">
    <w:abstractNumId w:val="39"/>
  </w:num>
  <w:num w:numId="13">
    <w:abstractNumId w:val="3"/>
  </w:num>
  <w:num w:numId="14">
    <w:abstractNumId w:val="88"/>
  </w:num>
  <w:num w:numId="15">
    <w:abstractNumId w:val="15"/>
  </w:num>
  <w:num w:numId="16">
    <w:abstractNumId w:val="19"/>
  </w:num>
  <w:num w:numId="17">
    <w:abstractNumId w:val="12"/>
  </w:num>
  <w:num w:numId="18">
    <w:abstractNumId w:val="90"/>
  </w:num>
  <w:num w:numId="19">
    <w:abstractNumId w:val="1"/>
  </w:num>
  <w:num w:numId="20">
    <w:abstractNumId w:val="2"/>
  </w:num>
  <w:num w:numId="21">
    <w:abstractNumId w:val="22"/>
  </w:num>
  <w:num w:numId="22">
    <w:abstractNumId w:val="47"/>
  </w:num>
  <w:num w:numId="23">
    <w:abstractNumId w:val="11"/>
  </w:num>
  <w:num w:numId="24">
    <w:abstractNumId w:val="91"/>
  </w:num>
  <w:num w:numId="25">
    <w:abstractNumId w:val="46"/>
  </w:num>
  <w:num w:numId="26">
    <w:abstractNumId w:val="86"/>
  </w:num>
  <w:num w:numId="27">
    <w:abstractNumId w:val="25"/>
  </w:num>
  <w:num w:numId="28">
    <w:abstractNumId w:val="26"/>
  </w:num>
  <w:num w:numId="29">
    <w:abstractNumId w:val="66"/>
  </w:num>
  <w:num w:numId="30">
    <w:abstractNumId w:val="23"/>
  </w:num>
  <w:num w:numId="31">
    <w:abstractNumId w:val="72"/>
  </w:num>
  <w:num w:numId="32">
    <w:abstractNumId w:val="10"/>
  </w:num>
  <w:num w:numId="33">
    <w:abstractNumId w:val="17"/>
  </w:num>
  <w:num w:numId="34">
    <w:abstractNumId w:val="30"/>
  </w:num>
  <w:num w:numId="35">
    <w:abstractNumId w:val="59"/>
  </w:num>
  <w:num w:numId="36">
    <w:abstractNumId w:val="21"/>
  </w:num>
  <w:num w:numId="37">
    <w:abstractNumId w:val="54"/>
  </w:num>
  <w:num w:numId="38">
    <w:abstractNumId w:val="20"/>
  </w:num>
  <w:num w:numId="39">
    <w:abstractNumId w:val="55"/>
  </w:num>
  <w:num w:numId="40">
    <w:abstractNumId w:val="64"/>
  </w:num>
  <w:num w:numId="41">
    <w:abstractNumId w:val="7"/>
  </w:num>
  <w:num w:numId="42">
    <w:abstractNumId w:val="27"/>
  </w:num>
  <w:num w:numId="43">
    <w:abstractNumId w:val="41"/>
  </w:num>
  <w:num w:numId="44">
    <w:abstractNumId w:val="62"/>
  </w:num>
  <w:num w:numId="45">
    <w:abstractNumId w:val="73"/>
  </w:num>
  <w:num w:numId="46">
    <w:abstractNumId w:val="51"/>
  </w:num>
  <w:num w:numId="47">
    <w:abstractNumId w:val="61"/>
  </w:num>
  <w:num w:numId="48">
    <w:abstractNumId w:val="56"/>
  </w:num>
  <w:num w:numId="49">
    <w:abstractNumId w:val="44"/>
  </w:num>
  <w:num w:numId="50">
    <w:abstractNumId w:val="49"/>
  </w:num>
  <w:num w:numId="51">
    <w:abstractNumId w:val="40"/>
  </w:num>
  <w:num w:numId="52">
    <w:abstractNumId w:val="79"/>
  </w:num>
  <w:num w:numId="53">
    <w:abstractNumId w:val="92"/>
  </w:num>
  <w:num w:numId="54">
    <w:abstractNumId w:val="48"/>
  </w:num>
  <w:num w:numId="55">
    <w:abstractNumId w:val="75"/>
  </w:num>
  <w:num w:numId="56">
    <w:abstractNumId w:val="60"/>
  </w:num>
  <w:num w:numId="57">
    <w:abstractNumId w:val="28"/>
  </w:num>
  <w:num w:numId="58">
    <w:abstractNumId w:val="16"/>
  </w:num>
  <w:num w:numId="59">
    <w:abstractNumId w:val="5"/>
  </w:num>
  <w:num w:numId="60">
    <w:abstractNumId w:val="42"/>
  </w:num>
  <w:num w:numId="61">
    <w:abstractNumId w:val="52"/>
  </w:num>
  <w:num w:numId="62">
    <w:abstractNumId w:val="13"/>
  </w:num>
  <w:num w:numId="63">
    <w:abstractNumId w:val="32"/>
  </w:num>
  <w:num w:numId="64">
    <w:abstractNumId w:val="37"/>
  </w:num>
  <w:num w:numId="65">
    <w:abstractNumId w:val="80"/>
  </w:num>
  <w:num w:numId="66">
    <w:abstractNumId w:val="82"/>
  </w:num>
  <w:num w:numId="67">
    <w:abstractNumId w:val="78"/>
  </w:num>
  <w:num w:numId="68">
    <w:abstractNumId w:val="69"/>
  </w:num>
  <w:num w:numId="69">
    <w:abstractNumId w:val="84"/>
  </w:num>
  <w:num w:numId="70">
    <w:abstractNumId w:val="9"/>
  </w:num>
  <w:num w:numId="71">
    <w:abstractNumId w:val="45"/>
  </w:num>
  <w:num w:numId="72">
    <w:abstractNumId w:val="77"/>
  </w:num>
  <w:num w:numId="73">
    <w:abstractNumId w:val="33"/>
  </w:num>
  <w:num w:numId="74">
    <w:abstractNumId w:val="6"/>
  </w:num>
  <w:num w:numId="75">
    <w:abstractNumId w:val="63"/>
  </w:num>
  <w:num w:numId="76">
    <w:abstractNumId w:val="68"/>
  </w:num>
  <w:num w:numId="77">
    <w:abstractNumId w:val="81"/>
  </w:num>
  <w:num w:numId="78">
    <w:abstractNumId w:val="58"/>
  </w:num>
  <w:num w:numId="79">
    <w:abstractNumId w:val="31"/>
  </w:num>
  <w:num w:numId="80">
    <w:abstractNumId w:val="71"/>
  </w:num>
  <w:num w:numId="81">
    <w:abstractNumId w:val="85"/>
  </w:num>
  <w:num w:numId="82">
    <w:abstractNumId w:val="43"/>
  </w:num>
  <w:num w:numId="83">
    <w:abstractNumId w:val="67"/>
  </w:num>
  <w:num w:numId="84">
    <w:abstractNumId w:val="24"/>
  </w:num>
  <w:num w:numId="85">
    <w:abstractNumId w:val="14"/>
  </w:num>
  <w:num w:numId="86">
    <w:abstractNumId w:val="8"/>
  </w:num>
  <w:num w:numId="87">
    <w:abstractNumId w:val="65"/>
  </w:num>
  <w:num w:numId="88">
    <w:abstractNumId w:val="34"/>
  </w:num>
  <w:num w:numId="89">
    <w:abstractNumId w:val="35"/>
  </w:num>
  <w:num w:numId="90">
    <w:abstractNumId w:val="38"/>
  </w:num>
  <w:num w:numId="91">
    <w:abstractNumId w:val="18"/>
  </w:num>
  <w:num w:numId="92">
    <w:abstractNumId w:val="87"/>
  </w:num>
  <w:num w:numId="93">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34599"/>
    <w:rsid w:val="05574E47"/>
    <w:rsid w:val="09245986"/>
    <w:rsid w:val="233B26B1"/>
    <w:rsid w:val="23834599"/>
    <w:rsid w:val="38BF148A"/>
    <w:rsid w:val="44034ABF"/>
    <w:rsid w:val="475B2C68"/>
    <w:rsid w:val="507571C6"/>
    <w:rsid w:val="589C2D38"/>
    <w:rsid w:val="5D40724F"/>
    <w:rsid w:val="79753ECF"/>
    <w:rsid w:val="7A6E3783"/>
    <w:rsid w:val="7D237270"/>
    <w:rsid w:val="7E9D7FF9"/>
    <w:rsid w:val="7F842F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64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2022-02-22T09:51:00Z</dcterms:created>
  <dc:creator>刘晓丽</dc:creator>
  <cp:lastModifiedBy>雷莎</cp:lastModifiedBy>
  <cp:lastPrinted>2022-05-11T03:53:00Z</cp:lastPrinted>
  <dcterms:modified xsi:type="dcterms:W3CDTF">2022-06-30T06:46:37Z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