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rFonts w:ascii="微软雅黑" w:hAnsi="微软雅黑" w:eastAsia="微软雅黑" w:cs="宋体"/>
          <w:color w:val="000000"/>
          <w:spacing w:val="30"/>
          <w:kern w:val="0"/>
          <w:sz w:val="28"/>
          <w:szCs w:val="28"/>
        </w:rPr>
      </w:pPr>
      <w:r>
        <w:rPr>
          <w:rFonts w:hint="eastAsia" w:ascii="仿宋_GB2312" w:hAnsi="微软雅黑" w:eastAsia="仿宋_GB2312" w:cs="宋体"/>
          <w:color w:val="000000"/>
          <w:spacing w:val="30"/>
          <w:kern w:val="0"/>
          <w:sz w:val="28"/>
          <w:szCs w:val="28"/>
        </w:rPr>
        <w:t>附件3</w:t>
      </w:r>
    </w:p>
    <w:p>
      <w:pPr>
        <w:widowControl/>
        <w:shd w:val="clear" w:color="auto" w:fill="FFFFFF"/>
        <w:jc w:val="center"/>
        <w:rPr>
          <w:rFonts w:ascii="创艺简标宋" w:hAnsi="微软雅黑" w:eastAsia="创艺简标宋" w:cs="宋体"/>
          <w:color w:val="000000"/>
          <w:spacing w:val="30"/>
          <w:kern w:val="0"/>
          <w:sz w:val="32"/>
          <w:szCs w:val="32"/>
        </w:rPr>
      </w:pPr>
      <w:r>
        <w:rPr>
          <w:rFonts w:hint="eastAsia" w:ascii="创艺简标宋" w:hAnsi="微软雅黑" w:eastAsia="创艺简标宋" w:cs="宋体"/>
          <w:color w:val="000000"/>
          <w:spacing w:val="30"/>
          <w:kern w:val="0"/>
          <w:sz w:val="32"/>
          <w:szCs w:val="32"/>
        </w:rPr>
        <w:t>神湾镇义务教育阶段课后服务管理平台评分表</w:t>
      </w:r>
    </w:p>
    <w:p>
      <w:pPr>
        <w:widowControl/>
        <w:shd w:val="clear" w:color="auto" w:fill="FFFFFF"/>
        <w:jc w:val="center"/>
        <w:rPr>
          <w:rFonts w:ascii="创艺简标宋" w:hAnsi="微软雅黑" w:eastAsia="创艺简标宋" w:cs="宋体"/>
          <w:color w:val="000000"/>
          <w:spacing w:val="30"/>
          <w:kern w:val="0"/>
          <w:sz w:val="32"/>
          <w:szCs w:val="32"/>
        </w:rPr>
      </w:pPr>
    </w:p>
    <w:tbl>
      <w:tblPr>
        <w:tblStyle w:val="2"/>
        <w:tblW w:w="9464" w:type="dxa"/>
        <w:jc w:val="center"/>
        <w:tblCellSpacing w:w="0" w:type="dxa"/>
        <w:tblLayout w:type="autofit"/>
        <w:tblCellMar>
          <w:top w:w="0" w:type="dxa"/>
          <w:left w:w="0" w:type="dxa"/>
          <w:bottom w:w="0" w:type="dxa"/>
          <w:right w:w="0" w:type="dxa"/>
        </w:tblCellMar>
      </w:tblPr>
      <w:tblGrid>
        <w:gridCol w:w="1316"/>
        <w:gridCol w:w="1378"/>
        <w:gridCol w:w="6035"/>
        <w:gridCol w:w="735"/>
      </w:tblGrid>
      <w:tr>
        <w:tblPrEx>
          <w:tblCellMar>
            <w:top w:w="0" w:type="dxa"/>
            <w:left w:w="0" w:type="dxa"/>
            <w:bottom w:w="0" w:type="dxa"/>
            <w:right w:w="0" w:type="dxa"/>
          </w:tblCellMar>
        </w:tblPrEx>
        <w:trPr>
          <w:trHeight w:val="540" w:hRule="atLeast"/>
          <w:tblCellSpacing w:w="0" w:type="dxa"/>
          <w:jc w:val="center"/>
        </w:trPr>
        <w:tc>
          <w:tcPr>
            <w:tcW w:w="131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68" w:lineRule="atLeast"/>
              <w:jc w:val="center"/>
              <w:rPr>
                <w:rFonts w:ascii="微软雅黑" w:hAnsi="微软雅黑" w:eastAsia="微软雅黑" w:cs="宋体"/>
                <w:color w:val="000000"/>
                <w:kern w:val="0"/>
                <w:szCs w:val="21"/>
              </w:rPr>
            </w:pPr>
            <w:r>
              <w:rPr>
                <w:rFonts w:hint="eastAsia" w:ascii="仿宋_GB2312" w:hAnsi="微软雅黑" w:eastAsia="仿宋_GB2312" w:cs="宋体"/>
                <w:b/>
                <w:bCs/>
                <w:color w:val="000000"/>
                <w:kern w:val="0"/>
                <w:sz w:val="24"/>
                <w:szCs w:val="24"/>
              </w:rPr>
              <w:t>评审内容</w:t>
            </w:r>
          </w:p>
        </w:tc>
        <w:tc>
          <w:tcPr>
            <w:tcW w:w="7413" w:type="dxa"/>
            <w:gridSpan w:val="2"/>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68" w:lineRule="atLeast"/>
              <w:jc w:val="center"/>
              <w:rPr>
                <w:rFonts w:ascii="微软雅黑" w:hAnsi="微软雅黑" w:eastAsia="微软雅黑" w:cs="宋体"/>
                <w:color w:val="000000"/>
                <w:kern w:val="0"/>
                <w:szCs w:val="21"/>
              </w:rPr>
            </w:pPr>
            <w:r>
              <w:rPr>
                <w:rFonts w:hint="eastAsia" w:ascii="仿宋_GB2312" w:hAnsi="微软雅黑" w:eastAsia="仿宋_GB2312" w:cs="宋体"/>
                <w:b/>
                <w:bCs/>
                <w:color w:val="000000"/>
                <w:kern w:val="0"/>
                <w:sz w:val="24"/>
                <w:szCs w:val="24"/>
              </w:rPr>
              <w:t>评审细则</w:t>
            </w:r>
          </w:p>
        </w:tc>
        <w:tc>
          <w:tcPr>
            <w:tcW w:w="73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68" w:lineRule="atLeast"/>
              <w:jc w:val="center"/>
              <w:rPr>
                <w:rFonts w:ascii="微软雅黑" w:hAnsi="微软雅黑" w:eastAsia="微软雅黑" w:cs="宋体"/>
                <w:color w:val="000000"/>
                <w:kern w:val="0"/>
                <w:szCs w:val="21"/>
              </w:rPr>
            </w:pPr>
            <w:r>
              <w:rPr>
                <w:rFonts w:hint="eastAsia" w:ascii="仿宋_GB2312" w:hAnsi="微软雅黑" w:eastAsia="仿宋_GB2312" w:cs="宋体"/>
                <w:b/>
                <w:bCs/>
                <w:color w:val="000000"/>
                <w:kern w:val="0"/>
                <w:sz w:val="24"/>
                <w:szCs w:val="24"/>
              </w:rPr>
              <w:t>分值</w:t>
            </w:r>
          </w:p>
        </w:tc>
      </w:tr>
      <w:tr>
        <w:tblPrEx>
          <w:tblCellMar>
            <w:top w:w="0" w:type="dxa"/>
            <w:left w:w="0" w:type="dxa"/>
            <w:bottom w:w="0" w:type="dxa"/>
            <w:right w:w="0" w:type="dxa"/>
          </w:tblCellMar>
        </w:tblPrEx>
        <w:trPr>
          <w:trHeight w:val="1005" w:hRule="atLeast"/>
          <w:tblCellSpacing w:w="0" w:type="dxa"/>
          <w:jc w:val="center"/>
        </w:trPr>
        <w:tc>
          <w:tcPr>
            <w:tcW w:w="1316"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68" w:lineRule="atLeast"/>
              <w:jc w:val="center"/>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商务部分</w:t>
            </w:r>
          </w:p>
          <w:p>
            <w:pPr>
              <w:widowControl/>
              <w:spacing w:line="368" w:lineRule="atLeast"/>
              <w:jc w:val="center"/>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（10%）</w:t>
            </w:r>
          </w:p>
        </w:tc>
        <w:tc>
          <w:tcPr>
            <w:tcW w:w="1378"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68" w:lineRule="atLeast"/>
              <w:jc w:val="center"/>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企业综合实力</w:t>
            </w:r>
          </w:p>
        </w:tc>
        <w:tc>
          <w:tcPr>
            <w:tcW w:w="603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服务平台运营公司业务范围应包含软件技术开发、技术服务。符合得1分。</w:t>
            </w:r>
          </w:p>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注：须提供有效的证明材料，不提供不得分。</w:t>
            </w:r>
          </w:p>
        </w:tc>
        <w:tc>
          <w:tcPr>
            <w:tcW w:w="73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68" w:lineRule="atLeast"/>
              <w:jc w:val="center"/>
              <w:rPr>
                <w:rFonts w:ascii="微软雅黑" w:hAnsi="微软雅黑" w:eastAsia="微软雅黑" w:cs="宋体"/>
                <w:color w:val="000000"/>
                <w:kern w:val="0"/>
                <w:szCs w:val="21"/>
              </w:rPr>
            </w:pPr>
            <w:r>
              <w:rPr>
                <w:rFonts w:hint="eastAsia" w:ascii="仿宋_GB2312" w:hAnsi="微软雅黑" w:eastAsia="仿宋_GB2312" w:cs="宋体"/>
                <w:b/>
                <w:bCs/>
                <w:color w:val="000000"/>
                <w:kern w:val="0"/>
                <w:sz w:val="24"/>
                <w:szCs w:val="24"/>
              </w:rPr>
              <w:t>1</w:t>
            </w:r>
          </w:p>
        </w:tc>
      </w:tr>
      <w:tr>
        <w:tblPrEx>
          <w:tblCellMar>
            <w:top w:w="0" w:type="dxa"/>
            <w:left w:w="0" w:type="dxa"/>
            <w:bottom w:w="0" w:type="dxa"/>
            <w:right w:w="0" w:type="dxa"/>
          </w:tblCellMar>
        </w:tblPrEx>
        <w:trPr>
          <w:trHeight w:val="495" w:hRule="atLeast"/>
          <w:tblCellSpacing w:w="0" w:type="dxa"/>
          <w:jc w:val="center"/>
        </w:trPr>
        <w:tc>
          <w:tcPr>
            <w:tcW w:w="131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微软雅黑" w:hAnsi="微软雅黑" w:eastAsia="微软雅黑" w:cs="宋体"/>
                <w:color w:val="000000"/>
                <w:kern w:val="0"/>
                <w:szCs w:val="21"/>
              </w:rPr>
            </w:pPr>
          </w:p>
        </w:tc>
        <w:tc>
          <w:tcPr>
            <w:tcW w:w="137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微软雅黑" w:hAnsi="微软雅黑" w:eastAsia="微软雅黑" w:cs="宋体"/>
                <w:color w:val="000000"/>
                <w:kern w:val="0"/>
                <w:szCs w:val="21"/>
              </w:rPr>
            </w:pPr>
          </w:p>
        </w:tc>
        <w:tc>
          <w:tcPr>
            <w:tcW w:w="603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服务平台网站具有 ICP 备案。符合得2分。</w:t>
            </w:r>
          </w:p>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注：须提供有效的证明材料，不提供不得分。</w:t>
            </w:r>
          </w:p>
        </w:tc>
        <w:tc>
          <w:tcPr>
            <w:tcW w:w="73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68" w:lineRule="atLeast"/>
              <w:jc w:val="center"/>
              <w:rPr>
                <w:rFonts w:ascii="微软雅黑" w:hAnsi="微软雅黑" w:eastAsia="微软雅黑" w:cs="宋体"/>
                <w:color w:val="000000"/>
                <w:kern w:val="0"/>
                <w:szCs w:val="21"/>
              </w:rPr>
            </w:pPr>
            <w:r>
              <w:rPr>
                <w:rFonts w:hint="eastAsia" w:ascii="仿宋_GB2312" w:hAnsi="微软雅黑" w:eastAsia="仿宋_GB2312" w:cs="宋体"/>
                <w:b/>
                <w:bCs/>
                <w:color w:val="000000"/>
                <w:kern w:val="0"/>
                <w:sz w:val="24"/>
                <w:szCs w:val="24"/>
              </w:rPr>
              <w:t>2</w:t>
            </w:r>
          </w:p>
        </w:tc>
      </w:tr>
      <w:tr>
        <w:tblPrEx>
          <w:tblCellMar>
            <w:top w:w="0" w:type="dxa"/>
            <w:left w:w="0" w:type="dxa"/>
            <w:bottom w:w="0" w:type="dxa"/>
            <w:right w:w="0" w:type="dxa"/>
          </w:tblCellMar>
        </w:tblPrEx>
        <w:trPr>
          <w:trHeight w:val="630" w:hRule="atLeast"/>
          <w:tblCellSpacing w:w="0" w:type="dxa"/>
          <w:jc w:val="center"/>
        </w:trPr>
        <w:tc>
          <w:tcPr>
            <w:tcW w:w="131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微软雅黑" w:hAnsi="微软雅黑" w:eastAsia="微软雅黑" w:cs="宋体"/>
                <w:color w:val="000000"/>
                <w:kern w:val="0"/>
                <w:szCs w:val="21"/>
              </w:rPr>
            </w:pPr>
          </w:p>
        </w:tc>
        <w:tc>
          <w:tcPr>
            <w:tcW w:w="137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微软雅黑" w:hAnsi="微软雅黑" w:eastAsia="微软雅黑" w:cs="宋体"/>
                <w:color w:val="000000"/>
                <w:kern w:val="0"/>
                <w:szCs w:val="21"/>
              </w:rPr>
            </w:pPr>
          </w:p>
        </w:tc>
        <w:tc>
          <w:tcPr>
            <w:tcW w:w="603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供应商未被列入“信用中国”网站中“记录失信被执行人或重大税收违法案件当事人名单或政府采购严重违法失信行为”的记录名单。</w:t>
            </w:r>
          </w:p>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注：须提供有效的证明材料，不提供不得分。</w:t>
            </w:r>
          </w:p>
        </w:tc>
        <w:tc>
          <w:tcPr>
            <w:tcW w:w="73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68" w:lineRule="atLeast"/>
              <w:jc w:val="center"/>
              <w:rPr>
                <w:rFonts w:ascii="微软雅黑" w:hAnsi="微软雅黑" w:eastAsia="微软雅黑" w:cs="宋体"/>
                <w:color w:val="000000"/>
                <w:kern w:val="0"/>
                <w:szCs w:val="21"/>
              </w:rPr>
            </w:pPr>
            <w:r>
              <w:rPr>
                <w:rFonts w:hint="eastAsia" w:ascii="仿宋_GB2312" w:hAnsi="微软雅黑" w:eastAsia="仿宋_GB2312" w:cs="宋体"/>
                <w:b/>
                <w:bCs/>
                <w:color w:val="000000"/>
                <w:kern w:val="0"/>
                <w:sz w:val="24"/>
                <w:szCs w:val="24"/>
              </w:rPr>
              <w:t>2</w:t>
            </w:r>
          </w:p>
        </w:tc>
      </w:tr>
      <w:tr>
        <w:tblPrEx>
          <w:tblCellMar>
            <w:top w:w="0" w:type="dxa"/>
            <w:left w:w="0" w:type="dxa"/>
            <w:bottom w:w="0" w:type="dxa"/>
            <w:right w:w="0" w:type="dxa"/>
          </w:tblCellMar>
        </w:tblPrEx>
        <w:trPr>
          <w:trHeight w:val="813" w:hRule="atLeast"/>
          <w:tblCellSpacing w:w="0" w:type="dxa"/>
          <w:jc w:val="center"/>
        </w:trPr>
        <w:tc>
          <w:tcPr>
            <w:tcW w:w="131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微软雅黑" w:hAnsi="微软雅黑" w:eastAsia="微软雅黑" w:cs="宋体"/>
                <w:color w:val="000000"/>
                <w:kern w:val="0"/>
                <w:szCs w:val="21"/>
              </w:rPr>
            </w:pPr>
          </w:p>
        </w:tc>
        <w:tc>
          <w:tcPr>
            <w:tcW w:w="137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微软雅黑" w:hAnsi="微软雅黑" w:eastAsia="微软雅黑" w:cs="宋体"/>
                <w:color w:val="000000"/>
                <w:kern w:val="0"/>
                <w:szCs w:val="21"/>
              </w:rPr>
            </w:pPr>
          </w:p>
        </w:tc>
        <w:tc>
          <w:tcPr>
            <w:tcW w:w="603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投标人需具有中山市区域内服务团队，并有中山市区域内的服务点，提供得5分。</w:t>
            </w:r>
          </w:p>
        </w:tc>
        <w:tc>
          <w:tcPr>
            <w:tcW w:w="73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68" w:lineRule="atLeast"/>
              <w:jc w:val="center"/>
              <w:rPr>
                <w:rFonts w:ascii="微软雅黑" w:hAnsi="微软雅黑" w:eastAsia="微软雅黑" w:cs="宋体"/>
                <w:color w:val="000000"/>
                <w:kern w:val="0"/>
                <w:szCs w:val="21"/>
              </w:rPr>
            </w:pPr>
            <w:r>
              <w:rPr>
                <w:rFonts w:hint="eastAsia" w:ascii="仿宋_GB2312" w:hAnsi="微软雅黑" w:eastAsia="仿宋_GB2312" w:cs="宋体"/>
                <w:b/>
                <w:bCs/>
                <w:color w:val="000000"/>
                <w:kern w:val="0"/>
                <w:sz w:val="24"/>
                <w:szCs w:val="24"/>
              </w:rPr>
              <w:t>5</w:t>
            </w:r>
          </w:p>
        </w:tc>
      </w:tr>
      <w:tr>
        <w:tblPrEx>
          <w:tblCellMar>
            <w:top w:w="0" w:type="dxa"/>
            <w:left w:w="0" w:type="dxa"/>
            <w:bottom w:w="0" w:type="dxa"/>
            <w:right w:w="0" w:type="dxa"/>
          </w:tblCellMar>
        </w:tblPrEx>
        <w:trPr>
          <w:trHeight w:val="675" w:hRule="atLeast"/>
          <w:tblCellSpacing w:w="0" w:type="dxa"/>
          <w:jc w:val="center"/>
        </w:trPr>
        <w:tc>
          <w:tcPr>
            <w:tcW w:w="1316"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68" w:lineRule="atLeast"/>
              <w:jc w:val="center"/>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 </w:t>
            </w:r>
          </w:p>
          <w:p>
            <w:pPr>
              <w:widowControl/>
              <w:spacing w:line="368" w:lineRule="atLeast"/>
              <w:jc w:val="center"/>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 </w:t>
            </w:r>
          </w:p>
          <w:p>
            <w:pPr>
              <w:widowControl/>
              <w:spacing w:line="368" w:lineRule="atLeast"/>
              <w:jc w:val="center"/>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 </w:t>
            </w:r>
          </w:p>
          <w:p>
            <w:pPr>
              <w:widowControl/>
              <w:spacing w:line="368" w:lineRule="atLeast"/>
              <w:jc w:val="center"/>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 </w:t>
            </w:r>
          </w:p>
          <w:p>
            <w:pPr>
              <w:widowControl/>
              <w:spacing w:line="368" w:lineRule="atLeast"/>
              <w:jc w:val="center"/>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 </w:t>
            </w:r>
          </w:p>
          <w:p>
            <w:pPr>
              <w:widowControl/>
              <w:spacing w:line="368" w:lineRule="atLeast"/>
              <w:jc w:val="center"/>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 </w:t>
            </w:r>
          </w:p>
          <w:p>
            <w:pPr>
              <w:widowControl/>
              <w:spacing w:line="368" w:lineRule="atLeast"/>
              <w:jc w:val="center"/>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技术部分</w:t>
            </w:r>
          </w:p>
          <w:p>
            <w:pPr>
              <w:widowControl/>
              <w:spacing w:line="368" w:lineRule="atLeast"/>
              <w:jc w:val="center"/>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（85 %）</w:t>
            </w:r>
          </w:p>
          <w:p>
            <w:pPr>
              <w:widowControl/>
              <w:spacing w:line="368" w:lineRule="atLeast"/>
              <w:jc w:val="center"/>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 </w:t>
            </w:r>
          </w:p>
          <w:p>
            <w:pPr>
              <w:widowControl/>
              <w:spacing w:line="368" w:lineRule="atLeast"/>
              <w:jc w:val="center"/>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 </w:t>
            </w:r>
          </w:p>
          <w:p>
            <w:pPr>
              <w:widowControl/>
              <w:spacing w:line="368" w:lineRule="atLeast"/>
              <w:jc w:val="center"/>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 </w:t>
            </w:r>
          </w:p>
          <w:p>
            <w:pPr>
              <w:widowControl/>
              <w:spacing w:line="368" w:lineRule="atLeast"/>
              <w:jc w:val="center"/>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 </w:t>
            </w:r>
          </w:p>
          <w:p>
            <w:pPr>
              <w:widowControl/>
              <w:spacing w:line="368" w:lineRule="atLeast"/>
              <w:jc w:val="center"/>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 </w:t>
            </w:r>
          </w:p>
          <w:p>
            <w:pPr>
              <w:widowControl/>
              <w:spacing w:line="368" w:lineRule="atLeast"/>
              <w:jc w:val="center"/>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 </w:t>
            </w:r>
          </w:p>
          <w:p>
            <w:pPr>
              <w:widowControl/>
              <w:spacing w:line="368" w:lineRule="atLeast"/>
              <w:jc w:val="center"/>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 </w:t>
            </w:r>
          </w:p>
          <w:p>
            <w:pPr>
              <w:widowControl/>
              <w:spacing w:line="368" w:lineRule="atLeast"/>
              <w:jc w:val="center"/>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 </w:t>
            </w:r>
          </w:p>
          <w:p>
            <w:pPr>
              <w:widowControl/>
              <w:spacing w:line="368" w:lineRule="atLeast"/>
              <w:jc w:val="center"/>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 </w:t>
            </w:r>
          </w:p>
          <w:p>
            <w:pPr>
              <w:widowControl/>
              <w:spacing w:line="368" w:lineRule="atLeast"/>
              <w:jc w:val="center"/>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 </w:t>
            </w:r>
          </w:p>
          <w:p>
            <w:pPr>
              <w:widowControl/>
              <w:spacing w:line="368" w:lineRule="atLeast"/>
              <w:jc w:val="center"/>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 </w:t>
            </w:r>
          </w:p>
          <w:p>
            <w:pPr>
              <w:widowControl/>
              <w:spacing w:line="368" w:lineRule="atLeast"/>
              <w:jc w:val="center"/>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 </w:t>
            </w:r>
          </w:p>
        </w:tc>
        <w:tc>
          <w:tcPr>
            <w:tcW w:w="1378"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68" w:lineRule="atLeast"/>
              <w:jc w:val="center"/>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平台安全及稳定性要求</w:t>
            </w:r>
          </w:p>
        </w:tc>
        <w:tc>
          <w:tcPr>
            <w:tcW w:w="603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服务平台应部署于中山市政务云平台，或选用具有计算机信息系统安全保护等级（以下简称“等保”）三级及以上的云服务平台，能提供稳定和安全的网络服务。满足得5分，不满足得0分。</w:t>
            </w:r>
          </w:p>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注：须提供有效的证明材料，不提供不得分。</w:t>
            </w:r>
          </w:p>
        </w:tc>
        <w:tc>
          <w:tcPr>
            <w:tcW w:w="73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68" w:lineRule="atLeast"/>
              <w:jc w:val="center"/>
              <w:rPr>
                <w:rFonts w:ascii="微软雅黑" w:hAnsi="微软雅黑" w:eastAsia="微软雅黑" w:cs="宋体"/>
                <w:color w:val="000000"/>
                <w:kern w:val="0"/>
                <w:szCs w:val="21"/>
              </w:rPr>
            </w:pPr>
            <w:r>
              <w:rPr>
                <w:rFonts w:hint="eastAsia" w:ascii="仿宋_GB2312" w:hAnsi="微软雅黑" w:eastAsia="仿宋_GB2312" w:cs="宋体"/>
                <w:b/>
                <w:bCs/>
                <w:color w:val="000000"/>
                <w:kern w:val="0"/>
                <w:sz w:val="24"/>
                <w:szCs w:val="24"/>
              </w:rPr>
              <w:t>5</w:t>
            </w:r>
          </w:p>
        </w:tc>
      </w:tr>
      <w:tr>
        <w:tblPrEx>
          <w:tblCellMar>
            <w:top w:w="0" w:type="dxa"/>
            <w:left w:w="0" w:type="dxa"/>
            <w:bottom w:w="0" w:type="dxa"/>
            <w:right w:w="0" w:type="dxa"/>
          </w:tblCellMar>
        </w:tblPrEx>
        <w:trPr>
          <w:trHeight w:val="450" w:hRule="atLeast"/>
          <w:tblCellSpacing w:w="0" w:type="dxa"/>
          <w:jc w:val="center"/>
        </w:trPr>
        <w:tc>
          <w:tcPr>
            <w:tcW w:w="131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微软雅黑" w:hAnsi="微软雅黑" w:eastAsia="微软雅黑" w:cs="宋体"/>
                <w:color w:val="000000"/>
                <w:kern w:val="0"/>
                <w:szCs w:val="21"/>
              </w:rPr>
            </w:pPr>
          </w:p>
        </w:tc>
        <w:tc>
          <w:tcPr>
            <w:tcW w:w="1378"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微软雅黑" w:hAnsi="微软雅黑" w:eastAsia="微软雅黑" w:cs="宋体"/>
                <w:color w:val="000000"/>
                <w:kern w:val="0"/>
                <w:szCs w:val="21"/>
              </w:rPr>
            </w:pPr>
          </w:p>
        </w:tc>
        <w:tc>
          <w:tcPr>
            <w:tcW w:w="603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服务平台接入市监管平台后，应尽快通过（6 个月 内）等保二级或以上（注册用户数达 30 万以上的服务平台需具有等保三级以上） 。</w:t>
            </w:r>
          </w:p>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当前已具备三级等保及以上的，得10分；</w:t>
            </w:r>
          </w:p>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当前已具备二级等保的，得5分；</w:t>
            </w:r>
          </w:p>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承诺6个月内按平台注册用户数完成相应等级保护评测的，得2分；</w:t>
            </w:r>
          </w:p>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均不满足的，得0分。</w:t>
            </w:r>
          </w:p>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注：需提供网络安全等级测评报告证明复印件或其他第三方权威机构出具的报告复印件并加盖公章，不提供不得分。</w:t>
            </w:r>
          </w:p>
        </w:tc>
        <w:tc>
          <w:tcPr>
            <w:tcW w:w="73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68" w:lineRule="atLeast"/>
              <w:jc w:val="center"/>
              <w:rPr>
                <w:rFonts w:ascii="微软雅黑" w:hAnsi="微软雅黑" w:eastAsia="微软雅黑" w:cs="宋体"/>
                <w:color w:val="000000"/>
                <w:kern w:val="0"/>
                <w:szCs w:val="21"/>
              </w:rPr>
            </w:pPr>
            <w:r>
              <w:rPr>
                <w:rFonts w:hint="eastAsia" w:ascii="仿宋_GB2312" w:hAnsi="微软雅黑" w:eastAsia="仿宋_GB2312" w:cs="宋体"/>
                <w:b/>
                <w:bCs/>
                <w:color w:val="000000"/>
                <w:kern w:val="0"/>
                <w:sz w:val="24"/>
                <w:szCs w:val="24"/>
              </w:rPr>
              <w:t>10</w:t>
            </w:r>
          </w:p>
        </w:tc>
      </w:tr>
      <w:tr>
        <w:tblPrEx>
          <w:tblCellMar>
            <w:top w:w="0" w:type="dxa"/>
            <w:left w:w="0" w:type="dxa"/>
            <w:bottom w:w="0" w:type="dxa"/>
            <w:right w:w="0" w:type="dxa"/>
          </w:tblCellMar>
        </w:tblPrEx>
        <w:trPr>
          <w:trHeight w:val="1964" w:hRule="atLeast"/>
          <w:tblCellSpacing w:w="0" w:type="dxa"/>
          <w:jc w:val="center"/>
        </w:trPr>
        <w:tc>
          <w:tcPr>
            <w:tcW w:w="131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微软雅黑" w:hAnsi="微软雅黑" w:eastAsia="微软雅黑" w:cs="宋体"/>
                <w:color w:val="000000"/>
                <w:kern w:val="0"/>
                <w:szCs w:val="21"/>
              </w:rPr>
            </w:pPr>
          </w:p>
        </w:tc>
        <w:tc>
          <w:tcPr>
            <w:tcW w:w="1378" w:type="dxa"/>
            <w:tcBorders>
              <w:top w:val="single" w:color="auto" w:sz="4" w:space="0"/>
              <w:left w:val="single" w:color="auto" w:sz="6" w:space="0"/>
              <w:bottom w:val="single" w:color="auto" w:sz="6" w:space="0"/>
              <w:right w:val="single" w:color="auto" w:sz="6" w:space="0"/>
            </w:tcBorders>
            <w:vAlign w:val="center"/>
          </w:tcPr>
          <w:p>
            <w:pPr>
              <w:jc w:val="center"/>
            </w:pPr>
            <w:r>
              <w:rPr>
                <w:rFonts w:hint="eastAsia"/>
              </w:rPr>
              <w:t>应</w:t>
            </w:r>
            <w:r>
              <w:rPr>
                <w:rFonts w:hint="eastAsia" w:ascii="仿宋_GB2312" w:hAnsi="微软雅黑" w:eastAsia="仿宋_GB2312" w:cs="宋体"/>
                <w:color w:val="000000"/>
                <w:kern w:val="0"/>
                <w:sz w:val="24"/>
                <w:szCs w:val="24"/>
              </w:rPr>
              <w:t>急方案或措施方案</w:t>
            </w:r>
          </w:p>
        </w:tc>
        <w:tc>
          <w:tcPr>
            <w:tcW w:w="603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adjustRightInd w:val="0"/>
              <w:snapToGrid w:val="0"/>
              <w:jc w:val="left"/>
              <w:rPr>
                <w:rFonts w:ascii="仿宋_GB2312" w:hAnsi="微软雅黑" w:eastAsia="仿宋_GB2312" w:cs="宋体"/>
                <w:color w:val="000000"/>
                <w:kern w:val="0"/>
                <w:sz w:val="24"/>
                <w:szCs w:val="24"/>
              </w:rPr>
            </w:pPr>
            <w:r>
              <w:rPr>
                <w:rFonts w:hint="eastAsia" w:ascii="仿宋_GB2312" w:hAnsi="微软雅黑" w:eastAsia="仿宋_GB2312" w:cs="宋体"/>
                <w:color w:val="000000"/>
                <w:kern w:val="0"/>
                <w:sz w:val="24"/>
                <w:szCs w:val="24"/>
              </w:rPr>
              <w:t>根据投标人提供的应急方案或措施方案（承诺对突发事件的应急服务预案）进行评分。</w:t>
            </w:r>
          </w:p>
          <w:p>
            <w:pPr>
              <w:adjustRightInd w:val="0"/>
              <w:snapToGrid w:val="0"/>
              <w:jc w:val="left"/>
              <w:rPr>
                <w:rFonts w:ascii="仿宋_GB2312" w:hAnsi="微软雅黑" w:eastAsia="仿宋_GB2312" w:cs="宋体"/>
                <w:color w:val="000000"/>
                <w:kern w:val="0"/>
                <w:sz w:val="24"/>
                <w:szCs w:val="24"/>
              </w:rPr>
            </w:pPr>
            <w:r>
              <w:rPr>
                <w:rFonts w:hint="eastAsia" w:ascii="仿宋_GB2312" w:hAnsi="微软雅黑" w:eastAsia="仿宋_GB2312" w:cs="宋体"/>
                <w:color w:val="000000"/>
                <w:kern w:val="0"/>
                <w:sz w:val="24"/>
                <w:szCs w:val="24"/>
              </w:rPr>
              <w:t>①方案结合实际、详细，科学可行的，得5分。</w:t>
            </w:r>
          </w:p>
          <w:p>
            <w:pPr>
              <w:adjustRightInd w:val="0"/>
              <w:snapToGrid w:val="0"/>
              <w:jc w:val="left"/>
              <w:rPr>
                <w:rFonts w:ascii="仿宋_GB2312" w:hAnsi="微软雅黑" w:eastAsia="仿宋_GB2312" w:cs="宋体"/>
                <w:color w:val="000000"/>
                <w:kern w:val="0"/>
                <w:sz w:val="24"/>
                <w:szCs w:val="24"/>
              </w:rPr>
            </w:pPr>
            <w:r>
              <w:rPr>
                <w:rFonts w:hint="eastAsia" w:ascii="仿宋_GB2312" w:hAnsi="微软雅黑" w:eastAsia="仿宋_GB2312" w:cs="宋体"/>
                <w:color w:val="000000"/>
                <w:kern w:val="0"/>
                <w:sz w:val="24"/>
                <w:szCs w:val="24"/>
              </w:rPr>
              <w:t>②方案比较结合实际、比较详细，较为合理可行的，得3分。</w:t>
            </w:r>
          </w:p>
          <w:p>
            <w:pPr>
              <w:adjustRightInd w:val="0"/>
              <w:snapToGrid w:val="0"/>
              <w:jc w:val="left"/>
              <w:rPr>
                <w:rFonts w:ascii="仿宋_GB2312" w:hAnsi="微软雅黑" w:eastAsia="仿宋_GB2312" w:cs="宋体"/>
                <w:color w:val="000000"/>
                <w:kern w:val="0"/>
                <w:sz w:val="24"/>
                <w:szCs w:val="24"/>
              </w:rPr>
            </w:pPr>
            <w:r>
              <w:rPr>
                <w:rFonts w:hint="eastAsia" w:ascii="仿宋_GB2312" w:hAnsi="微软雅黑" w:eastAsia="仿宋_GB2312" w:cs="宋体"/>
                <w:color w:val="000000"/>
                <w:kern w:val="0"/>
                <w:sz w:val="24"/>
                <w:szCs w:val="24"/>
              </w:rPr>
              <w:t>③方案被评定为一般得1分。</w:t>
            </w:r>
          </w:p>
          <w:p>
            <w:r>
              <w:rPr>
                <w:rFonts w:hint="eastAsia" w:ascii="仿宋_GB2312" w:hAnsi="微软雅黑" w:eastAsia="仿宋_GB2312" w:cs="宋体"/>
                <w:color w:val="000000"/>
                <w:kern w:val="0"/>
                <w:sz w:val="24"/>
                <w:szCs w:val="24"/>
              </w:rPr>
              <w:t>④没有提供相关描述或被评定为不可行的不得分。</w:t>
            </w:r>
          </w:p>
        </w:tc>
        <w:tc>
          <w:tcPr>
            <w:tcW w:w="73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68" w:lineRule="atLeast"/>
              <w:jc w:val="center"/>
              <w:rPr>
                <w:rFonts w:ascii="微软雅黑" w:hAnsi="微软雅黑" w:eastAsia="微软雅黑" w:cs="宋体"/>
                <w:color w:val="000000"/>
                <w:kern w:val="0"/>
                <w:szCs w:val="21"/>
              </w:rPr>
            </w:pPr>
            <w:r>
              <w:rPr>
                <w:rFonts w:hint="eastAsia" w:ascii="仿宋_GB2312" w:hAnsi="微软雅黑" w:eastAsia="仿宋_GB2312" w:cs="宋体"/>
                <w:b/>
                <w:bCs/>
                <w:color w:val="000000"/>
                <w:kern w:val="0"/>
                <w:sz w:val="24"/>
                <w:szCs w:val="24"/>
              </w:rPr>
              <w:t>5</w:t>
            </w:r>
          </w:p>
        </w:tc>
      </w:tr>
      <w:tr>
        <w:tblPrEx>
          <w:tblCellMar>
            <w:top w:w="0" w:type="dxa"/>
            <w:left w:w="0" w:type="dxa"/>
            <w:bottom w:w="0" w:type="dxa"/>
            <w:right w:w="0" w:type="dxa"/>
          </w:tblCellMar>
        </w:tblPrEx>
        <w:trPr>
          <w:trHeight w:val="90" w:hRule="atLeast"/>
          <w:tblCellSpacing w:w="0" w:type="dxa"/>
          <w:jc w:val="center"/>
        </w:trPr>
        <w:tc>
          <w:tcPr>
            <w:tcW w:w="131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微软雅黑" w:hAnsi="微软雅黑" w:eastAsia="微软雅黑" w:cs="宋体"/>
                <w:color w:val="000000"/>
                <w:kern w:val="0"/>
                <w:szCs w:val="21"/>
              </w:rPr>
            </w:pPr>
          </w:p>
        </w:tc>
        <w:tc>
          <w:tcPr>
            <w:tcW w:w="137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90" w:lineRule="atLeast"/>
              <w:jc w:val="center"/>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平台技术和性能要求响应程度</w:t>
            </w:r>
          </w:p>
        </w:tc>
        <w:tc>
          <w:tcPr>
            <w:tcW w:w="603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90" w:lineRule="atLeast"/>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条款全部满足招标文件要求的得15分，每一项条款负偏离扣1分，扣完为止。详见附件2：《神湾镇义务教育阶段课后服务管理平台技术和性能要求》</w:t>
            </w:r>
          </w:p>
        </w:tc>
        <w:tc>
          <w:tcPr>
            <w:tcW w:w="73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90" w:lineRule="atLeast"/>
              <w:jc w:val="center"/>
              <w:rPr>
                <w:rFonts w:ascii="微软雅黑" w:hAnsi="微软雅黑" w:eastAsia="微软雅黑" w:cs="宋体"/>
                <w:color w:val="000000"/>
                <w:kern w:val="0"/>
                <w:szCs w:val="21"/>
              </w:rPr>
            </w:pPr>
            <w:r>
              <w:rPr>
                <w:rFonts w:hint="eastAsia" w:ascii="仿宋_GB2312" w:hAnsi="微软雅黑" w:eastAsia="仿宋_GB2312" w:cs="宋体"/>
                <w:b/>
                <w:bCs/>
                <w:color w:val="000000"/>
                <w:kern w:val="0"/>
                <w:sz w:val="24"/>
                <w:szCs w:val="24"/>
              </w:rPr>
              <w:t>15</w:t>
            </w:r>
          </w:p>
        </w:tc>
      </w:tr>
      <w:tr>
        <w:tblPrEx>
          <w:tblCellMar>
            <w:top w:w="0" w:type="dxa"/>
            <w:left w:w="0" w:type="dxa"/>
            <w:bottom w:w="0" w:type="dxa"/>
            <w:right w:w="0" w:type="dxa"/>
          </w:tblCellMar>
        </w:tblPrEx>
        <w:trPr>
          <w:trHeight w:val="2745" w:hRule="atLeast"/>
          <w:tblCellSpacing w:w="0" w:type="dxa"/>
          <w:jc w:val="center"/>
        </w:trPr>
        <w:tc>
          <w:tcPr>
            <w:tcW w:w="131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微软雅黑" w:hAnsi="微软雅黑" w:eastAsia="微软雅黑" w:cs="宋体"/>
                <w:color w:val="000000"/>
                <w:kern w:val="0"/>
                <w:szCs w:val="21"/>
              </w:rPr>
            </w:pPr>
          </w:p>
        </w:tc>
        <w:tc>
          <w:tcPr>
            <w:tcW w:w="137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68" w:lineRule="atLeast"/>
              <w:jc w:val="center"/>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基本要求及运营要求响应程度</w:t>
            </w:r>
          </w:p>
        </w:tc>
        <w:tc>
          <w:tcPr>
            <w:tcW w:w="603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根据投标人对本项目的理解程度及服务方案（制订详细的服务方案，引导学校高效开展校内课后服务工作）进行评分。</w:t>
            </w:r>
          </w:p>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1.对本项目</w:t>
            </w:r>
            <w:bookmarkStart w:id="0" w:name="_GoBack"/>
            <w:bookmarkEnd w:id="0"/>
            <w:r>
              <w:rPr>
                <w:rFonts w:hint="eastAsia" w:ascii="仿宋_GB2312" w:hAnsi="微软雅黑" w:eastAsia="仿宋_GB2312" w:cs="宋体"/>
                <w:color w:val="000000"/>
                <w:kern w:val="0"/>
                <w:sz w:val="24"/>
                <w:szCs w:val="24"/>
              </w:rPr>
              <w:t>的理解透彻，服务方案详细、流程清晰、标准明确、各项工作工具齐全的，得10分。</w:t>
            </w:r>
          </w:p>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2.对本项目的理解较为清晰，服务方案较为详细、流程较清晰、标准较明确、有相应工具的，得5分。</w:t>
            </w:r>
          </w:p>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3.对本项目的理解一般，服务方案一般的，得3分。</w:t>
            </w:r>
          </w:p>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4.对本项目的理解不够清晰，服务方案简单、流程不够清晰、标准不够明确、管理工具欠缺的，得1分。</w:t>
            </w:r>
          </w:p>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5.没有提供相关描述或被评定为不可行的不得分。</w:t>
            </w:r>
          </w:p>
        </w:tc>
        <w:tc>
          <w:tcPr>
            <w:tcW w:w="73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68" w:lineRule="atLeast"/>
              <w:jc w:val="center"/>
              <w:rPr>
                <w:rFonts w:ascii="微软雅黑" w:hAnsi="微软雅黑" w:eastAsia="微软雅黑" w:cs="宋体"/>
                <w:color w:val="000000"/>
                <w:kern w:val="0"/>
                <w:szCs w:val="21"/>
              </w:rPr>
            </w:pPr>
            <w:r>
              <w:rPr>
                <w:rFonts w:hint="eastAsia" w:ascii="仿宋_GB2312" w:hAnsi="微软雅黑" w:eastAsia="仿宋_GB2312" w:cs="宋体"/>
                <w:b/>
                <w:bCs/>
                <w:color w:val="000000"/>
                <w:kern w:val="0"/>
                <w:sz w:val="24"/>
                <w:szCs w:val="24"/>
              </w:rPr>
              <w:t>10</w:t>
            </w:r>
          </w:p>
        </w:tc>
      </w:tr>
      <w:tr>
        <w:tblPrEx>
          <w:tblCellMar>
            <w:top w:w="0" w:type="dxa"/>
            <w:left w:w="0" w:type="dxa"/>
            <w:bottom w:w="0" w:type="dxa"/>
            <w:right w:w="0" w:type="dxa"/>
          </w:tblCellMar>
        </w:tblPrEx>
        <w:trPr>
          <w:tblCellSpacing w:w="0" w:type="dxa"/>
          <w:jc w:val="center"/>
        </w:trPr>
        <w:tc>
          <w:tcPr>
            <w:tcW w:w="131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微软雅黑" w:hAnsi="微软雅黑" w:eastAsia="微软雅黑" w:cs="宋体"/>
                <w:color w:val="000000"/>
                <w:kern w:val="0"/>
                <w:szCs w:val="21"/>
              </w:rPr>
            </w:pPr>
          </w:p>
        </w:tc>
        <w:tc>
          <w:tcPr>
            <w:tcW w:w="137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68" w:lineRule="atLeast"/>
              <w:jc w:val="center"/>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现场演示</w:t>
            </w:r>
          </w:p>
          <w:p>
            <w:pPr>
              <w:widowControl/>
              <w:spacing w:line="368" w:lineRule="atLeast"/>
              <w:jc w:val="center"/>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 </w:t>
            </w:r>
          </w:p>
        </w:tc>
        <w:tc>
          <w:tcPr>
            <w:tcW w:w="603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中小学生校内课后服务平台以下功能演示：</w:t>
            </w:r>
          </w:p>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1.发布托管服务、订餐服务；</w:t>
            </w:r>
          </w:p>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2.课程分类查看；</w:t>
            </w:r>
          </w:p>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3.课程或订餐项目报名缴费；</w:t>
            </w:r>
          </w:p>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4.任课老师签到、学生出勤管理、点评学生；</w:t>
            </w:r>
          </w:p>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5.学校管理员对托管课程评分；</w:t>
            </w:r>
          </w:p>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6.家长发起停餐登记，班主任审核；</w:t>
            </w:r>
          </w:p>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7.一键催缴；</w:t>
            </w:r>
          </w:p>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8.班主任操作取消报名和新增报名；</w:t>
            </w:r>
          </w:p>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9.学生动态功能；</w:t>
            </w:r>
          </w:p>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10.多种服务信息统计报表等功能。</w:t>
            </w:r>
          </w:p>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每项功能得2分，本项最高得20分。本项评分以现场演示为评审依据，不提供演示或演示内容不符合相关要求的不得分。投标人需自备演示所需平台系统等资料，演示时间不得超过15分钟。</w:t>
            </w:r>
          </w:p>
        </w:tc>
        <w:tc>
          <w:tcPr>
            <w:tcW w:w="73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68" w:lineRule="atLeast"/>
              <w:jc w:val="center"/>
              <w:rPr>
                <w:rFonts w:ascii="微软雅黑" w:hAnsi="微软雅黑" w:eastAsia="微软雅黑" w:cs="宋体"/>
                <w:color w:val="000000"/>
                <w:kern w:val="0"/>
                <w:szCs w:val="21"/>
              </w:rPr>
            </w:pPr>
            <w:r>
              <w:rPr>
                <w:rFonts w:hint="eastAsia" w:ascii="仿宋_GB2312" w:hAnsi="微软雅黑" w:eastAsia="仿宋_GB2312" w:cs="宋体"/>
                <w:b/>
                <w:bCs/>
                <w:color w:val="000000"/>
                <w:kern w:val="0"/>
                <w:sz w:val="24"/>
                <w:szCs w:val="24"/>
              </w:rPr>
              <w:t>20</w:t>
            </w:r>
          </w:p>
        </w:tc>
      </w:tr>
      <w:tr>
        <w:tblPrEx>
          <w:tblCellMar>
            <w:top w:w="0" w:type="dxa"/>
            <w:left w:w="0" w:type="dxa"/>
            <w:bottom w:w="0" w:type="dxa"/>
            <w:right w:w="0" w:type="dxa"/>
          </w:tblCellMar>
        </w:tblPrEx>
        <w:trPr>
          <w:trHeight w:val="90" w:hRule="atLeast"/>
          <w:tblCellSpacing w:w="0" w:type="dxa"/>
          <w:jc w:val="center"/>
        </w:trPr>
        <w:tc>
          <w:tcPr>
            <w:tcW w:w="131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微软雅黑" w:hAnsi="微软雅黑" w:eastAsia="微软雅黑" w:cs="宋体"/>
                <w:color w:val="000000"/>
                <w:kern w:val="0"/>
                <w:szCs w:val="21"/>
              </w:rPr>
            </w:pPr>
          </w:p>
        </w:tc>
        <w:tc>
          <w:tcPr>
            <w:tcW w:w="137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90" w:lineRule="atLeast"/>
              <w:ind w:right="30"/>
              <w:jc w:val="center"/>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资金监管方案</w:t>
            </w:r>
          </w:p>
        </w:tc>
        <w:tc>
          <w:tcPr>
            <w:tcW w:w="603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服务平台使用国资银行开设的存管账户，对家长在平台上的缴费资金进行穿透订单管理，并在技术上可协助提供银行API接口向市教育体育局监管平台推送存管账户资金的往来数据。</w:t>
            </w:r>
          </w:p>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根据中小学校内课后服务平台对资金监管及教师补贴发放方案进行评分。</w:t>
            </w:r>
          </w:p>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1.具备资金监管及教师补贴发放方案且详细、流程清晰的，得10分。</w:t>
            </w:r>
          </w:p>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2.具备资金监管及教师补贴发放方案且较详细、流程较清晰的，得5分。</w:t>
            </w:r>
          </w:p>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3.具备且资金监管及教师补贴发放方案一般详细、流程一般清晰的，得3分。</w:t>
            </w:r>
          </w:p>
          <w:p>
            <w:pPr>
              <w:widowControl/>
              <w:spacing w:line="90" w:lineRule="atLeast"/>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4.没有提供资金监管及教师补贴发放方案的不得分。</w:t>
            </w:r>
          </w:p>
        </w:tc>
        <w:tc>
          <w:tcPr>
            <w:tcW w:w="73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90" w:lineRule="atLeast"/>
              <w:ind w:right="30"/>
              <w:jc w:val="center"/>
              <w:rPr>
                <w:rFonts w:ascii="微软雅黑" w:hAnsi="微软雅黑" w:eastAsia="微软雅黑" w:cs="宋体"/>
                <w:color w:val="000000"/>
                <w:kern w:val="0"/>
                <w:szCs w:val="21"/>
              </w:rPr>
            </w:pPr>
            <w:r>
              <w:rPr>
                <w:rFonts w:hint="eastAsia" w:ascii="仿宋_GB2312" w:hAnsi="微软雅黑" w:eastAsia="仿宋_GB2312" w:cs="宋体"/>
                <w:b/>
                <w:bCs/>
                <w:color w:val="000000"/>
                <w:kern w:val="0"/>
                <w:sz w:val="24"/>
                <w:szCs w:val="24"/>
              </w:rPr>
              <w:t>10</w:t>
            </w:r>
          </w:p>
        </w:tc>
      </w:tr>
      <w:tr>
        <w:tblPrEx>
          <w:tblCellMar>
            <w:top w:w="0" w:type="dxa"/>
            <w:left w:w="0" w:type="dxa"/>
            <w:bottom w:w="0" w:type="dxa"/>
            <w:right w:w="0" w:type="dxa"/>
          </w:tblCellMar>
        </w:tblPrEx>
        <w:trPr>
          <w:trHeight w:val="7923" w:hRule="atLeast"/>
          <w:tblCellSpacing w:w="0" w:type="dxa"/>
          <w:jc w:val="center"/>
        </w:trPr>
        <w:tc>
          <w:tcPr>
            <w:tcW w:w="131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68" w:lineRule="atLeast"/>
              <w:jc w:val="center"/>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其他内容（15 %）</w:t>
            </w:r>
          </w:p>
        </w:tc>
        <w:tc>
          <w:tcPr>
            <w:tcW w:w="137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68" w:lineRule="atLeast"/>
              <w:ind w:right="30"/>
              <w:jc w:val="center"/>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增值服务</w:t>
            </w:r>
          </w:p>
        </w:tc>
        <w:tc>
          <w:tcPr>
            <w:tcW w:w="603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除了满足需求书中要求的功能外，需对投标平台针对校园课后服务的配套功能模块进行考察，如能额外提供有益于学校对课后服务的配套管理功能模块的，则获得增值服务分值。增值服务包括：</w:t>
            </w:r>
          </w:p>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1.能够为校外服务机构人员进出校园提供人员安全审查管理；</w:t>
            </w:r>
          </w:p>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2.</w:t>
            </w:r>
            <w:r>
              <w:rPr>
                <w:rFonts w:ascii="微软雅黑" w:hAnsi="微软雅黑" w:eastAsia="微软雅黑" w:cs="宋体"/>
                <w:color w:val="000000"/>
                <w:kern w:val="0"/>
                <w:szCs w:val="21"/>
              </w:rPr>
              <w:t xml:space="preserve"> </w:t>
            </w:r>
            <w:r>
              <w:rPr>
                <w:rFonts w:hint="eastAsia" w:ascii="仿宋_GB2312" w:hAnsi="微软雅黑" w:eastAsia="仿宋_GB2312" w:cs="宋体"/>
                <w:color w:val="000000"/>
                <w:kern w:val="0"/>
                <w:sz w:val="24"/>
                <w:szCs w:val="24"/>
              </w:rPr>
              <w:t>为有效解决放学校门拥堵情况，能够为学校提供成熟、稳定的学生接送管理解决方案；</w:t>
            </w:r>
          </w:p>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3.能够为学校提供有效的触达家长的通知发送渠道，包括但不仅限于：短信推送、微信推送等；</w:t>
            </w:r>
          </w:p>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4.系统成熟稳定，能提供完整的校园基础数据体系，无需学校进行重复数据处理工作。</w:t>
            </w:r>
          </w:p>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5.落实课后服务安全监管职责，制定并严格落实考勤、监管、交接班制度和应急预案措施，切实消除场地、设施、设备、消防、食品卫生、安全保卫等方面的安全隐患，确保师生人身安全。</w:t>
            </w:r>
          </w:p>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6.落实第三方机构教师及课程监管，确保进入学校任教的教师符合相关资质，课程内容符合国家要求。</w:t>
            </w:r>
          </w:p>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7.能够做好全流程服务支撑，线上随时响应，7*24小时技术远程支撑；线下迅速响应，专业服务团队2小时内能入校提供技术服务。</w:t>
            </w:r>
          </w:p>
          <w:p>
            <w:pPr>
              <w:widowControl/>
              <w:jc w:val="left"/>
              <w:rPr>
                <w:rFonts w:ascii="仿宋_GB2312" w:hAnsi="微软雅黑" w:eastAsia="仿宋_GB2312" w:cs="宋体"/>
                <w:color w:val="000000"/>
                <w:kern w:val="0"/>
                <w:sz w:val="24"/>
                <w:szCs w:val="24"/>
              </w:rPr>
            </w:pPr>
            <w:r>
              <w:rPr>
                <w:rFonts w:hint="eastAsia" w:ascii="仿宋_GB2312" w:hAnsi="微软雅黑" w:eastAsia="仿宋_GB2312" w:cs="宋体"/>
                <w:color w:val="000000"/>
                <w:kern w:val="0"/>
                <w:sz w:val="24"/>
                <w:szCs w:val="24"/>
              </w:rPr>
              <w:t>8.能根据使用和需求反馈，及时升级平台功能。</w:t>
            </w:r>
          </w:p>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9.其他增值服务。</w:t>
            </w:r>
          </w:p>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以上增值服务模块，每满足一项得2分，最高得15分。</w:t>
            </w:r>
          </w:p>
        </w:tc>
        <w:tc>
          <w:tcPr>
            <w:tcW w:w="73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68" w:lineRule="atLeast"/>
              <w:ind w:right="30"/>
              <w:jc w:val="center"/>
              <w:rPr>
                <w:rFonts w:ascii="微软雅黑" w:hAnsi="微软雅黑" w:eastAsia="微软雅黑" w:cs="宋体"/>
                <w:color w:val="000000"/>
                <w:kern w:val="0"/>
                <w:szCs w:val="21"/>
              </w:rPr>
            </w:pPr>
            <w:r>
              <w:rPr>
                <w:rFonts w:hint="eastAsia" w:ascii="仿宋_GB2312" w:hAnsi="微软雅黑" w:eastAsia="仿宋_GB2312" w:cs="宋体"/>
                <w:b/>
                <w:bCs/>
                <w:color w:val="000000"/>
                <w:kern w:val="0"/>
                <w:sz w:val="24"/>
                <w:szCs w:val="24"/>
              </w:rPr>
              <w:t>15</w:t>
            </w:r>
          </w:p>
        </w:tc>
      </w:tr>
      <w:tr>
        <w:tblPrEx>
          <w:tblCellMar>
            <w:top w:w="0" w:type="dxa"/>
            <w:left w:w="0" w:type="dxa"/>
            <w:bottom w:w="0" w:type="dxa"/>
            <w:right w:w="0" w:type="dxa"/>
          </w:tblCellMar>
        </w:tblPrEx>
        <w:trPr>
          <w:trHeight w:val="821" w:hRule="atLeast"/>
          <w:tblCellSpacing w:w="0" w:type="dxa"/>
          <w:jc w:val="center"/>
        </w:trPr>
        <w:tc>
          <w:tcPr>
            <w:tcW w:w="2694" w:type="dxa"/>
            <w:gridSpan w:val="2"/>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68" w:lineRule="atLeast"/>
              <w:ind w:right="30"/>
              <w:jc w:val="center"/>
              <w:rPr>
                <w:rFonts w:ascii="微软雅黑" w:hAnsi="微软雅黑" w:eastAsia="微软雅黑" w:cs="宋体"/>
                <w:color w:val="000000"/>
                <w:kern w:val="0"/>
                <w:szCs w:val="21"/>
              </w:rPr>
            </w:pPr>
            <w:r>
              <w:rPr>
                <w:rFonts w:hint="eastAsia" w:ascii="仿宋_GB2312" w:hAnsi="微软雅黑" w:eastAsia="仿宋_GB2312" w:cs="宋体"/>
                <w:color w:val="000000"/>
                <w:kern w:val="0"/>
                <w:sz w:val="24"/>
                <w:szCs w:val="24"/>
              </w:rPr>
              <w:t>合计</w:t>
            </w:r>
          </w:p>
        </w:tc>
        <w:tc>
          <w:tcPr>
            <w:tcW w:w="603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73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68" w:lineRule="atLeast"/>
              <w:ind w:right="30"/>
              <w:jc w:val="center"/>
              <w:rPr>
                <w:rFonts w:ascii="微软雅黑" w:hAnsi="微软雅黑" w:eastAsia="微软雅黑" w:cs="宋体"/>
                <w:color w:val="000000"/>
                <w:kern w:val="0"/>
                <w:szCs w:val="21"/>
              </w:rPr>
            </w:pPr>
            <w:r>
              <w:rPr>
                <w:rFonts w:hint="eastAsia" w:ascii="仿宋_GB2312" w:hAnsi="微软雅黑" w:eastAsia="仿宋_GB2312" w:cs="宋体"/>
                <w:b/>
                <w:bCs/>
                <w:color w:val="000000"/>
                <w:kern w:val="0"/>
                <w:sz w:val="24"/>
                <w:szCs w:val="24"/>
              </w:rPr>
              <w:t>100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3513E"/>
    <w:rsid w:val="7073513E"/>
    <w:rsid w:val="7D515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中山市神湾镇人民政府</Company>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2021-11-09T10:13:00Z</dcterms:created>
  <dc:creator>黄嘉乐</dc:creator>
  <cp:lastModifiedBy>高美良</cp:lastModifiedBy>
  <dcterms:modified xsi:type="dcterms:W3CDTF">2022-05-27T07:21:05Z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