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  <w:t>附件</w:t>
      </w:r>
      <w:r>
        <w:rPr>
          <w:rFonts w:ascii="微软雅黑" w:hAnsi="微软雅黑" w:eastAsia="微软雅黑" w:cs="宋体"/>
          <w:color w:val="424242"/>
          <w:kern w:val="0"/>
          <w:sz w:val="27"/>
          <w:szCs w:val="27"/>
        </w:rPr>
        <w:t>1</w:t>
      </w:r>
    </w:p>
    <w:p>
      <w:pPr>
        <w:widowControl/>
        <w:shd w:val="clear" w:color="auto" w:fill="FFFFFF"/>
        <w:wordWrap w:val="0"/>
        <w:spacing w:after="150" w:line="540" w:lineRule="atLeast"/>
        <w:jc w:val="center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  <w:t>　　</w:t>
      </w:r>
      <w:r>
        <w:rPr>
          <w:rFonts w:hint="eastAsia" w:ascii="微软雅黑" w:hAnsi="微软雅黑" w:eastAsia="微软雅黑" w:cs="Times New Roman"/>
          <w:color w:val="424242"/>
          <w:sz w:val="27"/>
          <w:szCs w:val="27"/>
        </w:rPr>
        <w:t>中山火炬开发区上下陂头片区改造意愿调查成果统计表</w:t>
      </w:r>
    </w:p>
    <w:p>
      <w:pPr>
        <w:widowControl/>
        <w:shd w:val="clear" w:color="auto" w:fill="FFFFFF"/>
        <w:wordWrap w:val="0"/>
        <w:spacing w:after="150" w:line="540" w:lineRule="atLeast"/>
        <w:jc w:val="left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  <w:t>　　表一：中山火炬开发区上下陂头片区改造意愿调查成果统计表（集体土地）</w:t>
      </w:r>
    </w:p>
    <w:tbl>
      <w:tblPr>
        <w:tblStyle w:val="3"/>
        <w:tblW w:w="13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32"/>
        <w:gridCol w:w="1616"/>
        <w:gridCol w:w="1399"/>
        <w:gridCol w:w="1261"/>
        <w:gridCol w:w="1079"/>
        <w:gridCol w:w="1725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426" w:type="dxa"/>
            <w:gridSpan w:val="8"/>
            <w:vAlign w:val="center"/>
          </w:tcPr>
          <w:p>
            <w:pPr>
              <w:jc w:val="left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 xml:space="preserve">调查单位： 中山火炬高技术产业开发区管理委员会     </w:t>
            </w:r>
            <w:r>
              <w:rPr>
                <w:rFonts w:hint="eastAsia" w:ascii="等线" w:hAnsi="等线" w:eastAsia="等线" w:cs="Times New Roman"/>
                <w:szCs w:val="22"/>
              </w:rPr>
              <w:br w:type="textWrapping"/>
            </w:r>
            <w:r>
              <w:rPr>
                <w:rFonts w:hint="eastAsia" w:ascii="等线" w:hAnsi="等线" w:eastAsia="等线" w:cs="Times New Roman"/>
                <w:szCs w:val="22"/>
              </w:rPr>
              <w:t>调查时间：2021年10月31日至2022年3月31日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土地</w:t>
            </w:r>
            <w:r>
              <w:rPr>
                <w:rFonts w:hint="eastAsia" w:ascii="等线" w:hAnsi="等线" w:eastAsia="等线" w:cs="Times New Roman"/>
                <w:szCs w:val="22"/>
              </w:rPr>
              <w:br w:type="textWrapping"/>
            </w:r>
            <w:r>
              <w:rPr>
                <w:rFonts w:hint="eastAsia" w:ascii="等线" w:hAnsi="等线" w:eastAsia="等线" w:cs="Times New Roman"/>
                <w:szCs w:val="22"/>
              </w:rPr>
              <w:t>性质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权利人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土地面积（㎡）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总人数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同意人数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同意比例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集体</w:t>
            </w:r>
          </w:p>
        </w:tc>
        <w:tc>
          <w:tcPr>
            <w:tcW w:w="732" w:type="dxa"/>
            <w:vMerge w:val="restart"/>
            <w:noWrap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中山火炬开发区濠头上陂头股份合作经济社</w:t>
            </w: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109640.87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371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347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93.53%</w:t>
            </w:r>
          </w:p>
        </w:tc>
        <w:tc>
          <w:tcPr>
            <w:tcW w:w="5055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权利人数及土地面积均为意愿调查阶段摸查所得。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中山火炬开发区濠头下陂头股份合作经济社</w:t>
            </w: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77740.00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457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371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81.18%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3015" w:type="dxa"/>
            <w:gridSpan w:val="2"/>
            <w:noWrap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集体土地上盖建筑物合法权利人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351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302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86.04%</w:t>
            </w:r>
          </w:p>
        </w:tc>
        <w:tc>
          <w:tcPr>
            <w:tcW w:w="505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426" w:type="dxa"/>
            <w:gridSpan w:val="8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说明：根据《中山市旧村庄旧城镇全面改造实施细则》规定，改造涉及集体土地（边角地、插花地、夹心地除外）的，改造意愿及实施方式应当取得村集体成员股东代表80%以上以及集体土地上盖建筑物合法权利人80%以上签名同意。</w:t>
            </w:r>
          </w:p>
        </w:tc>
      </w:tr>
    </w:tbl>
    <w:p>
      <w:pPr>
        <w:jc w:val="left"/>
        <w:rPr>
          <w:rFonts w:ascii="等线" w:hAnsi="等线" w:eastAsia="等线" w:cs="Times New Roman"/>
          <w:szCs w:val="22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ascii="等线" w:hAnsi="等线" w:eastAsia="等线" w:cs="Times New Roman"/>
          <w:szCs w:val="22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  <w:bookmarkStart w:id="0" w:name="_GoBack"/>
      <w:bookmarkEnd w:id="0"/>
    </w:p>
    <w:p>
      <w:pPr>
        <w:jc w:val="left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  <w:t>表二：中山火炬开发区上下陂头片区改造意愿调查成果统计表（国有土地）</w:t>
      </w:r>
    </w:p>
    <w:tbl>
      <w:tblPr>
        <w:tblStyle w:val="3"/>
        <w:tblW w:w="13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90"/>
        <w:gridCol w:w="1931"/>
        <w:gridCol w:w="870"/>
        <w:gridCol w:w="1626"/>
        <w:gridCol w:w="1416"/>
        <w:gridCol w:w="1416"/>
        <w:gridCol w:w="1626"/>
        <w:gridCol w:w="1551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561" w:type="dxa"/>
            <w:gridSpan w:val="10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 xml:space="preserve">调查单位：中山火炬高技术产业开发区管理委员会  </w:t>
            </w:r>
            <w:r>
              <w:rPr>
                <w:rFonts w:hint="eastAsia" w:ascii="等线" w:hAnsi="等线" w:eastAsia="等线" w:cs="Times New Roman"/>
                <w:szCs w:val="22"/>
              </w:rPr>
              <w:br w:type="textWrapping"/>
            </w:r>
            <w:r>
              <w:rPr>
                <w:rFonts w:hint="eastAsia" w:ascii="等线" w:hAnsi="等线" w:eastAsia="等线" w:cs="Times New Roman"/>
                <w:szCs w:val="22"/>
              </w:rPr>
              <w:t>调查时间：2021年10月31日至2022年3月31日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土地</w:t>
            </w:r>
            <w:r>
              <w:rPr>
                <w:rFonts w:hint="eastAsia" w:ascii="等线" w:hAnsi="等线" w:eastAsia="等线" w:cs="Times New Roman"/>
                <w:szCs w:val="22"/>
              </w:rPr>
              <w:br w:type="textWrapping"/>
            </w:r>
            <w:r>
              <w:rPr>
                <w:rFonts w:hint="eastAsia" w:ascii="等线" w:hAnsi="等线" w:eastAsia="等线" w:cs="Times New Roman"/>
                <w:szCs w:val="22"/>
              </w:rPr>
              <w:t>性质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序号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权利人类型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地块数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土地面积（㎡）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权利人总数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同意的权利</w:t>
            </w:r>
            <w:r>
              <w:rPr>
                <w:rFonts w:hint="eastAsia" w:ascii="等线" w:hAnsi="等线" w:eastAsia="等线" w:cs="Times New Roman"/>
                <w:szCs w:val="22"/>
              </w:rPr>
              <w:br w:type="textWrapping"/>
            </w:r>
            <w:r>
              <w:rPr>
                <w:rFonts w:hint="eastAsia" w:ascii="等线" w:hAnsi="等线" w:eastAsia="等线" w:cs="Times New Roman"/>
                <w:szCs w:val="22"/>
              </w:rPr>
              <w:t>人数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同意的土地面积（㎡）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土地面积</w:t>
            </w:r>
            <w:r>
              <w:rPr>
                <w:rFonts w:hint="eastAsia" w:ascii="等线" w:hAnsi="等线" w:eastAsia="等线" w:cs="Times New Roman"/>
                <w:szCs w:val="22"/>
              </w:rPr>
              <w:br w:type="textWrapping"/>
            </w:r>
            <w:r>
              <w:rPr>
                <w:rFonts w:hint="eastAsia" w:ascii="等线" w:hAnsi="等线" w:eastAsia="等线" w:cs="Times New Roman"/>
                <w:szCs w:val="22"/>
              </w:rPr>
              <w:t>同意比例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国有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单一权利人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89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36817.39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29632.67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土地面积和建筑面积均为意愿调查阶段摸查所得，最终以政府公示的基础数据调查结果为准。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共有权利人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53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13758.38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72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9802.31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建筑物区分所有权(恒景楼1栋)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4349.49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69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68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4326.62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4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建筑物区分所有权(恒景楼2栋)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821.45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821.45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5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建筑物区分所有权(黄源德住宅楼)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1090.00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1090.00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6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建筑物区分所有权（御豪花园E栋）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755.49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10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755.49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7</w:t>
            </w:r>
          </w:p>
        </w:tc>
        <w:tc>
          <w:tcPr>
            <w:tcW w:w="1931" w:type="dxa"/>
            <w:vAlign w:val="center"/>
          </w:tcPr>
          <w:p>
            <w:pPr>
              <w:bidi w:val="0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建筑物区分所有权（刘志宏大厦）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657.09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26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26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657.09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建筑物区分所有权（锦湖居）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577.78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30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26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498.00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9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建筑物区分所有权（燕兴大厦）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1045.14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32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31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1023.90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合计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149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59872.21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——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48607.53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81.19%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3561" w:type="dxa"/>
            <w:gridSpan w:val="10"/>
          </w:tcPr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说明：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一、“单一权利人”是指只有一个权利人；“共有权利人”是指有两个以上权利人。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二、根据《中山市旧村庄旧城镇全面改造实施细则》规定：1.用地为单一权利人的，取得该权利人同意；属于共有的取得全体权利人同意；建筑物区分所有权的，经专有部分占建筑物总面积80%以上的合法权利人且占总人数80%以上的合法权利人签名同意；2．用地包含多个权属地块的，符合改造意愿条件的地块总面积占比应当不小于80%。</w:t>
            </w:r>
          </w:p>
          <w:p>
            <w:pPr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三、土地面积为意愿调查阶段摸查所得。</w:t>
            </w:r>
          </w:p>
        </w:tc>
      </w:tr>
    </w:tbl>
    <w:p>
      <w:pPr>
        <w:jc w:val="left"/>
        <w:rPr>
          <w:rFonts w:hint="eastAsia" w:ascii="微软雅黑" w:hAnsi="微软雅黑" w:eastAsia="微软雅黑" w:cs="宋体"/>
          <w:color w:val="424242"/>
          <w:kern w:val="0"/>
          <w:sz w:val="27"/>
          <w:szCs w:val="27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11687"/>
    <w:rsid w:val="2DE11687"/>
    <w:rsid w:val="302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2022-04-18T01:24:00Z</dcterms:created>
  <dc:creator>25360</dc:creator>
  <cp:lastModifiedBy>25360</cp:lastModifiedBy>
  <dcterms:modified xsi:type="dcterms:W3CDTF">2022-04-18T01:25:38Z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