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358"/>
        <w:jc w:val="center"/>
        <w:rPr>
          <w:rFonts w:ascii="仿宋" w:hAnsi="仿宋" w:eastAsia="仿宋" w:cs="方正小标宋简体"/>
          <w:b/>
          <w:bCs/>
          <w:sz w:val="44"/>
          <w:szCs w:val="44"/>
        </w:rPr>
      </w:pPr>
      <w:bookmarkStart w:id="0" w:name="_Hlk72843735"/>
    </w:p>
    <w:p>
      <w:pPr>
        <w:spacing w:line="360" w:lineRule="auto"/>
        <w:ind w:left="358"/>
        <w:jc w:val="center"/>
        <w:rPr>
          <w:rFonts w:ascii="仿宋" w:hAnsi="仿宋" w:eastAsia="仿宋" w:cs="方正小标宋简体"/>
          <w:b/>
          <w:bCs/>
          <w:sz w:val="44"/>
          <w:szCs w:val="44"/>
        </w:rPr>
      </w:pPr>
      <w:r>
        <w:rPr>
          <w:rFonts w:hint="eastAsia" w:ascii="仿宋" w:hAnsi="仿宋" w:eastAsia="仿宋" w:cs="方正小标宋简体"/>
          <w:b/>
          <w:bCs/>
          <w:sz w:val="44"/>
          <w:szCs w:val="44"/>
        </w:rPr>
        <w:t>中山市古镇镇灯都产业新城片区</w:t>
      </w:r>
    </w:p>
    <w:p>
      <w:pPr>
        <w:spacing w:line="360" w:lineRule="auto"/>
        <w:ind w:left="358"/>
        <w:jc w:val="center"/>
        <w:rPr>
          <w:rFonts w:ascii="仿宋" w:hAnsi="仿宋" w:eastAsia="仿宋" w:cs="方正小标宋简体"/>
          <w:b/>
          <w:bCs/>
          <w:sz w:val="44"/>
          <w:szCs w:val="44"/>
        </w:rPr>
      </w:pPr>
      <w:r>
        <w:rPr>
          <w:rFonts w:hint="eastAsia" w:ascii="仿宋" w:hAnsi="仿宋" w:eastAsia="仿宋" w:cs="方正小标宋简体"/>
          <w:b/>
          <w:bCs/>
          <w:sz w:val="44"/>
          <w:szCs w:val="44"/>
        </w:rPr>
        <w:t>土地征收成片开发方案</w:t>
      </w:r>
    </w:p>
    <w:bookmarkEnd w:id="0"/>
    <w:p>
      <w:pPr>
        <w:spacing w:line="360" w:lineRule="auto"/>
        <w:ind w:left="358"/>
        <w:jc w:val="center"/>
        <w:rPr>
          <w:rFonts w:ascii="仿宋" w:hAnsi="仿宋" w:eastAsia="仿宋" w:cs="方正小标宋简体"/>
          <w:b/>
          <w:bCs/>
          <w:sz w:val="40"/>
          <w:szCs w:val="40"/>
        </w:rPr>
      </w:pPr>
      <w:r>
        <w:rPr>
          <w:rFonts w:hint="eastAsia" w:ascii="仿宋" w:hAnsi="仿宋" w:eastAsia="仿宋" w:cs="方正小标宋简体"/>
          <w:b/>
          <w:bCs/>
          <w:sz w:val="40"/>
          <w:szCs w:val="40"/>
        </w:rPr>
        <w:t>（公示草案）</w:t>
      </w:r>
    </w:p>
    <w:p>
      <w:pPr>
        <w:pStyle w:val="15"/>
        <w:numPr>
          <w:ilvl w:val="0"/>
          <w:numId w:val="2"/>
        </w:numPr>
        <w:spacing w:line="360" w:lineRule="auto"/>
        <w:ind w:firstLineChars="0"/>
        <w:rPr>
          <w:rFonts w:ascii="仿宋" w:hAnsi="仿宋" w:eastAsia="仿宋"/>
          <w:b/>
          <w:bCs/>
          <w:color w:val="000000"/>
          <w:sz w:val="36"/>
          <w:szCs w:val="36"/>
        </w:rPr>
      </w:pPr>
      <w:r>
        <w:rPr>
          <w:rStyle w:val="13"/>
          <w:rFonts w:hint="default" w:ascii="仿宋" w:hAnsi="仿宋" w:eastAsia="仿宋"/>
          <w:b/>
          <w:bCs/>
          <w:sz w:val="36"/>
          <w:szCs w:val="36"/>
        </w:rPr>
        <w:t>编制依据</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依据《中华人民共和国土地管理法》（</w:t>
      </w:r>
      <w:r>
        <w:rPr>
          <w:rStyle w:val="14"/>
          <w:rFonts w:ascii="仿宋" w:hAnsi="仿宋" w:eastAsia="仿宋"/>
          <w:sz w:val="36"/>
          <w:szCs w:val="36"/>
        </w:rPr>
        <w:t>2019</w:t>
      </w:r>
      <w:r>
        <w:rPr>
          <w:rStyle w:val="13"/>
          <w:rFonts w:hint="default" w:ascii="仿宋" w:hAnsi="仿宋" w:eastAsia="仿宋"/>
          <w:sz w:val="36"/>
          <w:szCs w:val="36"/>
        </w:rPr>
        <w:t>年修订）、《自然资源部关于印发</w:t>
      </w:r>
      <w:r>
        <w:rPr>
          <w:rStyle w:val="14"/>
          <w:rFonts w:ascii="仿宋" w:hAnsi="仿宋" w:eastAsia="仿宋"/>
          <w:sz w:val="36"/>
          <w:szCs w:val="36"/>
        </w:rPr>
        <w:t>&lt;</w:t>
      </w:r>
      <w:r>
        <w:rPr>
          <w:rStyle w:val="13"/>
          <w:rFonts w:hint="default" w:ascii="仿宋" w:hAnsi="仿宋" w:eastAsia="仿宋"/>
          <w:sz w:val="36"/>
          <w:szCs w:val="36"/>
        </w:rPr>
        <w:t>土地征收成片开发标准（试行）</w:t>
      </w:r>
      <w:r>
        <w:rPr>
          <w:rStyle w:val="14"/>
          <w:rFonts w:ascii="仿宋" w:hAnsi="仿宋" w:eastAsia="仿宋"/>
          <w:sz w:val="36"/>
          <w:szCs w:val="36"/>
        </w:rPr>
        <w:t>&gt;</w:t>
      </w:r>
      <w:r>
        <w:rPr>
          <w:rStyle w:val="13"/>
          <w:rFonts w:hint="default" w:ascii="仿宋" w:hAnsi="仿宋" w:eastAsia="仿宋"/>
          <w:sz w:val="36"/>
          <w:szCs w:val="36"/>
        </w:rPr>
        <w:t>的通知》（自然资规〔</w:t>
      </w:r>
      <w:r>
        <w:rPr>
          <w:rStyle w:val="14"/>
          <w:rFonts w:ascii="仿宋" w:hAnsi="仿宋" w:eastAsia="仿宋"/>
          <w:sz w:val="36"/>
          <w:szCs w:val="36"/>
        </w:rPr>
        <w:t>2020</w:t>
      </w:r>
      <w:r>
        <w:rPr>
          <w:rStyle w:val="13"/>
          <w:rFonts w:hint="default" w:ascii="仿宋" w:hAnsi="仿宋" w:eastAsia="仿宋"/>
          <w:sz w:val="36"/>
          <w:szCs w:val="36"/>
        </w:rPr>
        <w:t>〕</w:t>
      </w:r>
      <w:r>
        <w:rPr>
          <w:rStyle w:val="14"/>
          <w:rFonts w:ascii="仿宋" w:hAnsi="仿宋" w:eastAsia="仿宋"/>
          <w:sz w:val="36"/>
          <w:szCs w:val="36"/>
        </w:rPr>
        <w:t>5</w:t>
      </w:r>
      <w:r>
        <w:rPr>
          <w:rStyle w:val="13"/>
          <w:rFonts w:hint="default" w:ascii="仿宋" w:hAnsi="仿宋" w:eastAsia="仿宋"/>
          <w:sz w:val="36"/>
          <w:szCs w:val="36"/>
        </w:rPr>
        <w:t>号）等相关文件，编制《中山市古镇镇灯都产业新城片区土地征收成片开发方案》。</w:t>
      </w:r>
    </w:p>
    <w:p>
      <w:pPr>
        <w:pStyle w:val="15"/>
        <w:numPr>
          <w:ilvl w:val="0"/>
          <w:numId w:val="2"/>
        </w:numPr>
        <w:spacing w:line="360" w:lineRule="auto"/>
        <w:ind w:firstLineChars="0"/>
        <w:rPr>
          <w:rStyle w:val="13"/>
          <w:rFonts w:hint="default" w:ascii="仿宋" w:hAnsi="仿宋" w:eastAsia="仿宋"/>
          <w:b/>
          <w:bCs/>
          <w:sz w:val="36"/>
          <w:szCs w:val="36"/>
        </w:rPr>
      </w:pPr>
      <w:r>
        <w:rPr>
          <w:rStyle w:val="13"/>
          <w:rFonts w:hint="default" w:ascii="仿宋" w:hAnsi="仿宋" w:eastAsia="仿宋"/>
          <w:b/>
          <w:bCs/>
          <w:sz w:val="36"/>
          <w:szCs w:val="36"/>
        </w:rPr>
        <w:t>基本情况</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（一）区域位置</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本次土地征收成片开发位于中山市古镇镇南端，东、南侧为横栏镇，西邻西江，与江门隔江相望，北侧为广珠城际轨道。</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（二）开发范围</w:t>
      </w:r>
    </w:p>
    <w:p>
      <w:pPr>
        <w:spacing w:line="360" w:lineRule="auto"/>
        <w:ind w:firstLine="560"/>
        <w:rPr>
          <w:rFonts w:ascii="仿宋" w:hAnsi="仿宋" w:eastAsia="仿宋"/>
          <w:sz w:val="36"/>
          <w:szCs w:val="36"/>
        </w:rPr>
      </w:pPr>
      <w:r>
        <w:rPr>
          <w:rStyle w:val="13"/>
          <w:rFonts w:hint="default" w:ascii="仿宋" w:hAnsi="仿宋" w:eastAsia="仿宋"/>
          <w:sz w:val="36"/>
          <w:szCs w:val="36"/>
        </w:rPr>
        <w:t>本次土地征收成片开发</w:t>
      </w:r>
      <w:r>
        <w:rPr>
          <w:rStyle w:val="13"/>
          <w:rFonts w:hint="eastAsia" w:ascii="仿宋" w:hAnsi="仿宋" w:eastAsia="仿宋"/>
          <w:sz w:val="36"/>
          <w:szCs w:val="36"/>
          <w:highlight w:val="none"/>
          <w:lang w:eastAsia="zh-CN"/>
        </w:rPr>
        <w:t>方案编制范围</w:t>
      </w:r>
      <w:r>
        <w:rPr>
          <w:rFonts w:hint="eastAsia" w:ascii="仿宋" w:hAnsi="仿宋" w:eastAsia="仿宋"/>
          <w:sz w:val="36"/>
          <w:szCs w:val="36"/>
        </w:rPr>
        <w:t>总面积为</w:t>
      </w:r>
      <w:r>
        <w:rPr>
          <w:rFonts w:hint="eastAsia" w:ascii="仿宋" w:hAnsi="仿宋" w:eastAsia="仿宋"/>
          <w:sz w:val="36"/>
          <w:szCs w:val="36"/>
          <w:highlight w:val="none"/>
        </w:rPr>
        <w:t>15</w:t>
      </w:r>
      <w:r>
        <w:rPr>
          <w:rFonts w:hint="eastAsia" w:ascii="仿宋" w:hAnsi="仿宋" w:eastAsia="仿宋"/>
          <w:sz w:val="36"/>
          <w:szCs w:val="36"/>
          <w:highlight w:val="none"/>
          <w:lang w:val="en-US" w:eastAsia="zh-CN"/>
        </w:rPr>
        <w:t>1</w:t>
      </w:r>
      <w:r>
        <w:rPr>
          <w:rFonts w:hint="eastAsia" w:ascii="仿宋" w:hAnsi="仿宋" w:eastAsia="仿宋"/>
          <w:sz w:val="36"/>
          <w:szCs w:val="36"/>
          <w:highlight w:val="none"/>
        </w:rPr>
        <w:t>.</w:t>
      </w:r>
      <w:r>
        <w:rPr>
          <w:rFonts w:hint="eastAsia" w:ascii="仿宋" w:hAnsi="仿宋" w:eastAsia="仿宋"/>
          <w:sz w:val="36"/>
          <w:szCs w:val="36"/>
          <w:highlight w:val="none"/>
          <w:lang w:val="en-US" w:eastAsia="zh-CN"/>
        </w:rPr>
        <w:t>9051</w:t>
      </w:r>
      <w:r>
        <w:rPr>
          <w:rFonts w:hint="eastAsia" w:ascii="仿宋" w:hAnsi="仿宋" w:eastAsia="仿宋"/>
          <w:sz w:val="36"/>
          <w:szCs w:val="36"/>
        </w:rPr>
        <w:t>公顷。拟征收冈东村股份合作经济联合社农民集体、六坊村股份合作经济联合社农民集体、冈南村股份合作经济联合社农民集体</w:t>
      </w:r>
      <w:r>
        <w:rPr>
          <w:rFonts w:hint="eastAsia" w:ascii="仿宋" w:hAnsi="仿宋" w:eastAsia="仿宋"/>
          <w:sz w:val="36"/>
          <w:szCs w:val="36"/>
          <w:lang w:eastAsia="zh-CN"/>
        </w:rPr>
        <w:t>、</w:t>
      </w:r>
      <w:r>
        <w:rPr>
          <w:rFonts w:hint="eastAsia" w:ascii="仿宋" w:hAnsi="仿宋" w:eastAsia="仿宋"/>
          <w:sz w:val="36"/>
          <w:szCs w:val="36"/>
        </w:rPr>
        <w:t>七坊村股份合作经济联合社农民集体属下的集体土地共</w:t>
      </w:r>
      <w:r>
        <w:rPr>
          <w:rStyle w:val="13"/>
          <w:rFonts w:hint="default" w:ascii="仿宋" w:hAnsi="仿宋" w:eastAsia="仿宋"/>
          <w:sz w:val="36"/>
          <w:szCs w:val="36"/>
          <w:highlight w:val="none"/>
        </w:rPr>
        <w:t>104.7027</w:t>
      </w:r>
      <w:r>
        <w:rPr>
          <w:rFonts w:hint="eastAsia" w:ascii="仿宋" w:hAnsi="仿宋" w:eastAsia="仿宋"/>
          <w:sz w:val="36"/>
          <w:szCs w:val="36"/>
        </w:rPr>
        <w:t>公顷。</w:t>
      </w:r>
    </w:p>
    <w:p>
      <w:pPr>
        <w:spacing w:line="360" w:lineRule="auto"/>
        <w:rPr>
          <w:rFonts w:ascii="仿宋" w:hAnsi="仿宋" w:eastAsia="仿宋"/>
        </w:rPr>
      </w:pPr>
    </w:p>
    <w:p>
      <w:pPr>
        <w:pStyle w:val="15"/>
        <w:numPr>
          <w:ilvl w:val="0"/>
          <w:numId w:val="2"/>
        </w:numPr>
        <w:spacing w:line="360" w:lineRule="auto"/>
        <w:ind w:firstLineChars="0"/>
        <w:rPr>
          <w:rStyle w:val="13"/>
          <w:rFonts w:hint="default" w:ascii="仿宋" w:hAnsi="仿宋" w:eastAsia="仿宋"/>
          <w:b/>
          <w:bCs/>
          <w:sz w:val="36"/>
          <w:szCs w:val="36"/>
        </w:rPr>
      </w:pPr>
      <w:r>
        <w:rPr>
          <w:rStyle w:val="13"/>
          <w:rFonts w:hint="default" w:ascii="仿宋" w:hAnsi="仿宋" w:eastAsia="仿宋"/>
          <w:b/>
          <w:bCs/>
          <w:sz w:val="36"/>
          <w:szCs w:val="36"/>
        </w:rPr>
        <w:t>成片开发条件分析</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（一）必要性分析</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本次土地征收成片开发有利于中山市建设深中产业拓展走廊、构建重大产业发展平台格局、完善区域公共配套设施、提升土地利用效益。</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（二）合规性分析</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中山市古镇镇不存在大量批而未供或者闲置土地，土地利用效率较高。本次成片开发项目已纳入国民经济和社会发展年度计划和在编国土空间规划确定的城镇开发边界预案的集中建设区，片区公益性用地比例为</w:t>
      </w:r>
      <w:r>
        <w:rPr>
          <w:rStyle w:val="13"/>
          <w:rFonts w:hint="default" w:ascii="仿宋" w:hAnsi="仿宋" w:eastAsia="仿宋"/>
          <w:sz w:val="36"/>
          <w:szCs w:val="36"/>
          <w:lang w:val="en-US"/>
        </w:rPr>
        <w:t>54.06</w:t>
      </w:r>
      <w:r>
        <w:rPr>
          <w:rStyle w:val="13"/>
          <w:rFonts w:hint="default" w:ascii="仿宋" w:hAnsi="仿宋" w:eastAsia="仿宋"/>
          <w:sz w:val="36"/>
          <w:szCs w:val="36"/>
          <w:highlight w:val="none"/>
        </w:rPr>
        <w:t>%</w:t>
      </w:r>
      <w:r>
        <w:rPr>
          <w:rStyle w:val="13"/>
          <w:rFonts w:hint="default" w:ascii="仿宋" w:hAnsi="仿宋" w:eastAsia="仿宋"/>
          <w:sz w:val="36"/>
          <w:szCs w:val="36"/>
        </w:rPr>
        <w:t xml:space="preserve">，不涉及占用永久基本农田和生态保护红线，符合土地征收成片开发标准。 </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本次土地征收成片开发方案符合国民经济和社会发展规划、土地利用总体规划、城乡规划和专项规划，做到了保护耕地、节约集约用地、保护生态环境，能够促进中山市古镇镇经济社会可持续发展。</w:t>
      </w:r>
    </w:p>
    <w:p>
      <w:pPr>
        <w:pStyle w:val="15"/>
        <w:numPr>
          <w:ilvl w:val="0"/>
          <w:numId w:val="2"/>
        </w:numPr>
        <w:spacing w:line="360" w:lineRule="auto"/>
        <w:ind w:firstLineChars="0"/>
        <w:rPr>
          <w:rStyle w:val="13"/>
          <w:rFonts w:hint="default" w:ascii="仿宋" w:hAnsi="仿宋" w:eastAsia="仿宋"/>
          <w:b/>
          <w:bCs/>
          <w:sz w:val="36"/>
          <w:szCs w:val="36"/>
        </w:rPr>
      </w:pPr>
      <w:r>
        <w:rPr>
          <w:rStyle w:val="13"/>
          <w:rFonts w:hint="default" w:ascii="仿宋" w:hAnsi="仿宋" w:eastAsia="仿宋"/>
          <w:b/>
          <w:bCs/>
          <w:sz w:val="36"/>
          <w:szCs w:val="36"/>
        </w:rPr>
        <w:t>土地用途与公益性用地情况</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（一）土地用途</w:t>
      </w:r>
    </w:p>
    <w:p>
      <w:pPr>
        <w:spacing w:line="360" w:lineRule="auto"/>
        <w:ind w:firstLine="720" w:firstLineChars="200"/>
        <w:rPr>
          <w:rStyle w:val="13"/>
          <w:rFonts w:hint="default" w:ascii="仿宋" w:hAnsi="仿宋" w:eastAsia="仿宋"/>
          <w:sz w:val="36"/>
          <w:szCs w:val="36"/>
          <w:highlight w:val="none"/>
        </w:rPr>
      </w:pPr>
      <w:r>
        <w:rPr>
          <w:rStyle w:val="13"/>
          <w:rFonts w:hint="default" w:ascii="仿宋" w:hAnsi="仿宋" w:eastAsia="仿宋"/>
          <w:sz w:val="36"/>
          <w:szCs w:val="36"/>
          <w:highlight w:val="none"/>
        </w:rPr>
        <w:t>成片开发区域由</w:t>
      </w:r>
      <w:r>
        <w:rPr>
          <w:rStyle w:val="13"/>
          <w:rFonts w:hint="eastAsia" w:ascii="仿宋" w:hAnsi="仿宋" w:eastAsia="仿宋"/>
          <w:sz w:val="36"/>
          <w:szCs w:val="36"/>
          <w:highlight w:val="none"/>
          <w:lang w:eastAsia="zh-CN"/>
        </w:rPr>
        <w:t>高新</w:t>
      </w:r>
      <w:r>
        <w:rPr>
          <w:rStyle w:val="13"/>
          <w:rFonts w:hint="default" w:ascii="仿宋" w:hAnsi="仿宋" w:eastAsia="仿宋"/>
          <w:sz w:val="36"/>
          <w:szCs w:val="36"/>
          <w:highlight w:val="none"/>
        </w:rPr>
        <w:t>产业聚集区、生产基地、产</w:t>
      </w:r>
      <w:r>
        <w:rPr>
          <w:rStyle w:val="13"/>
          <w:rFonts w:hint="eastAsia" w:ascii="仿宋" w:hAnsi="仿宋" w:eastAsia="仿宋"/>
          <w:sz w:val="36"/>
          <w:szCs w:val="36"/>
          <w:highlight w:val="none"/>
          <w:lang w:eastAsia="zh-CN"/>
        </w:rPr>
        <w:t>业</w:t>
      </w:r>
      <w:r>
        <w:rPr>
          <w:rStyle w:val="13"/>
          <w:rFonts w:hint="default" w:ascii="仿宋" w:hAnsi="仿宋" w:eastAsia="仿宋"/>
          <w:sz w:val="36"/>
          <w:szCs w:val="36"/>
          <w:highlight w:val="none"/>
        </w:rPr>
        <w:t>配套区及基础设施板块4大类项目组成，</w:t>
      </w:r>
      <w:r>
        <w:rPr>
          <w:rStyle w:val="13"/>
          <w:rFonts w:hint="eastAsia" w:ascii="仿宋" w:hAnsi="仿宋" w:eastAsia="仿宋"/>
          <w:sz w:val="36"/>
          <w:szCs w:val="36"/>
          <w:highlight w:val="none"/>
          <w:lang w:eastAsia="zh-CN"/>
        </w:rPr>
        <w:t>土地</w:t>
      </w:r>
      <w:r>
        <w:rPr>
          <w:rStyle w:val="13"/>
          <w:rFonts w:hint="default" w:ascii="仿宋" w:hAnsi="仿宋" w:eastAsia="仿宋"/>
          <w:sz w:val="36"/>
          <w:szCs w:val="36"/>
          <w:highlight w:val="none"/>
        </w:rPr>
        <w:t>用途</w:t>
      </w:r>
      <w:bookmarkStart w:id="1" w:name="_GoBack"/>
      <w:bookmarkEnd w:id="1"/>
      <w:r>
        <w:rPr>
          <w:rStyle w:val="13"/>
          <w:rFonts w:hint="eastAsia" w:ascii="仿宋" w:hAnsi="仿宋" w:eastAsia="仿宋"/>
          <w:sz w:val="36"/>
          <w:szCs w:val="36"/>
          <w:highlight w:val="none"/>
          <w:lang w:eastAsia="zh-CN"/>
        </w:rPr>
        <w:t>以</w:t>
      </w:r>
      <w:r>
        <w:rPr>
          <w:rStyle w:val="13"/>
          <w:rFonts w:hint="default" w:ascii="仿宋" w:hAnsi="仿宋" w:eastAsia="仿宋"/>
          <w:sz w:val="36"/>
          <w:szCs w:val="36"/>
          <w:highlight w:val="none"/>
        </w:rPr>
        <w:t>工业用地</w:t>
      </w:r>
      <w:r>
        <w:rPr>
          <w:rStyle w:val="13"/>
          <w:rFonts w:hint="eastAsia" w:ascii="仿宋" w:hAnsi="仿宋" w:eastAsia="仿宋"/>
          <w:sz w:val="36"/>
          <w:szCs w:val="36"/>
          <w:highlight w:val="none"/>
          <w:lang w:eastAsia="zh-CN"/>
        </w:rPr>
        <w:t>和道路用地为主，配套必要的公共服务设施和市政设施</w:t>
      </w:r>
      <w:r>
        <w:rPr>
          <w:rStyle w:val="13"/>
          <w:rFonts w:hint="default" w:ascii="仿宋" w:hAnsi="仿宋" w:eastAsia="仿宋"/>
          <w:sz w:val="36"/>
          <w:szCs w:val="36"/>
          <w:highlight w:val="none"/>
        </w:rPr>
        <w:t>。</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（二）公益性用地情况</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成片开发区域内公益性用地</w:t>
      </w:r>
      <w:r>
        <w:rPr>
          <w:rStyle w:val="13"/>
          <w:rFonts w:hint="default" w:ascii="仿宋" w:hAnsi="仿宋" w:eastAsia="仿宋"/>
          <w:sz w:val="36"/>
          <w:szCs w:val="36"/>
          <w:lang w:val="en-US"/>
        </w:rPr>
        <w:t>82.1185</w:t>
      </w:r>
      <w:r>
        <w:rPr>
          <w:rStyle w:val="13"/>
          <w:rFonts w:hint="default" w:ascii="仿宋" w:hAnsi="仿宋" w:eastAsia="仿宋"/>
          <w:sz w:val="36"/>
          <w:szCs w:val="36"/>
        </w:rPr>
        <w:t>公顷，占总用地比例</w:t>
      </w:r>
      <w:r>
        <w:rPr>
          <w:rStyle w:val="13"/>
          <w:rFonts w:hint="default" w:ascii="仿宋" w:hAnsi="仿宋" w:eastAsia="仿宋"/>
          <w:sz w:val="36"/>
          <w:szCs w:val="36"/>
          <w:lang w:val="en-US"/>
        </w:rPr>
        <w:t>54.06</w:t>
      </w:r>
      <w:r>
        <w:rPr>
          <w:rStyle w:val="13"/>
          <w:rFonts w:hint="default" w:ascii="仿宋" w:hAnsi="仿宋" w:eastAsia="仿宋"/>
          <w:sz w:val="36"/>
          <w:szCs w:val="36"/>
          <w:highlight w:val="none"/>
        </w:rPr>
        <w:t>%</w:t>
      </w:r>
      <w:r>
        <w:rPr>
          <w:rStyle w:val="13"/>
          <w:rFonts w:hint="default" w:ascii="仿宋" w:hAnsi="仿宋" w:eastAsia="仿宋"/>
          <w:sz w:val="36"/>
          <w:szCs w:val="36"/>
        </w:rPr>
        <w:t>，分别为公路用地、防护绿地、</w:t>
      </w:r>
      <w:r>
        <w:rPr>
          <w:rStyle w:val="13"/>
          <w:rFonts w:hint="eastAsia" w:ascii="仿宋" w:hAnsi="仿宋" w:eastAsia="仿宋"/>
          <w:sz w:val="36"/>
          <w:szCs w:val="36"/>
          <w:lang w:eastAsia="zh-CN"/>
        </w:rPr>
        <w:t>科研教育用地、</w:t>
      </w:r>
      <w:r>
        <w:rPr>
          <w:rStyle w:val="13"/>
          <w:rFonts w:hint="default" w:ascii="仿宋" w:hAnsi="仿宋" w:eastAsia="仿宋"/>
          <w:sz w:val="36"/>
          <w:szCs w:val="36"/>
        </w:rPr>
        <w:t>中小学用地、公园绿地、农林用地、文化设施用地、自然水域、安全设施用地、水利设施用地、环境设施用地，符合基础设施、公共服务设施以及其他公益性用地比例不低于40%的要求。</w:t>
      </w:r>
    </w:p>
    <w:p>
      <w:pPr>
        <w:pStyle w:val="15"/>
        <w:numPr>
          <w:ilvl w:val="0"/>
          <w:numId w:val="2"/>
        </w:numPr>
        <w:spacing w:line="360" w:lineRule="auto"/>
        <w:ind w:firstLineChars="0"/>
        <w:rPr>
          <w:rStyle w:val="13"/>
          <w:rFonts w:hint="default" w:ascii="仿宋" w:hAnsi="仿宋" w:eastAsia="仿宋"/>
          <w:b/>
          <w:bCs/>
          <w:sz w:val="36"/>
          <w:szCs w:val="36"/>
        </w:rPr>
      </w:pPr>
      <w:r>
        <w:rPr>
          <w:rStyle w:val="13"/>
          <w:rFonts w:hint="default" w:ascii="仿宋" w:hAnsi="仿宋" w:eastAsia="仿宋"/>
          <w:b/>
          <w:bCs/>
          <w:sz w:val="36"/>
          <w:szCs w:val="36"/>
        </w:rPr>
        <w:t>实施计划</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本方案拟建项目用地开发时序为</w:t>
      </w:r>
      <w:r>
        <w:rPr>
          <w:rStyle w:val="13"/>
          <w:rFonts w:hint="default" w:ascii="仿宋" w:hAnsi="仿宋" w:eastAsia="仿宋"/>
          <w:sz w:val="36"/>
          <w:szCs w:val="36"/>
          <w:highlight w:val="none"/>
        </w:rPr>
        <w:t>202</w:t>
      </w:r>
      <w:r>
        <w:rPr>
          <w:rStyle w:val="13"/>
          <w:rFonts w:hint="eastAsia" w:ascii="仿宋" w:hAnsi="仿宋" w:eastAsia="仿宋"/>
          <w:sz w:val="36"/>
          <w:szCs w:val="36"/>
          <w:highlight w:val="none"/>
          <w:lang w:val="en-US" w:eastAsia="zh-CN"/>
        </w:rPr>
        <w:t>2</w:t>
      </w:r>
      <w:r>
        <w:rPr>
          <w:rStyle w:val="13"/>
          <w:rFonts w:hint="default" w:ascii="仿宋" w:hAnsi="仿宋" w:eastAsia="仿宋"/>
          <w:sz w:val="36"/>
          <w:szCs w:val="36"/>
        </w:rPr>
        <w:t>年，项目拟征地总面积共计104.7027公顷，具体实施时序详见下表。</w:t>
      </w:r>
    </w:p>
    <w:tbl>
      <w:tblPr>
        <w:tblStyle w:val="8"/>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812"/>
        <w:gridCol w:w="1288"/>
        <w:gridCol w:w="2362"/>
        <w:gridCol w:w="1200"/>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9" w:hRule="exact"/>
          <w:jc w:val="center"/>
        </w:trPr>
        <w:tc>
          <w:tcPr>
            <w:tcW w:w="562" w:type="dxa"/>
            <w:vAlign w:val="center"/>
          </w:tcPr>
          <w:p>
            <w:pPr>
              <w:spacing w:line="300" w:lineRule="exact"/>
              <w:jc w:val="center"/>
              <w:rPr>
                <w:rFonts w:ascii="仿宋" w:hAnsi="仿宋" w:eastAsia="仿宋"/>
                <w:sz w:val="24"/>
              </w:rPr>
            </w:pPr>
            <w:r>
              <w:rPr>
                <w:rFonts w:ascii="仿宋" w:hAnsi="仿宋" w:eastAsia="仿宋"/>
                <w:sz w:val="24"/>
              </w:rPr>
              <w:t>序号</w:t>
            </w:r>
          </w:p>
        </w:tc>
        <w:tc>
          <w:tcPr>
            <w:tcW w:w="1812" w:type="dxa"/>
            <w:vAlign w:val="center"/>
          </w:tcPr>
          <w:p>
            <w:pPr>
              <w:spacing w:line="300" w:lineRule="exact"/>
              <w:jc w:val="center"/>
              <w:rPr>
                <w:rFonts w:ascii="仿宋" w:hAnsi="仿宋" w:eastAsia="仿宋"/>
                <w:sz w:val="24"/>
              </w:rPr>
            </w:pPr>
            <w:r>
              <w:rPr>
                <w:rFonts w:hint="eastAsia" w:ascii="仿宋" w:hAnsi="仿宋" w:eastAsia="仿宋"/>
                <w:sz w:val="24"/>
              </w:rPr>
              <w:t>拟成片开发项目</w:t>
            </w:r>
            <w:r>
              <w:rPr>
                <w:rFonts w:ascii="仿宋" w:hAnsi="仿宋" w:eastAsia="仿宋"/>
                <w:sz w:val="24"/>
              </w:rPr>
              <w:t>名称</w:t>
            </w:r>
          </w:p>
        </w:tc>
        <w:tc>
          <w:tcPr>
            <w:tcW w:w="1288" w:type="dxa"/>
            <w:vAlign w:val="center"/>
          </w:tcPr>
          <w:p>
            <w:pPr>
              <w:spacing w:line="300" w:lineRule="exact"/>
              <w:jc w:val="center"/>
              <w:rPr>
                <w:rFonts w:ascii="仿宋" w:hAnsi="仿宋" w:eastAsia="仿宋"/>
                <w:sz w:val="24"/>
              </w:rPr>
            </w:pPr>
            <w:r>
              <w:rPr>
                <w:rFonts w:ascii="仿宋" w:hAnsi="仿宋" w:eastAsia="仿宋"/>
                <w:sz w:val="24"/>
              </w:rPr>
              <w:t>用地面积</w:t>
            </w:r>
          </w:p>
          <w:p>
            <w:pPr>
              <w:spacing w:line="300" w:lineRule="exact"/>
              <w:jc w:val="center"/>
              <w:rPr>
                <w:rFonts w:ascii="仿宋" w:hAnsi="仿宋" w:eastAsia="仿宋"/>
                <w:sz w:val="24"/>
              </w:rPr>
            </w:pPr>
            <w:r>
              <w:rPr>
                <w:rFonts w:ascii="仿宋" w:hAnsi="仿宋" w:eastAsia="仿宋"/>
                <w:sz w:val="24"/>
              </w:rPr>
              <w:t>（公顷）</w:t>
            </w:r>
          </w:p>
        </w:tc>
        <w:tc>
          <w:tcPr>
            <w:tcW w:w="2362" w:type="dxa"/>
            <w:vAlign w:val="center"/>
          </w:tcPr>
          <w:p>
            <w:pPr>
              <w:spacing w:line="300" w:lineRule="exact"/>
              <w:jc w:val="center"/>
              <w:rPr>
                <w:rFonts w:ascii="仿宋" w:hAnsi="仿宋" w:eastAsia="仿宋"/>
                <w:sz w:val="24"/>
              </w:rPr>
            </w:pPr>
            <w:r>
              <w:rPr>
                <w:rFonts w:hint="eastAsia" w:ascii="仿宋" w:hAnsi="仿宋" w:eastAsia="仿宋"/>
                <w:sz w:val="24"/>
              </w:rPr>
              <w:t>主要用途</w:t>
            </w:r>
          </w:p>
        </w:tc>
        <w:tc>
          <w:tcPr>
            <w:tcW w:w="1200" w:type="dxa"/>
            <w:vAlign w:val="center"/>
          </w:tcPr>
          <w:p>
            <w:pPr>
              <w:spacing w:line="300" w:lineRule="exact"/>
              <w:jc w:val="center"/>
              <w:rPr>
                <w:rFonts w:ascii="仿宋" w:hAnsi="仿宋" w:eastAsia="仿宋"/>
                <w:sz w:val="24"/>
              </w:rPr>
            </w:pPr>
            <w:r>
              <w:rPr>
                <w:rFonts w:hint="eastAsia" w:ascii="仿宋" w:hAnsi="仿宋" w:eastAsia="仿宋"/>
                <w:sz w:val="24"/>
              </w:rPr>
              <w:t>完成征地报批前期工作</w:t>
            </w:r>
          </w:p>
        </w:tc>
        <w:tc>
          <w:tcPr>
            <w:tcW w:w="1227" w:type="dxa"/>
            <w:vAlign w:val="center"/>
          </w:tcPr>
          <w:p>
            <w:pPr>
              <w:spacing w:line="300" w:lineRule="exact"/>
              <w:jc w:val="center"/>
              <w:rPr>
                <w:rFonts w:ascii="仿宋" w:hAnsi="仿宋" w:eastAsia="仿宋"/>
                <w:sz w:val="24"/>
              </w:rPr>
            </w:pPr>
            <w:r>
              <w:rPr>
                <w:rFonts w:hint="eastAsia" w:ascii="仿宋" w:hAnsi="仿宋" w:eastAsia="仿宋"/>
                <w:sz w:val="24"/>
              </w:rPr>
              <w:t>取得用地批复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exact"/>
          <w:jc w:val="center"/>
        </w:trPr>
        <w:tc>
          <w:tcPr>
            <w:tcW w:w="562" w:type="dxa"/>
            <w:vAlign w:val="center"/>
          </w:tcPr>
          <w:p>
            <w:pPr>
              <w:spacing w:line="300" w:lineRule="exact"/>
              <w:jc w:val="center"/>
              <w:rPr>
                <w:rFonts w:ascii="仿宋" w:hAnsi="仿宋" w:eastAsia="仿宋"/>
                <w:sz w:val="24"/>
              </w:rPr>
            </w:pPr>
            <w:r>
              <w:rPr>
                <w:rFonts w:ascii="仿宋" w:hAnsi="仿宋" w:eastAsia="仿宋"/>
                <w:sz w:val="24"/>
              </w:rPr>
              <w:t>1</w:t>
            </w:r>
          </w:p>
        </w:tc>
        <w:tc>
          <w:tcPr>
            <w:tcW w:w="1812" w:type="dxa"/>
            <w:vAlign w:val="center"/>
          </w:tcPr>
          <w:p>
            <w:pPr>
              <w:spacing w:line="300" w:lineRule="exact"/>
              <w:jc w:val="center"/>
              <w:rPr>
                <w:rFonts w:ascii="仿宋" w:hAnsi="仿宋" w:eastAsia="仿宋"/>
                <w:sz w:val="24"/>
                <w:highlight w:val="none"/>
              </w:rPr>
            </w:pPr>
            <w:r>
              <w:rPr>
                <w:rFonts w:hint="eastAsia" w:ascii="仿宋" w:hAnsi="仿宋" w:eastAsia="仿宋"/>
                <w:sz w:val="24"/>
                <w:highlight w:val="none"/>
              </w:rPr>
              <w:t>高新产业聚集区、生产基地、产业配套区及基础设施板块</w:t>
            </w:r>
          </w:p>
        </w:tc>
        <w:tc>
          <w:tcPr>
            <w:tcW w:w="1288" w:type="dxa"/>
            <w:vAlign w:val="center"/>
          </w:tcPr>
          <w:p>
            <w:pPr>
              <w:spacing w:line="300" w:lineRule="exact"/>
              <w:jc w:val="center"/>
              <w:rPr>
                <w:rFonts w:hint="default" w:ascii="仿宋" w:hAnsi="仿宋" w:eastAsia="仿宋"/>
                <w:sz w:val="24"/>
                <w:highlight w:val="yellow"/>
                <w:lang w:val="en-US" w:eastAsia="zh-CN"/>
              </w:rPr>
            </w:pPr>
            <w:r>
              <w:rPr>
                <w:rFonts w:hint="eastAsia" w:ascii="仿宋" w:hAnsi="仿宋" w:eastAsia="仿宋"/>
                <w:sz w:val="24"/>
              </w:rPr>
              <w:t>87.7636</w:t>
            </w:r>
          </w:p>
        </w:tc>
        <w:tc>
          <w:tcPr>
            <w:tcW w:w="2362" w:type="dxa"/>
            <w:vAlign w:val="center"/>
          </w:tcPr>
          <w:p>
            <w:pPr>
              <w:spacing w:line="300" w:lineRule="exact"/>
              <w:jc w:val="center"/>
              <w:rPr>
                <w:rFonts w:hint="eastAsia" w:ascii="仿宋" w:hAnsi="仿宋" w:eastAsia="仿宋"/>
                <w:sz w:val="24"/>
                <w:highlight w:val="none"/>
                <w:lang w:eastAsia="zh-CN"/>
              </w:rPr>
            </w:pPr>
            <w:r>
              <w:rPr>
                <w:rFonts w:hint="eastAsia" w:ascii="仿宋" w:hAnsi="仿宋" w:eastAsia="仿宋"/>
                <w:sz w:val="24"/>
                <w:highlight w:val="none"/>
              </w:rPr>
              <w:t>以工业用地和道路用地为主，配套必要的公共服务设施和市政设施</w:t>
            </w:r>
            <w:r>
              <w:rPr>
                <w:rFonts w:hint="eastAsia" w:ascii="仿宋" w:hAnsi="仿宋" w:eastAsia="仿宋"/>
                <w:sz w:val="24"/>
                <w:highlight w:val="none"/>
                <w:lang w:eastAsia="zh-CN"/>
              </w:rPr>
              <w:t>。</w:t>
            </w:r>
          </w:p>
        </w:tc>
        <w:tc>
          <w:tcPr>
            <w:tcW w:w="1200" w:type="dxa"/>
            <w:vAlign w:val="center"/>
          </w:tcPr>
          <w:p>
            <w:pPr>
              <w:spacing w:line="300" w:lineRule="exact"/>
              <w:jc w:val="center"/>
              <w:rPr>
                <w:rFonts w:ascii="仿宋" w:hAnsi="仿宋" w:eastAsia="仿宋"/>
                <w:sz w:val="24"/>
                <w:highlight w:val="none"/>
              </w:rPr>
            </w:pPr>
            <w:r>
              <w:rPr>
                <w:rFonts w:hint="eastAsia" w:ascii="仿宋" w:hAnsi="仿宋" w:eastAsia="仿宋"/>
                <w:sz w:val="24"/>
                <w:highlight w:val="none"/>
              </w:rPr>
              <w:t>202</w:t>
            </w:r>
            <w:r>
              <w:rPr>
                <w:rFonts w:hint="eastAsia" w:ascii="仿宋" w:hAnsi="仿宋" w:eastAsia="仿宋"/>
                <w:sz w:val="24"/>
                <w:highlight w:val="none"/>
                <w:lang w:val="en-US" w:eastAsia="zh-CN"/>
              </w:rPr>
              <w:t>2</w:t>
            </w:r>
            <w:r>
              <w:rPr>
                <w:rFonts w:hint="eastAsia" w:ascii="仿宋" w:hAnsi="仿宋" w:eastAsia="仿宋"/>
                <w:sz w:val="24"/>
                <w:highlight w:val="none"/>
              </w:rPr>
              <w:t>年</w:t>
            </w:r>
          </w:p>
        </w:tc>
        <w:tc>
          <w:tcPr>
            <w:tcW w:w="1227" w:type="dxa"/>
            <w:vAlign w:val="center"/>
          </w:tcPr>
          <w:p>
            <w:pPr>
              <w:spacing w:line="300" w:lineRule="exact"/>
              <w:jc w:val="center"/>
              <w:rPr>
                <w:rFonts w:hint="default" w:ascii="仿宋" w:hAnsi="仿宋" w:eastAsia="仿宋"/>
                <w:sz w:val="24"/>
                <w:highlight w:val="none"/>
                <w:lang w:val="en-US" w:eastAsia="zh-CN"/>
              </w:rPr>
            </w:pPr>
            <w:r>
              <w:rPr>
                <w:rFonts w:hint="default" w:ascii="仿宋" w:hAnsi="仿宋" w:eastAsia="仿宋"/>
                <w:sz w:val="24"/>
                <w:highlight w:val="none"/>
                <w:lang w:val="en-US" w:eastAsia="zh-CN"/>
              </w:rPr>
              <w:t>2</w:t>
            </w:r>
            <w:r>
              <w:rPr>
                <w:rFonts w:hint="eastAsia" w:ascii="仿宋" w:hAnsi="仿宋" w:eastAsia="仿宋"/>
                <w:sz w:val="24"/>
                <w:highlight w:val="none"/>
                <w:lang w:val="en-US" w:eastAsia="zh-CN"/>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exact"/>
          <w:jc w:val="center"/>
        </w:trPr>
        <w:tc>
          <w:tcPr>
            <w:tcW w:w="562" w:type="dxa"/>
            <w:vAlign w:val="center"/>
          </w:tcPr>
          <w:p>
            <w:pPr>
              <w:spacing w:line="300" w:lineRule="exact"/>
              <w:jc w:val="center"/>
              <w:rPr>
                <w:rFonts w:ascii="仿宋" w:hAnsi="仿宋" w:eastAsia="仿宋"/>
                <w:sz w:val="24"/>
              </w:rPr>
            </w:pPr>
            <w:r>
              <w:rPr>
                <w:rFonts w:hint="eastAsia" w:ascii="仿宋" w:hAnsi="仿宋" w:eastAsia="仿宋"/>
                <w:sz w:val="24"/>
              </w:rPr>
              <w:t>2</w:t>
            </w:r>
          </w:p>
        </w:tc>
        <w:tc>
          <w:tcPr>
            <w:tcW w:w="1812" w:type="dxa"/>
            <w:vAlign w:val="center"/>
          </w:tcPr>
          <w:p>
            <w:pPr>
              <w:spacing w:line="300" w:lineRule="exact"/>
              <w:jc w:val="center"/>
              <w:rPr>
                <w:rFonts w:ascii="仿宋" w:hAnsi="仿宋" w:eastAsia="仿宋"/>
                <w:sz w:val="24"/>
              </w:rPr>
            </w:pPr>
            <w:r>
              <w:rPr>
                <w:rFonts w:hint="eastAsia" w:ascii="仿宋" w:hAnsi="仿宋" w:eastAsia="仿宋"/>
                <w:sz w:val="24"/>
              </w:rPr>
              <w:t>基础设施板块（同兴南路、西岸南路）</w:t>
            </w:r>
          </w:p>
        </w:tc>
        <w:tc>
          <w:tcPr>
            <w:tcW w:w="1288" w:type="dxa"/>
            <w:vAlign w:val="center"/>
          </w:tcPr>
          <w:p>
            <w:pPr>
              <w:spacing w:line="300" w:lineRule="exact"/>
              <w:jc w:val="center"/>
              <w:rPr>
                <w:rFonts w:hint="default" w:ascii="仿宋" w:hAnsi="仿宋" w:eastAsia="仿宋"/>
                <w:sz w:val="24"/>
                <w:highlight w:val="yellow"/>
                <w:lang w:val="en-US" w:eastAsia="zh-CN"/>
              </w:rPr>
            </w:pPr>
            <w:r>
              <w:rPr>
                <w:rFonts w:hint="eastAsia" w:ascii="仿宋" w:hAnsi="仿宋" w:eastAsia="仿宋"/>
                <w:sz w:val="24"/>
              </w:rPr>
              <w:t>1</w:t>
            </w:r>
            <w:r>
              <w:rPr>
                <w:rFonts w:hint="eastAsia" w:ascii="仿宋" w:hAnsi="仿宋" w:eastAsia="仿宋"/>
                <w:sz w:val="24"/>
                <w:lang w:val="en-US" w:eastAsia="zh-CN"/>
              </w:rPr>
              <w:t>6.9391</w:t>
            </w:r>
          </w:p>
        </w:tc>
        <w:tc>
          <w:tcPr>
            <w:tcW w:w="2362" w:type="dxa"/>
            <w:vAlign w:val="center"/>
          </w:tcPr>
          <w:p>
            <w:pPr>
              <w:spacing w:line="300" w:lineRule="exact"/>
              <w:jc w:val="center"/>
              <w:rPr>
                <w:rFonts w:ascii="仿宋" w:hAnsi="仿宋" w:eastAsia="仿宋"/>
                <w:sz w:val="24"/>
              </w:rPr>
            </w:pPr>
            <w:r>
              <w:rPr>
                <w:rFonts w:hint="eastAsia" w:ascii="仿宋" w:hAnsi="仿宋" w:eastAsia="仿宋"/>
                <w:sz w:val="24"/>
              </w:rPr>
              <w:t>公路用地</w:t>
            </w:r>
          </w:p>
        </w:tc>
        <w:tc>
          <w:tcPr>
            <w:tcW w:w="1200" w:type="dxa"/>
            <w:vAlign w:val="center"/>
          </w:tcPr>
          <w:p>
            <w:pPr>
              <w:spacing w:line="300" w:lineRule="exact"/>
              <w:jc w:val="center"/>
              <w:rPr>
                <w:rFonts w:ascii="仿宋" w:hAnsi="仿宋" w:eastAsia="仿宋"/>
                <w:sz w:val="24"/>
              </w:rPr>
            </w:pPr>
            <w:r>
              <w:rPr>
                <w:rFonts w:hint="eastAsia" w:ascii="仿宋" w:hAnsi="仿宋" w:eastAsia="仿宋"/>
                <w:sz w:val="24"/>
              </w:rPr>
              <w:t>202</w:t>
            </w:r>
            <w:r>
              <w:rPr>
                <w:rFonts w:hint="eastAsia" w:ascii="仿宋" w:hAnsi="仿宋" w:eastAsia="仿宋"/>
                <w:sz w:val="24"/>
                <w:lang w:val="en-US" w:eastAsia="zh-CN"/>
              </w:rPr>
              <w:t>2</w:t>
            </w:r>
            <w:r>
              <w:rPr>
                <w:rFonts w:hint="eastAsia" w:ascii="仿宋" w:hAnsi="仿宋" w:eastAsia="仿宋"/>
                <w:sz w:val="24"/>
              </w:rPr>
              <w:t>年</w:t>
            </w:r>
          </w:p>
        </w:tc>
        <w:tc>
          <w:tcPr>
            <w:tcW w:w="1227" w:type="dxa"/>
            <w:vAlign w:val="center"/>
          </w:tcPr>
          <w:p>
            <w:pPr>
              <w:spacing w:line="300" w:lineRule="exact"/>
              <w:jc w:val="center"/>
              <w:rPr>
                <w:rFonts w:ascii="仿宋" w:hAnsi="仿宋" w:eastAsia="仿宋"/>
                <w:sz w:val="24"/>
                <w:highlight w:val="none"/>
              </w:rPr>
            </w:pPr>
            <w:r>
              <w:rPr>
                <w:rFonts w:hint="eastAsia" w:ascii="仿宋" w:hAnsi="仿宋" w:eastAsia="仿宋"/>
                <w:sz w:val="24"/>
                <w:highlight w:val="none"/>
              </w:rPr>
              <w:t>202</w:t>
            </w:r>
            <w:r>
              <w:rPr>
                <w:rFonts w:hint="eastAsia" w:ascii="仿宋" w:hAnsi="仿宋" w:eastAsia="仿宋"/>
                <w:sz w:val="24"/>
                <w:highlight w:val="none"/>
                <w:lang w:val="en-US" w:eastAsia="zh-CN"/>
              </w:rPr>
              <w:t>2</w:t>
            </w:r>
            <w:r>
              <w:rPr>
                <w:rFonts w:hint="eastAsia" w:ascii="仿宋" w:hAnsi="仿宋" w:eastAsia="仿宋"/>
                <w:sz w:val="24"/>
                <w:highlight w:val="none"/>
              </w:rPr>
              <w:t>年</w:t>
            </w:r>
          </w:p>
        </w:tc>
      </w:tr>
    </w:tbl>
    <w:p>
      <w:pPr>
        <w:pStyle w:val="15"/>
        <w:numPr>
          <w:ilvl w:val="0"/>
          <w:numId w:val="2"/>
        </w:numPr>
        <w:spacing w:line="360" w:lineRule="auto"/>
        <w:ind w:firstLineChars="0"/>
        <w:rPr>
          <w:rStyle w:val="13"/>
          <w:rFonts w:hint="default" w:ascii="仿宋" w:hAnsi="仿宋" w:eastAsia="仿宋"/>
          <w:b/>
          <w:bCs/>
          <w:sz w:val="36"/>
          <w:szCs w:val="36"/>
        </w:rPr>
      </w:pPr>
      <w:r>
        <w:rPr>
          <w:rStyle w:val="13"/>
          <w:rFonts w:hint="default" w:ascii="仿宋" w:hAnsi="仿宋" w:eastAsia="仿宋"/>
          <w:b/>
          <w:bCs/>
          <w:sz w:val="36"/>
          <w:szCs w:val="36"/>
        </w:rPr>
        <w:t>效益评估</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（一）土地利用效益评估</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通过本次土地征收成片开发，将有效推进用地节约集约利用，提高产业开发容量，提升土地利用综合效益。</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（二）经济效益评估</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片区经济盈利能力和抗风险能力相对较强，预计可产生良好的经济效益。项目具有较强的辐射带动作用，能够与周边形成联动发展，改善投资环境促进规模化发展建设，推动经济社会高质量发展。</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（三）社会效益评估</w:t>
      </w:r>
    </w:p>
    <w:p>
      <w:pPr>
        <w:spacing w:line="360" w:lineRule="auto"/>
        <w:ind w:firstLine="720" w:firstLineChars="200"/>
        <w:rPr>
          <w:rStyle w:val="13"/>
          <w:rFonts w:hint="default" w:ascii="仿宋" w:hAnsi="仿宋" w:eastAsia="仿宋"/>
          <w:sz w:val="36"/>
          <w:szCs w:val="36"/>
          <w:highlight w:val="none"/>
        </w:rPr>
      </w:pPr>
      <w:r>
        <w:rPr>
          <w:rStyle w:val="13"/>
          <w:rFonts w:hint="default" w:ascii="仿宋" w:hAnsi="仿宋" w:eastAsia="仿宋"/>
          <w:sz w:val="36"/>
          <w:szCs w:val="36"/>
          <w:highlight w:val="none"/>
        </w:rPr>
        <w:t>通过本次土地征收成片开发，</w:t>
      </w:r>
      <w:r>
        <w:rPr>
          <w:rStyle w:val="13"/>
          <w:rFonts w:hint="eastAsia" w:ascii="仿宋" w:hAnsi="仿宋" w:eastAsia="仿宋"/>
          <w:sz w:val="36"/>
          <w:szCs w:val="36"/>
          <w:highlight w:val="none"/>
          <w:lang w:eastAsia="zh-CN"/>
        </w:rPr>
        <w:t>有</w:t>
      </w:r>
      <w:r>
        <w:rPr>
          <w:rStyle w:val="13"/>
          <w:rFonts w:hint="default" w:ascii="仿宋" w:hAnsi="仿宋" w:eastAsia="仿宋"/>
          <w:sz w:val="36"/>
          <w:szCs w:val="36"/>
          <w:highlight w:val="none"/>
        </w:rPr>
        <w:t>利于城市总体形象的营造及空间规划的落实。片区的开发建设</w:t>
      </w:r>
      <w:r>
        <w:rPr>
          <w:rStyle w:val="13"/>
          <w:rFonts w:hint="eastAsia" w:ascii="仿宋" w:hAnsi="仿宋" w:eastAsia="仿宋"/>
          <w:sz w:val="36"/>
          <w:szCs w:val="36"/>
          <w:highlight w:val="none"/>
          <w:lang w:eastAsia="zh-CN"/>
        </w:rPr>
        <w:t>将招引优质高新企业、行业龙头，</w:t>
      </w:r>
      <w:r>
        <w:rPr>
          <w:rStyle w:val="13"/>
          <w:rFonts w:hint="default" w:ascii="仿宋" w:hAnsi="仿宋" w:eastAsia="仿宋"/>
          <w:sz w:val="36"/>
          <w:szCs w:val="36"/>
          <w:highlight w:val="none"/>
        </w:rPr>
        <w:t>创造大量就业岗位，促进常住人口数量增长</w:t>
      </w:r>
      <w:r>
        <w:rPr>
          <w:rStyle w:val="13"/>
          <w:rFonts w:hint="eastAsia" w:ascii="仿宋" w:hAnsi="仿宋" w:eastAsia="仿宋"/>
          <w:sz w:val="36"/>
          <w:szCs w:val="36"/>
          <w:highlight w:val="none"/>
          <w:lang w:eastAsia="zh-CN"/>
        </w:rPr>
        <w:t>，拉动周边村集体资产升值</w:t>
      </w:r>
      <w:r>
        <w:rPr>
          <w:rStyle w:val="13"/>
          <w:rFonts w:hint="default" w:ascii="仿宋" w:hAnsi="仿宋" w:eastAsia="仿宋"/>
          <w:sz w:val="36"/>
          <w:szCs w:val="36"/>
          <w:highlight w:val="none"/>
        </w:rPr>
        <w:t>，增加财政税收。</w:t>
      </w:r>
    </w:p>
    <w:p>
      <w:pPr>
        <w:spacing w:line="360" w:lineRule="auto"/>
        <w:rPr>
          <w:rStyle w:val="13"/>
          <w:rFonts w:hint="default" w:ascii="仿宋" w:hAnsi="仿宋" w:eastAsia="仿宋"/>
          <w:b/>
          <w:bCs/>
          <w:sz w:val="36"/>
          <w:szCs w:val="36"/>
        </w:rPr>
      </w:pPr>
      <w:r>
        <w:rPr>
          <w:rStyle w:val="13"/>
          <w:rFonts w:hint="default" w:ascii="仿宋" w:hAnsi="仿宋" w:eastAsia="仿宋"/>
          <w:b/>
          <w:bCs/>
          <w:sz w:val="36"/>
          <w:szCs w:val="36"/>
        </w:rPr>
        <w:t>（四）生态效益评估</w:t>
      </w:r>
    </w:p>
    <w:p>
      <w:pPr>
        <w:spacing w:line="360" w:lineRule="auto"/>
        <w:ind w:firstLine="720" w:firstLineChars="200"/>
        <w:rPr>
          <w:rStyle w:val="13"/>
          <w:rFonts w:hint="default" w:ascii="仿宋" w:hAnsi="仿宋" w:eastAsia="仿宋"/>
          <w:sz w:val="36"/>
          <w:szCs w:val="36"/>
        </w:rPr>
      </w:pPr>
      <w:r>
        <w:rPr>
          <w:rStyle w:val="13"/>
          <w:rFonts w:hint="default" w:ascii="仿宋" w:hAnsi="仿宋" w:eastAsia="仿宋"/>
          <w:sz w:val="36"/>
          <w:szCs w:val="36"/>
        </w:rPr>
        <w:t>经本次土地征收成片开发，将在保留片区生态基底的空间上，构成</w:t>
      </w:r>
      <w:r>
        <w:rPr>
          <w:rStyle w:val="13"/>
          <w:rFonts w:hint="eastAsia" w:ascii="仿宋" w:hAnsi="仿宋" w:eastAsia="仿宋"/>
          <w:sz w:val="36"/>
          <w:szCs w:val="36"/>
          <w:lang w:eastAsia="zh-CN"/>
        </w:rPr>
        <w:t>高品质产业空间</w:t>
      </w:r>
      <w:r>
        <w:rPr>
          <w:rStyle w:val="13"/>
          <w:rFonts w:hint="default" w:ascii="仿宋" w:hAnsi="仿宋" w:eastAsia="仿宋"/>
          <w:sz w:val="36"/>
          <w:szCs w:val="36"/>
        </w:rPr>
        <w:t>，与生态形成有机的结合，并利用水道和碧道形成重要的景观廊道和空间发展轴带及空间节点，能够有效提升片区生态环境品质。</w:t>
      </w:r>
    </w:p>
    <w:p>
      <w:pPr>
        <w:pStyle w:val="15"/>
        <w:numPr>
          <w:ilvl w:val="0"/>
          <w:numId w:val="2"/>
        </w:numPr>
        <w:spacing w:line="360" w:lineRule="auto"/>
        <w:ind w:firstLineChars="0"/>
        <w:rPr>
          <w:rStyle w:val="13"/>
          <w:rFonts w:hint="default" w:ascii="仿宋" w:hAnsi="仿宋" w:eastAsia="仿宋"/>
          <w:b/>
          <w:bCs/>
          <w:sz w:val="36"/>
          <w:szCs w:val="36"/>
        </w:rPr>
      </w:pPr>
      <w:r>
        <w:rPr>
          <w:rStyle w:val="13"/>
          <w:rFonts w:hint="default" w:ascii="仿宋" w:hAnsi="仿宋" w:eastAsia="仿宋"/>
          <w:b/>
          <w:bCs/>
          <w:sz w:val="36"/>
          <w:szCs w:val="36"/>
        </w:rPr>
        <w:t>结论</w:t>
      </w:r>
    </w:p>
    <w:p>
      <w:pPr>
        <w:pStyle w:val="5"/>
        <w:spacing w:before="169" w:line="360" w:lineRule="auto"/>
        <w:ind w:right="258" w:firstLine="640"/>
        <w:rPr>
          <w:rStyle w:val="13"/>
          <w:rFonts w:hint="default" w:ascii="仿宋" w:hAnsi="仿宋" w:eastAsia="仿宋" w:cs="Times New Roman"/>
          <w:kern w:val="2"/>
          <w:sz w:val="36"/>
          <w:szCs w:val="36"/>
          <w:lang w:eastAsia="zh-CN"/>
        </w:rPr>
        <w:sectPr>
          <w:pgSz w:w="11906" w:h="16838"/>
          <w:pgMar w:top="1440" w:right="1800" w:bottom="1440" w:left="1800" w:header="851" w:footer="992" w:gutter="0"/>
          <w:cols w:space="425" w:num="1"/>
          <w:docGrid w:type="lines" w:linePitch="312" w:charSpace="0"/>
        </w:sectPr>
      </w:pPr>
      <w:r>
        <w:rPr>
          <w:rStyle w:val="13"/>
          <w:rFonts w:hint="default" w:ascii="仿宋" w:hAnsi="仿宋" w:eastAsia="仿宋" w:cs="Times New Roman"/>
          <w:kern w:val="2"/>
          <w:sz w:val="36"/>
          <w:szCs w:val="36"/>
          <w:lang w:eastAsia="zh-CN"/>
        </w:rPr>
        <w:t>综上所述，《中山市古镇镇灯都产业新城片区土地征收成片开发方案》符合《自然资源部关于印发&lt;土地征收成片开发标准（试行）&gt;的通知》（自然资规〔2020〕5号）的要求。</w:t>
      </w:r>
    </w:p>
    <w:p>
      <w:pPr>
        <w:spacing w:line="360" w:lineRule="auto"/>
        <w:jc w:val="left"/>
        <w:rPr>
          <w:rStyle w:val="13"/>
          <w:rFonts w:hint="default" w:ascii="仿宋" w:hAnsi="仿宋" w:eastAsia="仿宋"/>
          <w:b/>
          <w:bCs/>
          <w:sz w:val="36"/>
          <w:szCs w:val="36"/>
        </w:rPr>
      </w:pPr>
      <w:r>
        <w:rPr>
          <w:rStyle w:val="13"/>
          <w:rFonts w:hint="default" w:ascii="仿宋" w:hAnsi="仿宋" w:eastAsia="仿宋"/>
          <w:b/>
          <w:bCs/>
          <w:sz w:val="36"/>
          <w:szCs w:val="36"/>
        </w:rPr>
        <w:t>附件：土地征收成片开发范围影像图</w:t>
      </w:r>
    </w:p>
    <w:p>
      <w:pPr>
        <w:jc w:val="center"/>
        <w:rPr>
          <w:rFonts w:hint="eastAsia" w:eastAsia="宋体"/>
          <w:lang w:eastAsia="zh-CN"/>
        </w:rPr>
      </w:pPr>
      <w:r>
        <w:rPr>
          <w:rFonts w:hint="eastAsia" w:eastAsia="宋体"/>
          <w:lang w:eastAsia="zh-CN"/>
        </w:rPr>
        <w:drawing>
          <wp:inline distT="0" distB="0" distL="0" distR="0">
            <wp:extent cx="8655050" cy="6120130"/>
            <wp:effectExtent l="0" t="0" r="1270" b="6350"/>
            <wp:docPr id="1026" name="图片 1" descr="C:/Users/PC/AppData/Local/Temp/picturecompress_20220208144128/output_1.jpgoutput_1"/>
            <wp:cNvGraphicFramePr/>
            <a:graphic xmlns:a="http://schemas.openxmlformats.org/drawingml/2006/main">
              <a:graphicData uri="http://schemas.openxmlformats.org/drawingml/2006/picture">
                <pic:pic xmlns:pic="http://schemas.openxmlformats.org/drawingml/2006/picture">
                  <pic:nvPicPr>
                    <pic:cNvPr id="1026" name="图片 1" descr="C:/Users/PC/AppData/Local/Temp/picturecompress_20220208144128/output_1.jpgoutput_1"/>
                    <pic:cNvPicPr/>
                  </pic:nvPicPr>
                  <pic:blipFill>
                    <a:blip r:embed="rId4" cstate="print"/>
                    <a:srcRect/>
                    <a:stretch>
                      <a:fillRect/>
                    </a:stretch>
                  </pic:blipFill>
                  <pic:spPr>
                    <a:xfrm>
                      <a:off x="0" y="0"/>
                      <a:ext cx="8655050" cy="6120130"/>
                    </a:xfrm>
                    <a:prstGeom prst="rect">
                      <a:avLst/>
                    </a:prstGeom>
                  </pic:spPr>
                </pic:pic>
              </a:graphicData>
            </a:graphic>
          </wp:inline>
        </w:drawing>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0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0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japaneseCounting"/>
      <w:lvlText w:val="%1、"/>
      <w:lvlJc w:val="left"/>
      <w:pPr>
        <w:ind w:left="810" w:hanging="8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1"/>
    <w:multiLevelType w:val="multilevel"/>
    <w:tmpl w:val="00000001"/>
    <w:lvl w:ilvl="0" w:tentative="0">
      <w:start w:val="1"/>
      <w:numFmt w:val="decimal"/>
      <w:pStyle w:val="2"/>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530F4C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6"/>
    <w:qFormat/>
    <w:uiPriority w:val="9"/>
    <w:pPr>
      <w:keepNext/>
      <w:keepLines/>
      <w:spacing w:before="260" w:after="260" w:line="416" w:lineRule="auto"/>
      <w:outlineLvl w:val="1"/>
    </w:pPr>
    <w:rPr>
      <w:rFonts w:ascii="等线 Light" w:hAnsi="等线 Light" w:eastAsia="等线 Light" w:cs="宋体"/>
      <w:b/>
      <w:bCs/>
      <w:sz w:val="32"/>
      <w:szCs w:val="32"/>
    </w:rPr>
  </w:style>
  <w:style w:type="paragraph" w:styleId="2">
    <w:name w:val="heading 3"/>
    <w:basedOn w:val="1"/>
    <w:next w:val="1"/>
    <w:qFormat/>
    <w:uiPriority w:val="0"/>
    <w:pPr>
      <w:keepNext/>
      <w:keepLines/>
      <w:numPr>
        <w:ilvl w:val="0"/>
        <w:numId w:val="1"/>
      </w:numPr>
      <w:outlineLvl w:val="2"/>
    </w:pPr>
    <w:rPr>
      <w:b/>
      <w:bCs/>
    </w:rPr>
  </w:style>
  <w:style w:type="character" w:default="1" w:styleId="9">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5">
    <w:name w:val="Body Text"/>
    <w:basedOn w:val="1"/>
    <w:link w:val="17"/>
    <w:qFormat/>
    <w:uiPriority w:val="1"/>
    <w:pPr>
      <w:autoSpaceDE w:val="0"/>
      <w:autoSpaceDN w:val="0"/>
      <w:spacing w:before="205"/>
      <w:ind w:left="100"/>
      <w:jc w:val="left"/>
    </w:pPr>
    <w:rPr>
      <w:rFonts w:ascii="宋体" w:hAnsi="宋体" w:cs="宋体"/>
      <w:kern w:val="0"/>
      <w:sz w:val="32"/>
      <w:szCs w:val="32"/>
      <w:lang w:eastAsia="en-US"/>
    </w:rPr>
  </w:style>
  <w:style w:type="paragraph" w:styleId="6">
    <w:name w:val="footer"/>
    <w:basedOn w:val="1"/>
    <w:link w:val="11"/>
    <w:qFormat/>
    <w:uiPriority w:val="99"/>
    <w:pPr>
      <w:tabs>
        <w:tab w:val="center" w:pos="4153"/>
        <w:tab w:val="right" w:pos="8306"/>
      </w:tabs>
      <w:snapToGrid w:val="0"/>
      <w:jc w:val="left"/>
    </w:pPr>
    <w:rPr>
      <w:sz w:val="18"/>
      <w:szCs w:val="18"/>
    </w:rPr>
  </w:style>
  <w:style w:type="paragraph" w:styleId="7">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sz w:val="18"/>
      <w:szCs w:val="18"/>
    </w:rPr>
  </w:style>
  <w:style w:type="character" w:customStyle="1" w:styleId="11">
    <w:name w:val="页脚 字符"/>
    <w:basedOn w:val="9"/>
    <w:link w:val="6"/>
    <w:qFormat/>
    <w:uiPriority w:val="99"/>
    <w:rPr>
      <w:sz w:val="18"/>
      <w:szCs w:val="18"/>
    </w:rPr>
  </w:style>
  <w:style w:type="character" w:customStyle="1" w:styleId="12">
    <w:name w:val="标题 1 字符"/>
    <w:basedOn w:val="9"/>
    <w:link w:val="3"/>
    <w:qFormat/>
    <w:uiPriority w:val="9"/>
    <w:rPr>
      <w:rFonts w:ascii="Times New Roman" w:hAnsi="Times New Roman" w:cs="Times New Roman"/>
      <w:b/>
      <w:bCs/>
      <w:kern w:val="44"/>
      <w:sz w:val="44"/>
      <w:szCs w:val="44"/>
    </w:rPr>
  </w:style>
  <w:style w:type="character" w:customStyle="1" w:styleId="13">
    <w:name w:val="fontstyle01"/>
    <w:basedOn w:val="9"/>
    <w:qFormat/>
    <w:uiPriority w:val="0"/>
    <w:rPr>
      <w:rFonts w:hint="eastAsia" w:ascii="仿宋_GB2312" w:eastAsia="仿宋_GB2312"/>
      <w:color w:val="000000"/>
      <w:sz w:val="32"/>
      <w:szCs w:val="32"/>
    </w:rPr>
  </w:style>
  <w:style w:type="character" w:customStyle="1" w:styleId="14">
    <w:name w:val="fontstyle21"/>
    <w:basedOn w:val="9"/>
    <w:qFormat/>
    <w:uiPriority w:val="0"/>
    <w:rPr>
      <w:rFonts w:hint="default" w:ascii="TimesNewRomanPSMT" w:hAnsi="TimesNewRomanPSMT"/>
      <w:color w:val="000000"/>
      <w:sz w:val="32"/>
      <w:szCs w:val="32"/>
    </w:rPr>
  </w:style>
  <w:style w:type="paragraph" w:styleId="15">
    <w:name w:val="List Paragraph"/>
    <w:basedOn w:val="1"/>
    <w:qFormat/>
    <w:uiPriority w:val="34"/>
    <w:pPr>
      <w:ind w:firstLine="420" w:firstLineChars="200"/>
    </w:pPr>
  </w:style>
  <w:style w:type="character" w:customStyle="1" w:styleId="16">
    <w:name w:val="标题 2 字符"/>
    <w:basedOn w:val="9"/>
    <w:link w:val="4"/>
    <w:qFormat/>
    <w:uiPriority w:val="9"/>
    <w:rPr>
      <w:rFonts w:ascii="等线 Light" w:hAnsi="等线 Light" w:eastAsia="等线 Light" w:cs="宋体"/>
      <w:b/>
      <w:bCs/>
      <w:sz w:val="32"/>
      <w:szCs w:val="32"/>
    </w:rPr>
  </w:style>
  <w:style w:type="character" w:customStyle="1" w:styleId="17">
    <w:name w:val="正文文本 字符"/>
    <w:basedOn w:val="9"/>
    <w:link w:val="5"/>
    <w:qFormat/>
    <w:uiPriority w:val="1"/>
    <w:rPr>
      <w:rFonts w:ascii="宋体" w:hAnsi="宋体" w:cs="宋体"/>
      <w:kern w:val="0"/>
      <w:sz w:val="32"/>
      <w:szCs w:val="32"/>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1467</Words>
  <Characters>1542</Characters>
  <Paragraphs>60</Paragraphs>
  <TotalTime>2</TotalTime>
  <ScaleCrop>false</ScaleCrop>
  <LinksUpToDate>false</LinksUpToDate>
  <CharactersWithSpaces>1543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2021-05-25T14:00:00Z</dcterms:created>
  <dc:creator>PC</dc:creator>
  <cp:lastModifiedBy>黄家卫</cp:lastModifiedBy>
  <cp:lastPrinted>2022-04-08T03:36:24Z</cp:lastPrinted>
  <dcterms:modified xsi:type="dcterms:W3CDTF">2022-04-08T03:37:24Z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8CFCEB0CFD954AE1A26AD6868F8C4812</vt:lpwstr>
  </property>
</Properties>
</file>