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eastAsia="zh-CN"/>
        </w:rPr>
        <w:t>附件</w:t>
      </w:r>
      <w:r>
        <w:rPr>
          <w:rFonts w:hint="default" w:ascii="Times New Roman" w:hAnsi="Times New Roman" w:eastAsia="黑体" w:cs="Times New Roman"/>
          <w:color w:val="auto"/>
          <w:sz w:val="32"/>
          <w:szCs w:val="32"/>
          <w:highlight w:val="none"/>
          <w:lang w:val="en-US" w:eastAsia="zh-CN"/>
        </w:rPr>
        <w:t>5</w:t>
      </w:r>
    </w:p>
    <w:p>
      <w:pPr>
        <w:rPr>
          <w:rFonts w:hint="default" w:ascii="Times New Roman" w:hAnsi="Times New Roman" w:cs="Times New Roman"/>
          <w:lang w:val="en-US" w:eastAsia="zh-CN"/>
        </w:rPr>
      </w:pPr>
    </w:p>
    <w:p>
      <w:pPr>
        <w:pStyle w:val="4"/>
        <w:rPr>
          <w:rFonts w:hint="default" w:ascii="Times New Roman" w:hAnsi="Times New Roman" w:cs="Times New Roman"/>
          <w:color w:val="auto"/>
          <w:sz w:val="28"/>
          <w:szCs w:val="28"/>
          <w:highlight w:val="none"/>
          <w:lang w:val="en-US" w:eastAsia="zh-CN"/>
        </w:rPr>
      </w:pPr>
    </w:p>
    <w:p>
      <w:pPr>
        <w:overflowPunct w:val="0"/>
        <w:spacing w:line="700" w:lineRule="exact"/>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中山火炬开发区促进居民就业创业</w:t>
      </w:r>
    </w:p>
    <w:p>
      <w:pPr>
        <w:overflowPunct w:val="0"/>
        <w:spacing w:line="700" w:lineRule="exact"/>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工作考核办法</w:t>
      </w:r>
    </w:p>
    <w:p>
      <w:pPr>
        <w:pStyle w:val="2"/>
        <w:rPr>
          <w:rFonts w:hint="default" w:ascii="Times New Roman" w:hAnsi="Times New Roman" w:cs="Times New Roman"/>
        </w:rPr>
      </w:pPr>
    </w:p>
    <w:p>
      <w:pPr>
        <w:keepNext w:val="0"/>
        <w:keepLines w:val="0"/>
        <w:pageBreakBefore w:val="0"/>
        <w:widowControl/>
        <w:kinsoku/>
        <w:wordWrap/>
        <w:overflowPunct/>
        <w:topLinePunct w:val="0"/>
        <w:autoSpaceDE/>
        <w:autoSpaceDN/>
        <w:bidi w:val="0"/>
        <w:snapToGrid w:val="0"/>
        <w:spacing w:line="560" w:lineRule="exact"/>
        <w:ind w:left="0" w:leftChars="0" w:right="0" w:rightChars="0" w:firstLine="640" w:firstLineChars="200"/>
        <w:textAlignment w:val="auto"/>
        <w:outlineLvl w:val="1"/>
        <w:rPr>
          <w:rFonts w:hint="default" w:ascii="Times New Roman" w:hAnsi="Times New Roman" w:eastAsia="仿宋_GB2312" w:cs="Times New Roman"/>
          <w:color w:val="auto"/>
          <w:kern w:val="36"/>
          <w:sz w:val="32"/>
          <w:szCs w:val="32"/>
          <w:highlight w:val="none"/>
        </w:rPr>
      </w:pPr>
      <w:r>
        <w:rPr>
          <w:rFonts w:hint="default" w:ascii="Times New Roman" w:hAnsi="Times New Roman" w:eastAsia="仿宋_GB2312" w:cs="Times New Roman"/>
          <w:color w:val="auto"/>
          <w:kern w:val="36"/>
          <w:sz w:val="32"/>
          <w:szCs w:val="32"/>
          <w:highlight w:val="none"/>
        </w:rPr>
        <w:t>为建立和完善促进居民就业创业工作目标管理责任制，促进我区居民就业创业工作深入开展，根据</w:t>
      </w:r>
      <w:r>
        <w:rPr>
          <w:rFonts w:hint="default" w:ascii="Times New Roman" w:hAnsi="Times New Roman" w:eastAsia="仿宋_GB2312" w:cs="Times New Roman"/>
          <w:color w:val="auto"/>
          <w:sz w:val="32"/>
          <w:szCs w:val="32"/>
          <w:highlight w:val="none"/>
        </w:rPr>
        <w:t>《中山火炬开发区关于进一步推进就业创业和职业技能培训工程的实施办法》</w:t>
      </w:r>
      <w:r>
        <w:rPr>
          <w:rFonts w:hint="default" w:ascii="Times New Roman" w:hAnsi="Times New Roman" w:eastAsia="仿宋_GB2312" w:cs="Times New Roman"/>
          <w:color w:val="auto"/>
          <w:kern w:val="36"/>
          <w:sz w:val="32"/>
          <w:szCs w:val="32"/>
          <w:highlight w:val="none"/>
        </w:rPr>
        <w:t>的要求，特制定本考核办法。</w:t>
      </w:r>
    </w:p>
    <w:p>
      <w:pPr>
        <w:keepNext w:val="0"/>
        <w:keepLines w:val="0"/>
        <w:pageBreakBefore w:val="0"/>
        <w:widowControl/>
        <w:kinsoku/>
        <w:wordWrap/>
        <w:overflowPunct/>
        <w:topLinePunct w:val="0"/>
        <w:autoSpaceDE/>
        <w:autoSpaceDN/>
        <w:bidi w:val="0"/>
        <w:snapToGrid w:val="0"/>
        <w:spacing w:line="560" w:lineRule="exact"/>
        <w:ind w:left="0" w:leftChars="0" w:right="0" w:rightChars="0" w:firstLine="640" w:firstLineChars="200"/>
        <w:jc w:val="left"/>
        <w:textAlignment w:val="auto"/>
        <w:outlineLvl w:val="1"/>
        <w:rPr>
          <w:rFonts w:hint="default" w:ascii="Times New Roman" w:hAnsi="Times New Roman" w:eastAsia="黑体" w:cs="Times New Roman"/>
          <w:color w:val="auto"/>
          <w:kern w:val="36"/>
          <w:sz w:val="32"/>
          <w:szCs w:val="32"/>
          <w:highlight w:val="none"/>
        </w:rPr>
      </w:pPr>
      <w:r>
        <w:rPr>
          <w:rFonts w:hint="default" w:ascii="Times New Roman" w:hAnsi="Times New Roman" w:eastAsia="黑体" w:cs="Times New Roman"/>
          <w:color w:val="auto"/>
          <w:kern w:val="36"/>
          <w:sz w:val="32"/>
          <w:szCs w:val="32"/>
          <w:highlight w:val="none"/>
        </w:rPr>
        <w:t>一、考评对象</w:t>
      </w:r>
    </w:p>
    <w:p>
      <w:pPr>
        <w:keepNext w:val="0"/>
        <w:keepLines w:val="0"/>
        <w:pageBreakBefore w:val="0"/>
        <w:widowControl/>
        <w:kinsoku/>
        <w:wordWrap/>
        <w:overflowPunct/>
        <w:topLinePunct w:val="0"/>
        <w:autoSpaceDE/>
        <w:autoSpaceDN/>
        <w:bidi w:val="0"/>
        <w:snapToGrid w:val="0"/>
        <w:spacing w:line="560" w:lineRule="exact"/>
        <w:ind w:left="0" w:leftChars="0" w:right="0" w:rightChars="0" w:firstLine="640" w:firstLineChars="200"/>
        <w:jc w:val="left"/>
        <w:textAlignment w:val="auto"/>
        <w:outlineLvl w:val="1"/>
        <w:rPr>
          <w:rFonts w:hint="default" w:ascii="Times New Roman" w:hAnsi="Times New Roman" w:eastAsia="仿宋_GB2312" w:cs="Times New Roman"/>
          <w:color w:val="auto"/>
          <w:kern w:val="36"/>
          <w:sz w:val="32"/>
          <w:szCs w:val="32"/>
          <w:highlight w:val="none"/>
        </w:rPr>
      </w:pPr>
      <w:r>
        <w:rPr>
          <w:rFonts w:hint="default" w:ascii="Times New Roman" w:hAnsi="Times New Roman" w:eastAsia="仿宋_GB2312" w:cs="Times New Roman"/>
          <w:color w:val="auto"/>
          <w:kern w:val="36"/>
          <w:sz w:val="32"/>
          <w:szCs w:val="32"/>
          <w:highlight w:val="none"/>
        </w:rPr>
        <w:t>区属行政事业单位、各大</w:t>
      </w:r>
      <w:r>
        <w:rPr>
          <w:rFonts w:hint="default" w:ascii="Times New Roman" w:hAnsi="Times New Roman" w:eastAsia="仿宋_GB2312" w:cs="Times New Roman"/>
          <w:color w:val="auto"/>
          <w:kern w:val="36"/>
          <w:sz w:val="32"/>
          <w:szCs w:val="32"/>
          <w:highlight w:val="none"/>
          <w:lang w:eastAsia="zh-CN"/>
        </w:rPr>
        <w:t>总（集团）公司</w:t>
      </w:r>
      <w:r>
        <w:rPr>
          <w:rFonts w:hint="default" w:ascii="Times New Roman" w:hAnsi="Times New Roman" w:eastAsia="仿宋_GB2312" w:cs="Times New Roman"/>
          <w:color w:val="auto"/>
          <w:kern w:val="36"/>
          <w:sz w:val="32"/>
          <w:szCs w:val="32"/>
          <w:highlight w:val="none"/>
        </w:rPr>
        <w:t>及其属下分支机构、社会经济实体企业和各社区。</w:t>
      </w:r>
    </w:p>
    <w:p>
      <w:pPr>
        <w:keepNext w:val="0"/>
        <w:keepLines w:val="0"/>
        <w:pageBreakBefore w:val="0"/>
        <w:widowControl/>
        <w:kinsoku/>
        <w:wordWrap/>
        <w:overflowPunct/>
        <w:topLinePunct w:val="0"/>
        <w:autoSpaceDE/>
        <w:autoSpaceDN/>
        <w:bidi w:val="0"/>
        <w:snapToGrid w:val="0"/>
        <w:spacing w:line="560" w:lineRule="exact"/>
        <w:ind w:left="0" w:leftChars="0" w:right="0" w:rightChars="0" w:firstLine="640" w:firstLineChars="200"/>
        <w:jc w:val="left"/>
        <w:textAlignment w:val="auto"/>
        <w:outlineLvl w:val="1"/>
        <w:rPr>
          <w:rFonts w:hint="default" w:ascii="Times New Roman" w:hAnsi="Times New Roman" w:eastAsia="黑体" w:cs="Times New Roman"/>
          <w:color w:val="auto"/>
          <w:kern w:val="36"/>
          <w:sz w:val="32"/>
          <w:szCs w:val="32"/>
          <w:highlight w:val="none"/>
        </w:rPr>
      </w:pPr>
      <w:r>
        <w:rPr>
          <w:rFonts w:hint="default" w:ascii="Times New Roman" w:hAnsi="Times New Roman" w:eastAsia="黑体" w:cs="Times New Roman"/>
          <w:color w:val="auto"/>
          <w:kern w:val="36"/>
          <w:sz w:val="32"/>
          <w:szCs w:val="32"/>
          <w:highlight w:val="none"/>
        </w:rPr>
        <w:t>二、考评内容</w:t>
      </w:r>
    </w:p>
    <w:p>
      <w:pPr>
        <w:keepNext w:val="0"/>
        <w:keepLines w:val="0"/>
        <w:pageBreakBefore w:val="0"/>
        <w:widowControl/>
        <w:kinsoku/>
        <w:wordWrap/>
        <w:overflowPunct/>
        <w:topLinePunct w:val="0"/>
        <w:autoSpaceDE/>
        <w:autoSpaceDN/>
        <w:bidi w:val="0"/>
        <w:snapToGrid w:val="0"/>
        <w:spacing w:line="560" w:lineRule="exact"/>
        <w:ind w:left="0" w:leftChars="0" w:right="0" w:rightChars="0" w:firstLine="460"/>
        <w:jc w:val="left"/>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（一）区属行政事业单位，配合咨询活动，一年不少于2次；协助人社部门宣传就业创业政策；积极发动所在单位编外人员参加技能培训。</w:t>
      </w:r>
    </w:p>
    <w:p>
      <w:pPr>
        <w:keepNext w:val="0"/>
        <w:keepLines w:val="0"/>
        <w:pageBreakBefore w:val="0"/>
        <w:widowControl/>
        <w:kinsoku/>
        <w:wordWrap/>
        <w:overflowPunct/>
        <w:topLinePunct w:val="0"/>
        <w:autoSpaceDE/>
        <w:autoSpaceDN/>
        <w:bidi w:val="0"/>
        <w:snapToGrid w:val="0"/>
        <w:spacing w:line="560" w:lineRule="exact"/>
        <w:ind w:left="0" w:leftChars="0" w:right="0" w:rightChars="0" w:firstLine="460"/>
        <w:jc w:val="left"/>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（二）各大</w:t>
      </w:r>
      <w:r>
        <w:rPr>
          <w:rFonts w:hint="default" w:ascii="Times New Roman" w:hAnsi="Times New Roman" w:eastAsia="仿宋_GB2312" w:cs="Times New Roman"/>
          <w:color w:val="auto"/>
          <w:sz w:val="32"/>
          <w:szCs w:val="32"/>
          <w:highlight w:val="none"/>
          <w:lang w:eastAsia="zh-CN"/>
        </w:rPr>
        <w:t>总（集团）公司</w:t>
      </w:r>
      <w:r>
        <w:rPr>
          <w:rFonts w:hint="default" w:ascii="Times New Roman" w:hAnsi="Times New Roman" w:eastAsia="仿宋_GB2312" w:cs="Times New Roman"/>
          <w:color w:val="auto"/>
          <w:sz w:val="32"/>
          <w:szCs w:val="32"/>
          <w:highlight w:val="none"/>
        </w:rPr>
        <w:t>及其属下分支机构（区属公有企业），积极招用大学生、解决大学生就业；配合开展职业技能培训工作；举办招聘会活动；积极宣传就业创业政策；培训人才统计工作；每家</w:t>
      </w:r>
      <w:r>
        <w:rPr>
          <w:rFonts w:hint="default" w:ascii="Times New Roman" w:hAnsi="Times New Roman" w:eastAsia="仿宋_GB2312" w:cs="Times New Roman"/>
          <w:color w:val="auto"/>
          <w:sz w:val="32"/>
          <w:szCs w:val="32"/>
          <w:highlight w:val="none"/>
          <w:lang w:eastAsia="zh-CN"/>
        </w:rPr>
        <w:t>总（集团）公司</w:t>
      </w:r>
      <w:r>
        <w:rPr>
          <w:rFonts w:hint="default" w:ascii="Times New Roman" w:hAnsi="Times New Roman" w:eastAsia="仿宋_GB2312" w:cs="Times New Roman"/>
          <w:color w:val="auto"/>
          <w:sz w:val="32"/>
          <w:szCs w:val="32"/>
          <w:highlight w:val="none"/>
        </w:rPr>
        <w:t>至少有2个创业孵化器等。</w:t>
      </w:r>
    </w:p>
    <w:p>
      <w:pPr>
        <w:keepNext w:val="0"/>
        <w:keepLines w:val="0"/>
        <w:pageBreakBefore w:val="0"/>
        <w:widowControl/>
        <w:kinsoku/>
        <w:wordWrap/>
        <w:overflowPunct/>
        <w:topLinePunct w:val="0"/>
        <w:autoSpaceDE/>
        <w:autoSpaceDN/>
        <w:bidi w:val="0"/>
        <w:snapToGrid w:val="0"/>
        <w:spacing w:line="560" w:lineRule="exact"/>
        <w:ind w:left="0" w:leftChars="0" w:right="0" w:rightChars="0" w:firstLine="460"/>
        <w:jc w:val="left"/>
        <w:textAlignment w:val="auto"/>
        <w:outlineLvl w:val="1"/>
        <w:rPr>
          <w:rFonts w:hint="default" w:ascii="Times New Roman" w:hAnsi="Times New Roman" w:eastAsia="仿宋_GB2312" w:cs="Times New Roman"/>
          <w:color w:val="auto"/>
          <w:kern w:val="36"/>
          <w:sz w:val="32"/>
          <w:szCs w:val="32"/>
          <w:highlight w:val="none"/>
        </w:rPr>
      </w:pPr>
      <w:r>
        <w:rPr>
          <w:rFonts w:hint="default" w:ascii="Times New Roman" w:hAnsi="Times New Roman" w:eastAsia="仿宋_GB2312" w:cs="Times New Roman"/>
          <w:color w:val="auto"/>
          <w:kern w:val="36"/>
          <w:sz w:val="32"/>
          <w:szCs w:val="32"/>
          <w:highlight w:val="none"/>
        </w:rPr>
        <w:t>（三）对我区各社区，以百分制量化考核社区的就业创业工作，并按实得分数计算基础奖励金额。同时，实行目标就业率超额奖，即提升就业率奖励。最终奖励是由基础奖励金额与提升就业率奖励金额相加所得。</w:t>
      </w:r>
    </w:p>
    <w:p>
      <w:pPr>
        <w:keepNext w:val="0"/>
        <w:keepLines w:val="0"/>
        <w:pageBreakBefore w:val="0"/>
        <w:widowControl/>
        <w:kinsoku/>
        <w:wordWrap/>
        <w:overflowPunct/>
        <w:topLinePunct w:val="0"/>
        <w:autoSpaceDE/>
        <w:autoSpaceDN/>
        <w:bidi w:val="0"/>
        <w:snapToGrid w:val="0"/>
        <w:spacing w:line="560" w:lineRule="exact"/>
        <w:ind w:left="0" w:leftChars="0" w:right="0" w:rightChars="0" w:firstLine="640" w:firstLineChars="200"/>
        <w:jc w:val="left"/>
        <w:textAlignment w:val="auto"/>
        <w:outlineLvl w:val="1"/>
        <w:rPr>
          <w:rFonts w:hint="default" w:ascii="Times New Roman" w:hAnsi="Times New Roman" w:eastAsia="仿宋_GB2312" w:cs="Times New Roman"/>
          <w:color w:val="auto"/>
          <w:kern w:val="36"/>
          <w:sz w:val="32"/>
          <w:szCs w:val="32"/>
          <w:highlight w:val="none"/>
        </w:rPr>
      </w:pPr>
      <w:r>
        <w:rPr>
          <w:rFonts w:hint="default" w:ascii="Times New Roman" w:hAnsi="Times New Roman" w:eastAsia="仿宋_GB2312" w:cs="Times New Roman"/>
          <w:color w:val="auto"/>
          <w:sz w:val="32"/>
          <w:szCs w:val="32"/>
          <w:highlight w:val="none"/>
        </w:rPr>
        <w:t>1．带股联社社区的奖励基础数分两类，第一类为应就业年龄段人数在5000人以上的社区，包括张家边、联富，基数为6万元，第二类为应就业年龄段人数在5000人以下的社区，包括六和、城东、海滨，基础数为5万元；不带股联社社区奖励基础数也分两类，第一类为居民数较多的中山港社区，基础数为3万元，第二类为居民数较少的博凯社区，基础数为2万元。</w:t>
      </w:r>
      <w:r>
        <w:rPr>
          <w:rFonts w:hint="default" w:ascii="Times New Roman" w:hAnsi="Times New Roman" w:eastAsia="仿宋_GB2312" w:cs="Times New Roman"/>
          <w:color w:val="auto"/>
          <w:kern w:val="36"/>
          <w:sz w:val="32"/>
          <w:szCs w:val="32"/>
          <w:highlight w:val="none"/>
        </w:rPr>
        <w:t>量化考核总分70分以下的社区不给予奖励；70分(含70分)-80分的按奖励基础数的70%奖励；80分(含80分)-90分的按奖励基础数的80%奖励；90分(含90分)-99分的按奖励基础数的90%奖励；100分的按奖励基础数的100%奖励。</w:t>
      </w:r>
    </w:p>
    <w:p>
      <w:pPr>
        <w:keepNext w:val="0"/>
        <w:keepLines w:val="0"/>
        <w:pageBreakBefore w:val="0"/>
        <w:widowControl/>
        <w:kinsoku/>
        <w:wordWrap/>
        <w:overflowPunct/>
        <w:topLinePunct w:val="0"/>
        <w:autoSpaceDE/>
        <w:autoSpaceDN/>
        <w:bidi w:val="0"/>
        <w:snapToGrid w:val="0"/>
        <w:spacing w:line="560" w:lineRule="exact"/>
        <w:ind w:left="0" w:leftChars="0" w:right="0" w:rightChars="0" w:firstLine="640" w:firstLineChars="200"/>
        <w:jc w:val="left"/>
        <w:textAlignment w:val="auto"/>
        <w:outlineLvl w:val="1"/>
        <w:rPr>
          <w:rFonts w:hint="default" w:ascii="Times New Roman" w:hAnsi="Times New Roman" w:eastAsia="仿宋_GB2312" w:cs="Times New Roman"/>
          <w:color w:val="auto"/>
          <w:kern w:val="36"/>
          <w:sz w:val="32"/>
          <w:szCs w:val="32"/>
          <w:highlight w:val="none"/>
        </w:rPr>
      </w:pPr>
      <w:r>
        <w:rPr>
          <w:rFonts w:hint="default" w:ascii="Times New Roman" w:hAnsi="Times New Roman" w:eastAsia="仿宋_GB2312" w:cs="Times New Roman"/>
          <w:color w:val="auto"/>
          <w:kern w:val="36"/>
          <w:sz w:val="32"/>
          <w:szCs w:val="32"/>
          <w:highlight w:val="none"/>
        </w:rPr>
        <w:t>2．提升就业率奖励金额，带股联社社区的居民就业率的目标数为80%以上，在80%的基础上每提高1%奖励2000元；不带股联社社区的居民就业率的目标数为92%以上，在92%的基础上每提高1%奖励2000元。</w:t>
      </w:r>
    </w:p>
    <w:p>
      <w:pPr>
        <w:keepNext w:val="0"/>
        <w:keepLines w:val="0"/>
        <w:pageBreakBefore w:val="0"/>
        <w:widowControl/>
        <w:kinsoku/>
        <w:wordWrap/>
        <w:overflowPunct/>
        <w:topLinePunct w:val="0"/>
        <w:autoSpaceDE/>
        <w:autoSpaceDN/>
        <w:bidi w:val="0"/>
        <w:snapToGrid w:val="0"/>
        <w:spacing w:line="560" w:lineRule="exact"/>
        <w:ind w:left="0" w:leftChars="0" w:right="0" w:rightChars="0" w:firstLine="640" w:firstLineChars="200"/>
        <w:jc w:val="left"/>
        <w:textAlignment w:val="auto"/>
        <w:outlineLvl w:val="1"/>
        <w:rPr>
          <w:rFonts w:hint="default" w:ascii="Times New Roman" w:hAnsi="Times New Roman" w:eastAsia="仿宋_GB2312" w:cs="Times New Roman"/>
          <w:color w:val="auto"/>
          <w:kern w:val="36"/>
          <w:sz w:val="32"/>
          <w:szCs w:val="32"/>
          <w:highlight w:val="none"/>
        </w:rPr>
      </w:pPr>
      <w:r>
        <w:rPr>
          <w:rFonts w:hint="default" w:ascii="Times New Roman" w:hAnsi="Times New Roman" w:eastAsia="仿宋_GB2312" w:cs="Times New Roman"/>
          <w:color w:val="auto"/>
          <w:kern w:val="36"/>
          <w:sz w:val="32"/>
          <w:szCs w:val="32"/>
          <w:highlight w:val="none"/>
        </w:rPr>
        <w:t>3．各社区量化考核内容如下：</w:t>
      </w:r>
    </w:p>
    <w:p>
      <w:pPr>
        <w:keepNext w:val="0"/>
        <w:keepLines w:val="0"/>
        <w:pageBreakBefore w:val="0"/>
        <w:widowControl/>
        <w:kinsoku/>
        <w:wordWrap/>
        <w:overflowPunct/>
        <w:topLinePunct w:val="0"/>
        <w:autoSpaceDE/>
        <w:autoSpaceDN/>
        <w:bidi w:val="0"/>
        <w:snapToGrid w:val="0"/>
        <w:spacing w:line="560" w:lineRule="exact"/>
        <w:ind w:left="0" w:leftChars="0" w:right="0" w:rightChars="0" w:firstLine="640" w:firstLineChars="200"/>
        <w:jc w:val="left"/>
        <w:textAlignment w:val="auto"/>
        <w:outlineLvl w:val="1"/>
        <w:rPr>
          <w:rFonts w:hint="default" w:ascii="Times New Roman" w:hAnsi="Times New Roman" w:eastAsia="仿宋_GB2312" w:cs="Times New Roman"/>
          <w:color w:val="auto"/>
          <w:kern w:val="36"/>
          <w:sz w:val="32"/>
          <w:szCs w:val="32"/>
          <w:highlight w:val="none"/>
        </w:rPr>
      </w:pPr>
      <w:r>
        <w:rPr>
          <w:rFonts w:hint="default" w:ascii="Times New Roman" w:hAnsi="Times New Roman" w:eastAsia="仿宋_GB2312" w:cs="Times New Roman"/>
          <w:color w:val="auto"/>
          <w:kern w:val="36"/>
          <w:sz w:val="32"/>
          <w:szCs w:val="32"/>
          <w:highlight w:val="none"/>
        </w:rPr>
        <w:t>（1）带股联社的社区目标就业率达80%以上，得20分；不带股联社的社区目标就业率达92%以上，得20分；就业率在目标就业率以下的为0分。</w:t>
      </w:r>
      <w:r>
        <w:rPr>
          <w:rFonts w:hint="default" w:ascii="Times New Roman" w:hAnsi="Times New Roman" w:eastAsia="仿宋_GB2312" w:cs="Times New Roman"/>
          <w:color w:val="auto"/>
          <w:sz w:val="32"/>
          <w:szCs w:val="32"/>
          <w:highlight w:val="none"/>
        </w:rPr>
        <w:t>如需核减空挂户人员，需提供公安分局加具意见的证明材料。</w:t>
      </w:r>
    </w:p>
    <w:p>
      <w:pPr>
        <w:keepNext w:val="0"/>
        <w:keepLines w:val="0"/>
        <w:pageBreakBefore w:val="0"/>
        <w:widowControl/>
        <w:kinsoku/>
        <w:wordWrap/>
        <w:overflowPunct/>
        <w:topLinePunct w:val="0"/>
        <w:autoSpaceDE/>
        <w:autoSpaceDN/>
        <w:bidi w:val="0"/>
        <w:snapToGrid w:val="0"/>
        <w:spacing w:line="560" w:lineRule="exact"/>
        <w:ind w:left="0" w:leftChars="0" w:right="0" w:rightChars="0" w:firstLine="640" w:firstLineChars="200"/>
        <w:jc w:val="left"/>
        <w:textAlignment w:val="auto"/>
        <w:outlineLvl w:val="1"/>
        <w:rPr>
          <w:rFonts w:hint="default" w:ascii="Times New Roman" w:hAnsi="Times New Roman" w:eastAsia="仿宋_GB2312" w:cs="Times New Roman"/>
          <w:color w:val="auto"/>
          <w:kern w:val="36"/>
          <w:sz w:val="32"/>
          <w:szCs w:val="32"/>
          <w:highlight w:val="none"/>
        </w:rPr>
      </w:pPr>
      <w:r>
        <w:rPr>
          <w:rFonts w:hint="default" w:ascii="Times New Roman" w:hAnsi="Times New Roman" w:eastAsia="仿宋_GB2312" w:cs="Times New Roman"/>
          <w:color w:val="auto"/>
          <w:kern w:val="36"/>
          <w:sz w:val="32"/>
          <w:szCs w:val="32"/>
          <w:highlight w:val="none"/>
        </w:rPr>
        <w:t>（2）</w:t>
      </w:r>
      <w:r>
        <w:rPr>
          <w:rFonts w:hint="default" w:ascii="Times New Roman" w:hAnsi="Times New Roman" w:eastAsia="仿宋_GB2312" w:cs="Times New Roman"/>
          <w:color w:val="auto"/>
          <w:sz w:val="32"/>
          <w:szCs w:val="32"/>
          <w:highlight w:val="none"/>
        </w:rPr>
        <w:t>应届毕业生自毕业后半年内95%以上（含95%）就业创业，得10分；92%以上（含92%）就业创业，得5分；92%以下的不得分</w:t>
      </w:r>
      <w:r>
        <w:rPr>
          <w:rFonts w:hint="default" w:ascii="Times New Roman" w:hAnsi="Times New Roman" w:eastAsia="仿宋_GB2312" w:cs="Times New Roman"/>
          <w:color w:val="auto"/>
          <w:kern w:val="36"/>
          <w:sz w:val="32"/>
          <w:szCs w:val="32"/>
          <w:highlight w:val="none"/>
        </w:rPr>
        <w:t>。</w:t>
      </w:r>
    </w:p>
    <w:p>
      <w:pPr>
        <w:keepNext w:val="0"/>
        <w:keepLines w:val="0"/>
        <w:pageBreakBefore w:val="0"/>
        <w:widowControl/>
        <w:kinsoku/>
        <w:wordWrap/>
        <w:overflowPunct/>
        <w:topLinePunct w:val="0"/>
        <w:autoSpaceDE/>
        <w:autoSpaceDN/>
        <w:bidi w:val="0"/>
        <w:snapToGrid w:val="0"/>
        <w:spacing w:line="560" w:lineRule="exact"/>
        <w:ind w:left="0" w:leftChars="0" w:right="0" w:rightChars="0" w:firstLine="640" w:firstLineChars="200"/>
        <w:jc w:val="left"/>
        <w:textAlignment w:val="auto"/>
        <w:outlineLvl w:val="1"/>
        <w:rPr>
          <w:rFonts w:hint="default" w:ascii="Times New Roman" w:hAnsi="Times New Roman" w:eastAsia="仿宋_GB2312" w:cs="Times New Roman"/>
          <w:color w:val="auto"/>
          <w:kern w:val="36"/>
          <w:sz w:val="32"/>
          <w:szCs w:val="32"/>
          <w:highlight w:val="none"/>
        </w:rPr>
      </w:pPr>
      <w:r>
        <w:rPr>
          <w:rFonts w:hint="default" w:ascii="Times New Roman" w:hAnsi="Times New Roman" w:eastAsia="仿宋_GB2312" w:cs="Times New Roman"/>
          <w:color w:val="auto"/>
          <w:kern w:val="36"/>
          <w:sz w:val="32"/>
          <w:szCs w:val="32"/>
          <w:highlight w:val="none"/>
        </w:rPr>
        <w:t>（3）应届毕业生毕业一年后（次年6月底）上岗巩固率100%，得10分；上岗巩固率99%以上（含99%），得8分；上岗巩固率98%以上（含98%），得5分；上岗巩固率95%以上（含95%），得3分；95%以下的不得分。</w:t>
      </w:r>
    </w:p>
    <w:p>
      <w:pPr>
        <w:keepNext w:val="0"/>
        <w:keepLines w:val="0"/>
        <w:pageBreakBefore w:val="0"/>
        <w:widowControl/>
        <w:kinsoku/>
        <w:wordWrap/>
        <w:overflowPunct/>
        <w:topLinePunct w:val="0"/>
        <w:autoSpaceDE/>
        <w:autoSpaceDN/>
        <w:bidi w:val="0"/>
        <w:snapToGrid w:val="0"/>
        <w:spacing w:line="560" w:lineRule="exact"/>
        <w:ind w:left="0" w:leftChars="0" w:right="0" w:rightChars="0" w:firstLine="640" w:firstLineChars="200"/>
        <w:jc w:val="left"/>
        <w:textAlignment w:val="auto"/>
        <w:outlineLvl w:val="1"/>
        <w:rPr>
          <w:rFonts w:hint="default" w:ascii="Times New Roman" w:hAnsi="Times New Roman" w:eastAsia="仿宋_GB2312" w:cs="Times New Roman"/>
          <w:color w:val="auto"/>
          <w:kern w:val="36"/>
          <w:sz w:val="32"/>
          <w:szCs w:val="32"/>
          <w:highlight w:val="none"/>
        </w:rPr>
      </w:pPr>
      <w:r>
        <w:rPr>
          <w:rFonts w:hint="default" w:ascii="Times New Roman" w:hAnsi="Times New Roman" w:eastAsia="仿宋_GB2312" w:cs="Times New Roman"/>
          <w:color w:val="auto"/>
          <w:kern w:val="36"/>
          <w:sz w:val="32"/>
          <w:szCs w:val="32"/>
          <w:highlight w:val="none"/>
        </w:rPr>
        <w:t>（4）居民技能培训任务落实。100%完成的，得20分；落实99%，得15分；落实98%以上，得10分；落实95%以上（含95%），得5分，95%以下的不得分。</w:t>
      </w:r>
    </w:p>
    <w:p>
      <w:pPr>
        <w:keepNext w:val="0"/>
        <w:keepLines w:val="0"/>
        <w:pageBreakBefore w:val="0"/>
        <w:widowControl/>
        <w:kinsoku/>
        <w:wordWrap/>
        <w:overflowPunct/>
        <w:topLinePunct w:val="0"/>
        <w:autoSpaceDE/>
        <w:autoSpaceDN/>
        <w:bidi w:val="0"/>
        <w:snapToGrid w:val="0"/>
        <w:spacing w:line="560" w:lineRule="exact"/>
        <w:ind w:left="0" w:leftChars="0" w:right="0" w:rightChars="0" w:firstLine="640" w:firstLineChars="200"/>
        <w:jc w:val="left"/>
        <w:textAlignment w:val="auto"/>
        <w:outlineLvl w:val="1"/>
        <w:rPr>
          <w:rFonts w:hint="default" w:ascii="Times New Roman" w:hAnsi="Times New Roman" w:eastAsia="仿宋_GB2312" w:cs="Times New Roman"/>
          <w:color w:val="auto"/>
          <w:kern w:val="36"/>
          <w:sz w:val="32"/>
          <w:szCs w:val="32"/>
          <w:highlight w:val="none"/>
        </w:rPr>
      </w:pPr>
      <w:r>
        <w:rPr>
          <w:rFonts w:hint="default" w:ascii="Times New Roman" w:hAnsi="Times New Roman" w:eastAsia="仿宋_GB2312" w:cs="Times New Roman"/>
          <w:color w:val="auto"/>
          <w:kern w:val="36"/>
          <w:sz w:val="32"/>
          <w:szCs w:val="32"/>
          <w:highlight w:val="none"/>
        </w:rPr>
        <w:t>（5）有就业意愿居民就业。100%就业的得10分；99%就业，得8分；98%就业，得5分；97%就业，得3分。</w:t>
      </w:r>
    </w:p>
    <w:p>
      <w:pPr>
        <w:keepNext w:val="0"/>
        <w:keepLines w:val="0"/>
        <w:pageBreakBefore w:val="0"/>
        <w:widowControl/>
        <w:kinsoku/>
        <w:wordWrap/>
        <w:overflowPunct/>
        <w:topLinePunct w:val="0"/>
        <w:autoSpaceDE/>
        <w:autoSpaceDN/>
        <w:bidi w:val="0"/>
        <w:snapToGrid w:val="0"/>
        <w:spacing w:line="560" w:lineRule="exact"/>
        <w:ind w:left="0" w:leftChars="0" w:right="0" w:rightChars="0" w:firstLine="640" w:firstLineChars="200"/>
        <w:jc w:val="left"/>
        <w:textAlignment w:val="auto"/>
        <w:outlineLvl w:val="1"/>
        <w:rPr>
          <w:rFonts w:hint="default" w:ascii="Times New Roman" w:hAnsi="Times New Roman" w:eastAsia="仿宋_GB2312" w:cs="Times New Roman"/>
          <w:color w:val="auto"/>
          <w:kern w:val="36"/>
          <w:sz w:val="32"/>
          <w:szCs w:val="32"/>
          <w:highlight w:val="none"/>
        </w:rPr>
      </w:pPr>
      <w:r>
        <w:rPr>
          <w:rFonts w:hint="default" w:ascii="Times New Roman" w:hAnsi="Times New Roman" w:eastAsia="仿宋_GB2312" w:cs="Times New Roman"/>
          <w:color w:val="auto"/>
          <w:kern w:val="36"/>
          <w:sz w:val="32"/>
          <w:szCs w:val="32"/>
          <w:highlight w:val="none"/>
        </w:rPr>
        <w:t>注：有就业意愿居民指主动到组织人事办（人社分局）、社区、就业求职网站登记要求就业的居民，且组织人事办（人社分局）、社区就求职者本人能力推荐的岗位在三次（含三次）以上，非本人因素不接受该岗位的。</w:t>
      </w:r>
    </w:p>
    <w:p>
      <w:pPr>
        <w:keepNext w:val="0"/>
        <w:keepLines w:val="0"/>
        <w:pageBreakBefore w:val="0"/>
        <w:widowControl/>
        <w:kinsoku/>
        <w:wordWrap/>
        <w:overflowPunct/>
        <w:topLinePunct w:val="0"/>
        <w:autoSpaceDE/>
        <w:autoSpaceDN/>
        <w:bidi w:val="0"/>
        <w:snapToGrid w:val="0"/>
        <w:spacing w:line="560" w:lineRule="exact"/>
        <w:ind w:left="0" w:leftChars="0" w:right="0" w:rightChars="0" w:firstLine="640" w:firstLineChars="200"/>
        <w:jc w:val="left"/>
        <w:textAlignment w:val="auto"/>
        <w:outlineLvl w:val="1"/>
        <w:rPr>
          <w:rFonts w:hint="default" w:ascii="Times New Roman" w:hAnsi="Times New Roman" w:eastAsia="仿宋_GB2312" w:cs="Times New Roman"/>
          <w:color w:val="auto"/>
          <w:kern w:val="36"/>
          <w:sz w:val="32"/>
          <w:szCs w:val="32"/>
          <w:highlight w:val="none"/>
        </w:rPr>
      </w:pPr>
      <w:r>
        <w:rPr>
          <w:rFonts w:hint="default" w:ascii="Times New Roman" w:hAnsi="Times New Roman" w:eastAsia="仿宋_GB2312" w:cs="Times New Roman"/>
          <w:color w:val="auto"/>
          <w:kern w:val="36"/>
          <w:sz w:val="32"/>
          <w:szCs w:val="32"/>
          <w:highlight w:val="none"/>
        </w:rPr>
        <w:t>（6）创业带动就业方面。100%完成任务的得10分；99%完成任务得8分；98%完成任务得5分；97%完成任务得3分。</w:t>
      </w:r>
    </w:p>
    <w:p>
      <w:pPr>
        <w:keepNext w:val="0"/>
        <w:keepLines w:val="0"/>
        <w:pageBreakBefore w:val="0"/>
        <w:widowControl/>
        <w:kinsoku/>
        <w:wordWrap/>
        <w:overflowPunct/>
        <w:topLinePunct w:val="0"/>
        <w:autoSpaceDE/>
        <w:autoSpaceDN/>
        <w:bidi w:val="0"/>
        <w:snapToGrid w:val="0"/>
        <w:spacing w:line="560" w:lineRule="exact"/>
        <w:ind w:left="0" w:leftChars="0" w:right="0" w:rightChars="0" w:firstLine="640" w:firstLineChars="200"/>
        <w:jc w:val="left"/>
        <w:textAlignment w:val="auto"/>
        <w:outlineLvl w:val="1"/>
        <w:rPr>
          <w:rFonts w:hint="default" w:ascii="Times New Roman" w:hAnsi="Times New Roman" w:eastAsia="仿宋_GB2312" w:cs="Times New Roman"/>
          <w:color w:val="auto"/>
          <w:kern w:val="36"/>
          <w:sz w:val="32"/>
          <w:szCs w:val="32"/>
          <w:highlight w:val="none"/>
        </w:rPr>
      </w:pPr>
      <w:r>
        <w:rPr>
          <w:rFonts w:hint="default" w:ascii="Times New Roman" w:hAnsi="Times New Roman" w:eastAsia="仿宋_GB2312" w:cs="Times New Roman"/>
          <w:color w:val="auto"/>
          <w:kern w:val="36"/>
          <w:sz w:val="32"/>
          <w:szCs w:val="32"/>
          <w:highlight w:val="none"/>
        </w:rPr>
        <w:t>（7）组织保障宣传工作。有固定的就业专干定期与就业创业部门联系沟通就业创业信息，及时上报资料、配合就业创业政策等宣传工作、召集会议能够准时到会并保持良好的会议纪律、协助管理社区工作坊、并提供可行有效的工作意见等，上述内容每项4分，共20分。</w:t>
      </w:r>
    </w:p>
    <w:p>
      <w:pPr>
        <w:keepNext w:val="0"/>
        <w:keepLines w:val="0"/>
        <w:pageBreakBefore w:val="0"/>
        <w:widowControl/>
        <w:kinsoku/>
        <w:wordWrap/>
        <w:overflowPunct/>
        <w:topLinePunct w:val="0"/>
        <w:autoSpaceDE/>
        <w:autoSpaceDN/>
        <w:bidi w:val="0"/>
        <w:snapToGrid w:val="0"/>
        <w:spacing w:line="560" w:lineRule="exact"/>
        <w:ind w:left="0" w:leftChars="0" w:right="0" w:rightChars="0" w:firstLine="640" w:firstLineChars="200"/>
        <w:jc w:val="left"/>
        <w:textAlignment w:val="auto"/>
        <w:outlineLvl w:val="1"/>
        <w:rPr>
          <w:rFonts w:hint="default" w:ascii="Times New Roman" w:hAnsi="Times New Roman" w:eastAsia="仿宋_GB2312" w:cs="Times New Roman"/>
          <w:color w:val="auto"/>
          <w:kern w:val="36"/>
          <w:sz w:val="32"/>
          <w:szCs w:val="32"/>
          <w:highlight w:val="none"/>
        </w:rPr>
      </w:pPr>
      <w:r>
        <w:rPr>
          <w:rFonts w:hint="default" w:ascii="Times New Roman" w:hAnsi="Times New Roman" w:eastAsia="仿宋_GB2312" w:cs="Times New Roman"/>
          <w:color w:val="auto"/>
          <w:kern w:val="36"/>
          <w:sz w:val="32"/>
          <w:szCs w:val="32"/>
          <w:highlight w:val="none"/>
        </w:rPr>
        <w:t>4．各社区计算就业率时，出现空挂户或异地就业人员的，可减除相应人数。</w:t>
      </w:r>
    </w:p>
    <w:p>
      <w:pPr>
        <w:keepNext w:val="0"/>
        <w:keepLines w:val="0"/>
        <w:pageBreakBefore w:val="0"/>
        <w:widowControl/>
        <w:kinsoku/>
        <w:wordWrap/>
        <w:overflowPunct/>
        <w:topLinePunct w:val="0"/>
        <w:autoSpaceDE/>
        <w:autoSpaceDN/>
        <w:bidi w:val="0"/>
        <w:snapToGrid w:val="0"/>
        <w:spacing w:line="560" w:lineRule="exact"/>
        <w:ind w:left="0" w:leftChars="0" w:right="0" w:rightChars="0" w:firstLine="640" w:firstLineChars="200"/>
        <w:jc w:val="left"/>
        <w:textAlignment w:val="auto"/>
        <w:outlineLvl w:val="1"/>
        <w:rPr>
          <w:rFonts w:hint="default" w:ascii="Times New Roman" w:hAnsi="Times New Roman" w:eastAsia="仿宋_GB2312" w:cs="Times New Roman"/>
          <w:color w:val="auto"/>
          <w:kern w:val="36"/>
          <w:sz w:val="32"/>
          <w:szCs w:val="32"/>
          <w:highlight w:val="none"/>
        </w:rPr>
      </w:pPr>
      <w:r>
        <w:rPr>
          <w:rFonts w:hint="default" w:ascii="Times New Roman" w:hAnsi="Times New Roman" w:eastAsia="仿宋_GB2312" w:cs="Times New Roman"/>
          <w:color w:val="auto"/>
          <w:kern w:val="36"/>
          <w:sz w:val="32"/>
          <w:szCs w:val="32"/>
          <w:highlight w:val="none"/>
        </w:rPr>
        <w:t>5. 享受本政策补贴的人员，应积极支持地方经济社会发展，遵守国家法律法规，不组织、不参与违法上访、非法聚会，不组织、不参与堵塞交通、阻碍施工、妨碍征地拆迁等行为。</w:t>
      </w:r>
    </w:p>
    <w:p>
      <w:pPr>
        <w:keepNext w:val="0"/>
        <w:keepLines w:val="0"/>
        <w:pageBreakBefore w:val="0"/>
        <w:widowControl/>
        <w:kinsoku/>
        <w:wordWrap/>
        <w:overflowPunct/>
        <w:topLinePunct w:val="0"/>
        <w:autoSpaceDE/>
        <w:autoSpaceDN/>
        <w:bidi w:val="0"/>
        <w:snapToGrid w:val="0"/>
        <w:spacing w:line="560" w:lineRule="exact"/>
        <w:ind w:left="0" w:leftChars="0" w:right="0" w:rightChars="0" w:firstLine="640" w:firstLineChars="200"/>
        <w:jc w:val="left"/>
        <w:textAlignment w:val="auto"/>
        <w:outlineLvl w:val="1"/>
        <w:rPr>
          <w:rFonts w:hint="default" w:ascii="Times New Roman" w:hAnsi="Times New Roman" w:eastAsia="黑体" w:cs="Times New Roman"/>
          <w:color w:val="auto"/>
          <w:kern w:val="36"/>
          <w:sz w:val="32"/>
          <w:szCs w:val="32"/>
          <w:highlight w:val="none"/>
        </w:rPr>
      </w:pPr>
      <w:r>
        <w:rPr>
          <w:rFonts w:hint="default" w:ascii="Times New Roman" w:hAnsi="Times New Roman" w:eastAsia="黑体" w:cs="Times New Roman"/>
          <w:color w:val="auto"/>
          <w:kern w:val="36"/>
          <w:sz w:val="32"/>
          <w:szCs w:val="32"/>
          <w:highlight w:val="none"/>
        </w:rPr>
        <w:t>三、考核方式</w:t>
      </w:r>
    </w:p>
    <w:p>
      <w:pPr>
        <w:keepNext w:val="0"/>
        <w:keepLines w:val="0"/>
        <w:pageBreakBefore w:val="0"/>
        <w:widowControl/>
        <w:kinsoku/>
        <w:wordWrap/>
        <w:overflowPunct/>
        <w:topLinePunct w:val="0"/>
        <w:autoSpaceDE/>
        <w:autoSpaceDN/>
        <w:bidi w:val="0"/>
        <w:snapToGrid w:val="0"/>
        <w:spacing w:line="560" w:lineRule="exact"/>
        <w:ind w:left="0" w:leftChars="0" w:right="0" w:rightChars="0" w:firstLine="640" w:firstLineChars="200"/>
        <w:jc w:val="left"/>
        <w:textAlignment w:val="auto"/>
        <w:outlineLvl w:val="1"/>
        <w:rPr>
          <w:rFonts w:hint="default" w:ascii="Times New Roman" w:hAnsi="Times New Roman" w:eastAsia="仿宋_GB2312" w:cs="Times New Roman"/>
          <w:color w:val="auto"/>
          <w:kern w:val="36"/>
          <w:sz w:val="32"/>
          <w:szCs w:val="32"/>
          <w:highlight w:val="none"/>
        </w:rPr>
      </w:pPr>
      <w:r>
        <w:rPr>
          <w:rFonts w:hint="default" w:ascii="Times New Roman" w:hAnsi="Times New Roman" w:eastAsia="仿宋_GB2312" w:cs="Times New Roman"/>
          <w:color w:val="auto"/>
          <w:kern w:val="36"/>
          <w:sz w:val="32"/>
          <w:szCs w:val="32"/>
          <w:highlight w:val="none"/>
        </w:rPr>
        <w:t>考核采用日常动态考核与年终考核检查相结合的办法，主要步骤如下：</w:t>
      </w:r>
    </w:p>
    <w:p>
      <w:pPr>
        <w:keepNext w:val="0"/>
        <w:keepLines w:val="0"/>
        <w:pageBreakBefore w:val="0"/>
        <w:widowControl/>
        <w:kinsoku/>
        <w:wordWrap/>
        <w:overflowPunct/>
        <w:topLinePunct w:val="0"/>
        <w:autoSpaceDE/>
        <w:autoSpaceDN/>
        <w:bidi w:val="0"/>
        <w:snapToGrid w:val="0"/>
        <w:spacing w:line="560" w:lineRule="exact"/>
        <w:ind w:left="0" w:leftChars="0" w:right="0" w:rightChars="0" w:firstLine="643" w:firstLineChars="200"/>
        <w:jc w:val="left"/>
        <w:textAlignment w:val="auto"/>
        <w:outlineLvl w:val="1"/>
        <w:rPr>
          <w:rFonts w:hint="default" w:ascii="Times New Roman" w:hAnsi="Times New Roman" w:eastAsia="仿宋_GB2312" w:cs="Times New Roman"/>
          <w:color w:val="auto"/>
          <w:kern w:val="36"/>
          <w:sz w:val="32"/>
          <w:szCs w:val="32"/>
          <w:highlight w:val="none"/>
        </w:rPr>
      </w:pPr>
      <w:r>
        <w:rPr>
          <w:rFonts w:hint="default" w:ascii="Times New Roman" w:hAnsi="Times New Roman" w:eastAsia="仿宋_GB2312" w:cs="Times New Roman"/>
          <w:b/>
          <w:color w:val="auto"/>
          <w:kern w:val="36"/>
          <w:sz w:val="32"/>
          <w:szCs w:val="32"/>
          <w:highlight w:val="none"/>
        </w:rPr>
        <w:t>1．日常动态考核。</w:t>
      </w:r>
      <w:r>
        <w:rPr>
          <w:rFonts w:hint="default" w:ascii="Times New Roman" w:hAnsi="Times New Roman" w:eastAsia="仿宋_GB2312" w:cs="Times New Roman"/>
          <w:color w:val="auto"/>
          <w:kern w:val="36"/>
          <w:sz w:val="32"/>
          <w:szCs w:val="32"/>
          <w:highlight w:val="none"/>
        </w:rPr>
        <w:t>由</w:t>
      </w:r>
      <w:r>
        <w:rPr>
          <w:rFonts w:hint="default" w:ascii="Times New Roman" w:hAnsi="Times New Roman" w:eastAsia="仿宋_GB2312" w:cs="Times New Roman"/>
          <w:color w:val="auto"/>
          <w:kern w:val="36"/>
          <w:sz w:val="32"/>
          <w:szCs w:val="32"/>
          <w:highlight w:val="none"/>
          <w:lang w:eastAsia="zh-CN"/>
        </w:rPr>
        <w:t>火炬</w:t>
      </w:r>
      <w:r>
        <w:rPr>
          <w:rFonts w:hint="default" w:ascii="Times New Roman" w:hAnsi="Times New Roman" w:eastAsia="仿宋_GB2312" w:cs="Times New Roman"/>
          <w:color w:val="auto"/>
          <w:kern w:val="36"/>
          <w:sz w:val="32"/>
          <w:szCs w:val="32"/>
          <w:highlight w:val="none"/>
        </w:rPr>
        <w:t>区促进就业创业和职业技能培训工程领导小组根据平时掌握情况、专项检查、调查研究等日常工作，对各责任单位进行动态考核，作为考核的重要依据。</w:t>
      </w:r>
    </w:p>
    <w:p>
      <w:pPr>
        <w:keepNext w:val="0"/>
        <w:keepLines w:val="0"/>
        <w:pageBreakBefore w:val="0"/>
        <w:widowControl/>
        <w:kinsoku/>
        <w:wordWrap/>
        <w:overflowPunct/>
        <w:topLinePunct w:val="0"/>
        <w:autoSpaceDE/>
        <w:autoSpaceDN/>
        <w:bidi w:val="0"/>
        <w:snapToGrid w:val="0"/>
        <w:spacing w:line="560" w:lineRule="exact"/>
        <w:ind w:left="0" w:leftChars="0" w:right="0" w:rightChars="0" w:firstLine="643" w:firstLineChars="200"/>
        <w:jc w:val="left"/>
        <w:textAlignment w:val="auto"/>
        <w:outlineLvl w:val="1"/>
        <w:rPr>
          <w:rFonts w:hint="default" w:ascii="Times New Roman" w:hAnsi="Times New Roman" w:eastAsia="仿宋_GB2312" w:cs="Times New Roman"/>
          <w:color w:val="auto"/>
          <w:kern w:val="36"/>
          <w:sz w:val="32"/>
          <w:szCs w:val="32"/>
          <w:highlight w:val="none"/>
        </w:rPr>
      </w:pPr>
      <w:r>
        <w:rPr>
          <w:rFonts w:hint="default" w:ascii="Times New Roman" w:hAnsi="Times New Roman" w:eastAsia="仿宋_GB2312" w:cs="Times New Roman"/>
          <w:b/>
          <w:color w:val="auto"/>
          <w:kern w:val="36"/>
          <w:sz w:val="32"/>
          <w:szCs w:val="32"/>
          <w:highlight w:val="none"/>
        </w:rPr>
        <w:t>2．自报。</w:t>
      </w:r>
      <w:r>
        <w:rPr>
          <w:rFonts w:hint="default" w:ascii="Times New Roman" w:hAnsi="Times New Roman" w:eastAsia="仿宋_GB2312" w:cs="Times New Roman"/>
          <w:color w:val="auto"/>
          <w:kern w:val="36"/>
          <w:sz w:val="32"/>
          <w:szCs w:val="32"/>
          <w:highlight w:val="none"/>
        </w:rPr>
        <w:t>各单位促进居民就业创业工作目标的执行情况进行自报，并将自报报表加盖单位公章后书面报送区促进居民就业创业工程工作办公室。</w:t>
      </w:r>
    </w:p>
    <w:p>
      <w:pPr>
        <w:keepNext w:val="0"/>
        <w:keepLines w:val="0"/>
        <w:pageBreakBefore w:val="0"/>
        <w:widowControl/>
        <w:kinsoku/>
        <w:wordWrap/>
        <w:overflowPunct/>
        <w:topLinePunct w:val="0"/>
        <w:autoSpaceDE/>
        <w:autoSpaceDN/>
        <w:bidi w:val="0"/>
        <w:snapToGrid w:val="0"/>
        <w:spacing w:line="560" w:lineRule="exact"/>
        <w:ind w:left="0" w:leftChars="0" w:right="0" w:rightChars="0" w:firstLine="643" w:firstLineChars="200"/>
        <w:jc w:val="left"/>
        <w:textAlignment w:val="auto"/>
        <w:outlineLvl w:val="1"/>
        <w:rPr>
          <w:rFonts w:hint="default" w:ascii="Times New Roman" w:hAnsi="Times New Roman" w:eastAsia="仿宋_GB2312" w:cs="Times New Roman"/>
          <w:color w:val="auto"/>
          <w:kern w:val="36"/>
          <w:sz w:val="32"/>
          <w:szCs w:val="32"/>
          <w:highlight w:val="none"/>
        </w:rPr>
      </w:pPr>
      <w:r>
        <w:rPr>
          <w:rFonts w:hint="default" w:ascii="Times New Roman" w:hAnsi="Times New Roman" w:eastAsia="仿宋_GB2312" w:cs="Times New Roman"/>
          <w:b/>
          <w:color w:val="auto"/>
          <w:kern w:val="36"/>
          <w:sz w:val="32"/>
          <w:szCs w:val="32"/>
          <w:highlight w:val="none"/>
        </w:rPr>
        <w:t>3．实地抽查。</w:t>
      </w:r>
      <w:r>
        <w:rPr>
          <w:rFonts w:hint="default" w:ascii="Times New Roman" w:hAnsi="Times New Roman" w:eastAsia="仿宋_GB2312" w:cs="Times New Roman"/>
          <w:color w:val="auto"/>
          <w:kern w:val="36"/>
          <w:sz w:val="32"/>
          <w:szCs w:val="32"/>
          <w:highlight w:val="none"/>
          <w:lang w:eastAsia="zh-CN"/>
        </w:rPr>
        <w:t>火炬</w:t>
      </w:r>
      <w:r>
        <w:rPr>
          <w:rFonts w:hint="default" w:ascii="Times New Roman" w:hAnsi="Times New Roman" w:eastAsia="仿宋_GB2312" w:cs="Times New Roman"/>
          <w:color w:val="auto"/>
          <w:kern w:val="36"/>
          <w:sz w:val="32"/>
          <w:szCs w:val="32"/>
          <w:highlight w:val="none"/>
        </w:rPr>
        <w:t>区促进就业创业和职业技能培训工程领导小组组成考评抽查组赴各负责单位进行实地抽查。</w:t>
      </w:r>
    </w:p>
    <w:p>
      <w:pPr>
        <w:keepNext w:val="0"/>
        <w:keepLines w:val="0"/>
        <w:pageBreakBefore w:val="0"/>
        <w:widowControl/>
        <w:kinsoku/>
        <w:wordWrap/>
        <w:overflowPunct/>
        <w:topLinePunct w:val="0"/>
        <w:autoSpaceDE/>
        <w:autoSpaceDN/>
        <w:bidi w:val="0"/>
        <w:snapToGrid w:val="0"/>
        <w:spacing w:line="560" w:lineRule="exact"/>
        <w:ind w:left="0" w:leftChars="0" w:right="0" w:rightChars="0" w:firstLine="643" w:firstLineChars="200"/>
        <w:jc w:val="left"/>
        <w:textAlignment w:val="auto"/>
        <w:outlineLvl w:val="1"/>
        <w:rPr>
          <w:rFonts w:hint="default" w:ascii="Times New Roman" w:hAnsi="Times New Roman" w:eastAsia="仿宋_GB2312" w:cs="Times New Roman"/>
          <w:color w:val="auto"/>
          <w:kern w:val="36"/>
          <w:sz w:val="32"/>
          <w:szCs w:val="32"/>
          <w:highlight w:val="none"/>
        </w:rPr>
      </w:pPr>
      <w:r>
        <w:rPr>
          <w:rFonts w:hint="default" w:ascii="Times New Roman" w:hAnsi="Times New Roman" w:eastAsia="仿宋_GB2312" w:cs="Times New Roman"/>
          <w:b/>
          <w:color w:val="auto"/>
          <w:kern w:val="36"/>
          <w:sz w:val="32"/>
          <w:szCs w:val="32"/>
          <w:highlight w:val="none"/>
        </w:rPr>
        <w:t>4．评定。</w:t>
      </w:r>
      <w:r>
        <w:rPr>
          <w:rFonts w:hint="default" w:ascii="Times New Roman" w:hAnsi="Times New Roman" w:eastAsia="仿宋_GB2312" w:cs="Times New Roman"/>
          <w:color w:val="auto"/>
          <w:kern w:val="36"/>
          <w:sz w:val="32"/>
          <w:szCs w:val="32"/>
          <w:highlight w:val="none"/>
          <w:lang w:eastAsia="zh-CN"/>
        </w:rPr>
        <w:t>火炬</w:t>
      </w:r>
      <w:r>
        <w:rPr>
          <w:rFonts w:hint="default" w:ascii="Times New Roman" w:hAnsi="Times New Roman" w:eastAsia="仿宋_GB2312" w:cs="Times New Roman"/>
          <w:color w:val="auto"/>
          <w:kern w:val="36"/>
          <w:sz w:val="32"/>
          <w:szCs w:val="32"/>
          <w:highlight w:val="none"/>
        </w:rPr>
        <w:t>区促进就业创业和职业技能培训工程领导小组通过检查考核，评定出各责任单位的受表彰情况，并提交区党工委、管委会审定。</w:t>
      </w:r>
    </w:p>
    <w:p>
      <w:pPr>
        <w:keepNext w:val="0"/>
        <w:keepLines w:val="0"/>
        <w:pageBreakBefore w:val="0"/>
        <w:widowControl/>
        <w:kinsoku/>
        <w:wordWrap/>
        <w:overflowPunct/>
        <w:topLinePunct w:val="0"/>
        <w:autoSpaceDE/>
        <w:autoSpaceDN/>
        <w:bidi w:val="0"/>
        <w:snapToGrid w:val="0"/>
        <w:spacing w:line="560" w:lineRule="exact"/>
        <w:ind w:left="0" w:leftChars="0" w:right="0" w:rightChars="0" w:firstLine="640" w:firstLineChars="200"/>
        <w:jc w:val="left"/>
        <w:textAlignment w:val="auto"/>
        <w:outlineLvl w:val="1"/>
        <w:rPr>
          <w:rFonts w:hint="default" w:ascii="Times New Roman" w:hAnsi="Times New Roman" w:eastAsia="黑体" w:cs="Times New Roman"/>
          <w:color w:val="auto"/>
          <w:kern w:val="36"/>
          <w:sz w:val="32"/>
          <w:szCs w:val="32"/>
          <w:highlight w:val="none"/>
        </w:rPr>
      </w:pPr>
    </w:p>
    <w:p>
      <w:pPr>
        <w:keepNext w:val="0"/>
        <w:keepLines w:val="0"/>
        <w:pageBreakBefore w:val="0"/>
        <w:widowControl/>
        <w:kinsoku/>
        <w:wordWrap/>
        <w:overflowPunct/>
        <w:topLinePunct w:val="0"/>
        <w:autoSpaceDE/>
        <w:autoSpaceDN/>
        <w:bidi w:val="0"/>
        <w:snapToGrid w:val="0"/>
        <w:spacing w:line="560" w:lineRule="exact"/>
        <w:ind w:left="0" w:leftChars="0" w:right="0" w:rightChars="0" w:firstLine="640" w:firstLineChars="200"/>
        <w:jc w:val="left"/>
        <w:textAlignment w:val="auto"/>
        <w:outlineLvl w:val="1"/>
        <w:rPr>
          <w:rFonts w:hint="default" w:ascii="Times New Roman" w:hAnsi="Times New Roman" w:eastAsia="黑体" w:cs="Times New Roman"/>
          <w:color w:val="auto"/>
          <w:kern w:val="36"/>
          <w:sz w:val="32"/>
          <w:szCs w:val="32"/>
          <w:highlight w:val="none"/>
        </w:rPr>
      </w:pPr>
      <w:r>
        <w:rPr>
          <w:rFonts w:hint="default" w:ascii="Times New Roman" w:hAnsi="Times New Roman" w:eastAsia="黑体" w:cs="Times New Roman"/>
          <w:color w:val="auto"/>
          <w:kern w:val="36"/>
          <w:sz w:val="32"/>
          <w:szCs w:val="32"/>
          <w:highlight w:val="none"/>
        </w:rPr>
        <w:t>四、奖惩办法</w:t>
      </w:r>
    </w:p>
    <w:p>
      <w:pPr>
        <w:keepNext w:val="0"/>
        <w:keepLines w:val="0"/>
        <w:pageBreakBefore w:val="0"/>
        <w:kinsoku/>
        <w:wordWrap/>
        <w:overflowPunct/>
        <w:topLinePunct w:val="0"/>
        <w:autoSpaceDE/>
        <w:autoSpaceDN/>
        <w:bidi w:val="0"/>
        <w:snapToGrid w:val="0"/>
        <w:spacing w:line="560" w:lineRule="exact"/>
        <w:ind w:left="0" w:leftChars="0" w:right="0" w:rightChars="0" w:firstLine="640" w:firstLineChars="200"/>
        <w:jc w:val="left"/>
        <w:textAlignment w:val="auto"/>
        <w:outlineLvl w:val="1"/>
        <w:rPr>
          <w:rFonts w:hint="default" w:ascii="Times New Roman" w:hAnsi="Times New Roman" w:eastAsia="仿宋_GB2312" w:cs="Times New Roman"/>
          <w:color w:val="auto"/>
          <w:kern w:val="36"/>
          <w:sz w:val="32"/>
          <w:szCs w:val="32"/>
          <w:highlight w:val="none"/>
        </w:rPr>
      </w:pPr>
      <w:r>
        <w:rPr>
          <w:rFonts w:hint="default" w:ascii="Times New Roman" w:hAnsi="Times New Roman" w:eastAsia="仿宋_GB2312" w:cs="Times New Roman"/>
          <w:color w:val="auto"/>
          <w:kern w:val="36"/>
          <w:sz w:val="32"/>
          <w:szCs w:val="32"/>
          <w:highlight w:val="none"/>
        </w:rPr>
        <w:t>1．区属行政事业单位、各大</w:t>
      </w:r>
      <w:r>
        <w:rPr>
          <w:rFonts w:hint="default" w:ascii="Times New Roman" w:hAnsi="Times New Roman" w:eastAsia="仿宋_GB2312" w:cs="Times New Roman"/>
          <w:color w:val="auto"/>
          <w:kern w:val="36"/>
          <w:sz w:val="32"/>
          <w:szCs w:val="32"/>
          <w:highlight w:val="none"/>
          <w:lang w:eastAsia="zh-CN"/>
        </w:rPr>
        <w:t>总（集团）公司</w:t>
      </w:r>
      <w:r>
        <w:rPr>
          <w:rFonts w:hint="default" w:ascii="Times New Roman" w:hAnsi="Times New Roman" w:eastAsia="仿宋_GB2312" w:cs="Times New Roman"/>
          <w:color w:val="auto"/>
          <w:kern w:val="36"/>
          <w:sz w:val="32"/>
          <w:szCs w:val="32"/>
          <w:highlight w:val="none"/>
        </w:rPr>
        <w:t>及其属下分支机构完成考核任务的可以参与区一级的评先评优，达到上述用人指标数的且比上年度有一定提升，并对促进本区户籍居民就业创业有突出贡献的单位，给予促进社区居民就业创业先进单位称号。</w:t>
      </w:r>
    </w:p>
    <w:p>
      <w:pPr>
        <w:keepNext w:val="0"/>
        <w:keepLines w:val="0"/>
        <w:pageBreakBefore w:val="0"/>
        <w:kinsoku/>
        <w:wordWrap/>
        <w:overflowPunct/>
        <w:topLinePunct w:val="0"/>
        <w:autoSpaceDE/>
        <w:autoSpaceDN/>
        <w:bidi w:val="0"/>
        <w:snapToGrid w:val="0"/>
        <w:spacing w:line="560" w:lineRule="exact"/>
        <w:ind w:left="0" w:leftChars="0" w:right="0" w:rightChars="0" w:firstLine="640" w:firstLineChars="200"/>
        <w:jc w:val="left"/>
        <w:textAlignment w:val="auto"/>
        <w:outlineLvl w:val="1"/>
        <w:rPr>
          <w:rFonts w:hint="default" w:ascii="Times New Roman" w:hAnsi="Times New Roman" w:eastAsia="仿宋_GB2312" w:cs="Times New Roman"/>
          <w:color w:val="auto"/>
          <w:kern w:val="36"/>
          <w:sz w:val="32"/>
          <w:szCs w:val="32"/>
          <w:highlight w:val="none"/>
        </w:rPr>
      </w:pPr>
      <w:r>
        <w:rPr>
          <w:rFonts w:hint="default" w:ascii="Times New Roman" w:hAnsi="Times New Roman" w:eastAsia="仿宋_GB2312" w:cs="Times New Roman"/>
          <w:color w:val="auto"/>
          <w:kern w:val="36"/>
          <w:sz w:val="32"/>
          <w:szCs w:val="32"/>
          <w:highlight w:val="none"/>
        </w:rPr>
        <w:t>2．中小微企业能够安置本区户籍人员签订劳动合同并参加社会保险。每年新录用一名本区户籍（集体户除外）应届高校毕业生，且为其参加社会保险，奖励用人单位1000元。</w:t>
      </w:r>
    </w:p>
    <w:p>
      <w:pPr>
        <w:keepNext w:val="0"/>
        <w:keepLines w:val="0"/>
        <w:pageBreakBefore w:val="0"/>
        <w:kinsoku/>
        <w:wordWrap/>
        <w:overflowPunct/>
        <w:topLinePunct w:val="0"/>
        <w:autoSpaceDE/>
        <w:autoSpaceDN/>
        <w:bidi w:val="0"/>
        <w:snapToGrid w:val="0"/>
        <w:spacing w:line="560" w:lineRule="exact"/>
        <w:ind w:left="0" w:leftChars="0" w:right="0" w:rightChars="0" w:firstLine="640" w:firstLineChars="200"/>
        <w:jc w:val="left"/>
        <w:textAlignment w:val="auto"/>
        <w:outlineLvl w:val="1"/>
        <w:rPr>
          <w:rFonts w:hint="default" w:ascii="Times New Roman" w:hAnsi="Times New Roman" w:eastAsia="仿宋_GB2312" w:cs="Times New Roman"/>
          <w:color w:val="auto"/>
          <w:kern w:val="36"/>
          <w:sz w:val="32"/>
          <w:szCs w:val="32"/>
          <w:highlight w:val="none"/>
        </w:rPr>
      </w:pPr>
      <w:r>
        <w:rPr>
          <w:rFonts w:hint="default" w:ascii="Times New Roman" w:hAnsi="Times New Roman" w:eastAsia="仿宋_GB2312" w:cs="Times New Roman"/>
          <w:color w:val="auto"/>
          <w:kern w:val="36"/>
          <w:sz w:val="32"/>
          <w:szCs w:val="32"/>
          <w:highlight w:val="none"/>
        </w:rPr>
        <w:t>3．各社区按实得计算进行奖励；如量化评分达80分以上的才可以参与区一级的评先评优，给予促进社区居民就业创业先进单位称号。</w:t>
      </w:r>
    </w:p>
    <w:p>
      <w:pPr>
        <w:keepNext w:val="0"/>
        <w:keepLines w:val="0"/>
        <w:pageBreakBefore w:val="0"/>
        <w:kinsoku/>
        <w:wordWrap/>
        <w:overflowPunct/>
        <w:topLinePunct w:val="0"/>
        <w:autoSpaceDE/>
        <w:autoSpaceDN/>
        <w:bidi w:val="0"/>
        <w:snapToGrid w:val="0"/>
        <w:spacing w:line="560" w:lineRule="exact"/>
        <w:ind w:left="0" w:leftChars="0" w:right="0" w:rightChars="0" w:firstLine="640" w:firstLineChars="200"/>
        <w:jc w:val="left"/>
        <w:textAlignment w:val="auto"/>
        <w:outlineLvl w:val="1"/>
        <w:rPr>
          <w:rFonts w:hint="default" w:ascii="Times New Roman" w:hAnsi="Times New Roman" w:eastAsia="仿宋_GB2312" w:cs="Times New Roman"/>
          <w:color w:val="auto"/>
          <w:kern w:val="36"/>
          <w:sz w:val="32"/>
          <w:szCs w:val="32"/>
          <w:highlight w:val="none"/>
        </w:rPr>
      </w:pPr>
      <w:r>
        <w:rPr>
          <w:rFonts w:hint="default" w:ascii="Times New Roman" w:hAnsi="Times New Roman" w:eastAsia="仿宋_GB2312" w:cs="Times New Roman"/>
          <w:color w:val="auto"/>
          <w:kern w:val="36"/>
          <w:sz w:val="32"/>
          <w:szCs w:val="32"/>
          <w:highlight w:val="none"/>
        </w:rPr>
        <w:t>4．对单位或其班子成员违反党风廉政建设规定、违反计生政策，存在弄虚作假、虚报促进就业创业有关指标任务完成情况的，将按一票否决处理，并通报批评。</w:t>
      </w:r>
    </w:p>
    <w:p>
      <w:pPr>
        <w:keepNext w:val="0"/>
        <w:keepLines w:val="0"/>
        <w:pageBreakBefore w:val="0"/>
        <w:widowControl/>
        <w:kinsoku/>
        <w:wordWrap/>
        <w:overflowPunct/>
        <w:topLinePunct w:val="0"/>
        <w:autoSpaceDE/>
        <w:autoSpaceDN/>
        <w:bidi w:val="0"/>
        <w:snapToGrid w:val="0"/>
        <w:spacing w:line="560" w:lineRule="exact"/>
        <w:ind w:left="0" w:leftChars="0" w:right="0" w:rightChars="0" w:firstLine="640" w:firstLineChars="200"/>
        <w:jc w:val="left"/>
        <w:textAlignment w:val="auto"/>
        <w:outlineLvl w:val="1"/>
        <w:rPr>
          <w:rFonts w:hint="default" w:ascii="Times New Roman" w:hAnsi="Times New Roman" w:eastAsia="黑体" w:cs="Times New Roman"/>
          <w:color w:val="auto"/>
          <w:kern w:val="36"/>
          <w:sz w:val="32"/>
          <w:szCs w:val="32"/>
          <w:highlight w:val="none"/>
        </w:rPr>
      </w:pPr>
      <w:r>
        <w:rPr>
          <w:rFonts w:hint="default" w:ascii="Times New Roman" w:hAnsi="Times New Roman" w:eastAsia="黑体" w:cs="Times New Roman"/>
          <w:color w:val="auto"/>
          <w:kern w:val="36"/>
          <w:sz w:val="32"/>
          <w:szCs w:val="32"/>
          <w:highlight w:val="none"/>
        </w:rPr>
        <w:t>五、附则</w:t>
      </w:r>
    </w:p>
    <w:p>
      <w:pPr>
        <w:keepNext w:val="0"/>
        <w:keepLines w:val="0"/>
        <w:pageBreakBefore w:val="0"/>
        <w:kinsoku/>
        <w:wordWrap/>
        <w:overflowPunct/>
        <w:topLinePunct w:val="0"/>
        <w:autoSpaceDE/>
        <w:autoSpaceDN/>
        <w:bidi w:val="0"/>
        <w:snapToGrid w:val="0"/>
        <w:spacing w:line="560" w:lineRule="exact"/>
        <w:ind w:left="0" w:leftChars="0" w:right="0" w:rightChars="0" w:firstLine="640" w:firstLineChars="200"/>
        <w:jc w:val="left"/>
        <w:textAlignment w:val="auto"/>
        <w:outlineLvl w:val="1"/>
        <w:rPr>
          <w:rFonts w:hint="default" w:ascii="Times New Roman" w:hAnsi="Times New Roman" w:eastAsia="仿宋_GB2312" w:cs="Times New Roman"/>
          <w:color w:val="auto"/>
          <w:kern w:val="36"/>
          <w:sz w:val="32"/>
          <w:szCs w:val="32"/>
          <w:highlight w:val="none"/>
        </w:rPr>
      </w:pPr>
      <w:r>
        <w:rPr>
          <w:rFonts w:hint="default" w:ascii="Times New Roman" w:hAnsi="Times New Roman" w:eastAsia="仿宋_GB2312" w:cs="Times New Roman"/>
          <w:color w:val="auto"/>
          <w:kern w:val="36"/>
          <w:sz w:val="32"/>
          <w:szCs w:val="32"/>
          <w:highlight w:val="none"/>
        </w:rPr>
        <w:t>1．违反国家党风廉政建设有关规定的，实行一票否决制。</w:t>
      </w:r>
    </w:p>
    <w:p>
      <w:pPr>
        <w:keepNext w:val="0"/>
        <w:keepLines w:val="0"/>
        <w:pageBreakBefore w:val="0"/>
        <w:kinsoku/>
        <w:wordWrap/>
        <w:overflowPunct/>
        <w:topLinePunct w:val="0"/>
        <w:autoSpaceDE/>
        <w:autoSpaceDN/>
        <w:bidi w:val="0"/>
        <w:snapToGrid w:val="0"/>
        <w:spacing w:line="560" w:lineRule="exact"/>
        <w:ind w:left="0" w:leftChars="0" w:right="0" w:rightChars="0" w:firstLine="640" w:firstLineChars="200"/>
        <w:jc w:val="left"/>
        <w:textAlignment w:val="auto"/>
        <w:outlineLvl w:val="1"/>
        <w:rPr>
          <w:rFonts w:hint="default" w:ascii="Times New Roman" w:hAnsi="Times New Roman" w:eastAsia="仿宋_GB2312" w:cs="Times New Roman"/>
          <w:color w:val="auto"/>
          <w:kern w:val="36"/>
          <w:sz w:val="32"/>
          <w:szCs w:val="32"/>
          <w:highlight w:val="none"/>
        </w:rPr>
      </w:pPr>
      <w:r>
        <w:rPr>
          <w:rFonts w:hint="default" w:ascii="Times New Roman" w:hAnsi="Times New Roman" w:eastAsia="仿宋_GB2312" w:cs="Times New Roman"/>
          <w:color w:val="auto"/>
          <w:kern w:val="36"/>
          <w:sz w:val="32"/>
          <w:szCs w:val="32"/>
          <w:highlight w:val="none"/>
        </w:rPr>
        <w:t>2．本考核办法由区促进就业创业和职业技能培训工程领导小组负责解释，</w:t>
      </w:r>
      <w:r>
        <w:rPr>
          <w:rFonts w:hint="default" w:ascii="Times New Roman" w:hAnsi="Times New Roman" w:eastAsia="仿宋_GB2312" w:cs="Times New Roman"/>
          <w:color w:val="auto"/>
          <w:sz w:val="32"/>
          <w:szCs w:val="32"/>
          <w:highlight w:val="none"/>
        </w:rPr>
        <w:t>从</w:t>
      </w:r>
      <w:r>
        <w:rPr>
          <w:rFonts w:hint="default" w:ascii="Times New Roman" w:hAnsi="Times New Roman" w:eastAsia="仿宋_GB2312" w:cs="Times New Roman"/>
          <w:color w:val="auto"/>
          <w:sz w:val="32"/>
          <w:szCs w:val="32"/>
          <w:highlight w:val="none"/>
          <w:lang w:eastAsia="zh-CN"/>
        </w:rPr>
        <w:t>202</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年1月1日</w:t>
      </w:r>
      <w:r>
        <w:rPr>
          <w:rFonts w:hint="default" w:ascii="Times New Roman" w:hAnsi="Times New Roman" w:eastAsia="仿宋_GB2312" w:cs="Times New Roman"/>
          <w:color w:val="auto"/>
          <w:sz w:val="32"/>
          <w:szCs w:val="32"/>
          <w:highlight w:val="none"/>
        </w:rPr>
        <w:t>起执行，有效期3年。</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仿宋_GB2312" w:cs="Times New Roman"/>
          <w:color w:val="auto"/>
          <w:spacing w:val="12"/>
          <w:sz w:val="32"/>
          <w:szCs w:val="32"/>
          <w:highlight w:val="none"/>
        </w:rPr>
      </w:pPr>
    </w:p>
    <w:p>
      <w:pPr>
        <w:adjustRightInd w:val="0"/>
        <w:snapToGrid w:val="0"/>
        <w:spacing w:line="360" w:lineRule="auto"/>
        <w:rPr>
          <w:rFonts w:hint="default" w:ascii="Times New Roman" w:hAnsi="Times New Roman" w:eastAsia="仿宋_GB2312" w:cs="Times New Roman"/>
          <w:color w:val="auto"/>
          <w:spacing w:val="12"/>
          <w:sz w:val="32"/>
          <w:szCs w:val="32"/>
          <w:highlight w:val="none"/>
        </w:rPr>
      </w:pPr>
    </w:p>
    <w:p>
      <w:pPr>
        <w:adjustRightInd w:val="0"/>
        <w:snapToGrid w:val="0"/>
        <w:spacing w:line="360" w:lineRule="auto"/>
        <w:rPr>
          <w:rFonts w:hint="default" w:ascii="Times New Roman" w:hAnsi="Times New Roman" w:eastAsia="仿宋_GB2312" w:cs="Times New Roman"/>
          <w:color w:val="auto"/>
          <w:spacing w:val="12"/>
          <w:sz w:val="32"/>
          <w:szCs w:val="32"/>
          <w:highlight w:val="none"/>
        </w:rPr>
      </w:pPr>
    </w:p>
    <w:p>
      <w:pPr>
        <w:pStyle w:val="2"/>
        <w:rPr>
          <w:rFonts w:hint="default"/>
        </w:rPr>
      </w:pPr>
    </w:p>
    <w:p>
      <w:pPr>
        <w:adjustRightInd w:val="0"/>
        <w:snapToGrid w:val="0"/>
        <w:spacing w:line="360" w:lineRule="auto"/>
        <w:rPr>
          <w:rFonts w:hint="default" w:ascii="Times New Roman" w:hAnsi="Times New Roman" w:eastAsia="仿宋_GB2312" w:cs="Times New Roman"/>
          <w:color w:val="auto"/>
          <w:spacing w:val="12"/>
          <w:sz w:val="32"/>
          <w:szCs w:val="32"/>
          <w:highlight w:val="none"/>
        </w:rPr>
      </w:pPr>
    </w:p>
    <w:p>
      <w:pPr>
        <w:adjustRightInd w:val="0"/>
        <w:snapToGrid w:val="0"/>
        <w:spacing w:line="360" w:lineRule="auto"/>
        <w:jc w:val="center"/>
        <w:rPr>
          <w:rFonts w:hint="default" w:ascii="Times New Roman" w:hAnsi="Times New Roman" w:eastAsia="仿宋_GB2312" w:cs="Times New Roman"/>
          <w:color w:val="auto"/>
          <w:spacing w:val="12"/>
          <w:sz w:val="32"/>
          <w:szCs w:val="32"/>
          <w:highlight w:val="none"/>
        </w:rPr>
      </w:pPr>
      <w:r>
        <w:rPr>
          <w:rFonts w:hint="default" w:ascii="Times New Roman" w:hAnsi="Times New Roman" w:eastAsia="方正小标宋简体" w:cs="Times New Roman"/>
          <w:bCs/>
          <w:color w:val="auto"/>
          <w:kern w:val="0"/>
          <w:sz w:val="36"/>
          <w:szCs w:val="36"/>
          <w:highlight w:val="none"/>
        </w:rPr>
        <w:t>中山火炬开发区促进居民就业创业工作考核评分表</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0" w:firstLineChars="0"/>
        <w:jc w:val="both"/>
        <w:textAlignment w:val="auto"/>
        <w:outlineLvl w:val="9"/>
        <w:rPr>
          <w:rFonts w:hint="default" w:ascii="Times New Roman" w:hAnsi="Times New Roman" w:eastAsia="仿宋_GB2312" w:cs="Times New Roman"/>
          <w:color w:val="auto"/>
          <w:spacing w:val="12"/>
          <w:sz w:val="32"/>
          <w:szCs w:val="32"/>
          <w:highlight w:val="none"/>
        </w:rPr>
      </w:pPr>
    </w:p>
    <w:tbl>
      <w:tblPr>
        <w:tblStyle w:val="5"/>
        <w:tblW w:w="0" w:type="auto"/>
        <w:tblInd w:w="-432" w:type="dxa"/>
        <w:tblLayout w:type="fixed"/>
        <w:tblCellMar>
          <w:top w:w="0" w:type="dxa"/>
          <w:left w:w="108" w:type="dxa"/>
          <w:bottom w:w="0" w:type="dxa"/>
          <w:right w:w="108" w:type="dxa"/>
        </w:tblCellMar>
      </w:tblPr>
      <w:tblGrid>
        <w:gridCol w:w="1800"/>
        <w:gridCol w:w="5040"/>
        <w:gridCol w:w="776"/>
        <w:gridCol w:w="1056"/>
        <w:gridCol w:w="1408"/>
      </w:tblGrid>
      <w:tr>
        <w:tblPrEx>
          <w:tblCellMar>
            <w:top w:w="0" w:type="dxa"/>
            <w:left w:w="108" w:type="dxa"/>
            <w:bottom w:w="0" w:type="dxa"/>
            <w:right w:w="108" w:type="dxa"/>
          </w:tblCellMar>
        </w:tblPrEx>
        <w:trPr>
          <w:trHeight w:val="460" w:hRule="atLeast"/>
        </w:trPr>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黑体" w:cs="Times New Roman"/>
                <w:color w:val="auto"/>
                <w:kern w:val="0"/>
                <w:highlight w:val="none"/>
              </w:rPr>
            </w:pPr>
            <w:r>
              <w:rPr>
                <w:rFonts w:hint="default" w:ascii="Times New Roman" w:hAnsi="Times New Roman" w:eastAsia="黑体" w:cs="Times New Roman"/>
                <w:color w:val="auto"/>
                <w:kern w:val="0"/>
                <w:highlight w:val="none"/>
              </w:rPr>
              <w:t>项目</w:t>
            </w:r>
          </w:p>
        </w:tc>
        <w:tc>
          <w:tcPr>
            <w:tcW w:w="504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color w:val="auto"/>
                <w:kern w:val="0"/>
                <w:highlight w:val="none"/>
              </w:rPr>
            </w:pPr>
            <w:r>
              <w:rPr>
                <w:rFonts w:hint="default" w:ascii="Times New Roman" w:hAnsi="Times New Roman" w:eastAsia="黑体" w:cs="Times New Roman"/>
                <w:color w:val="auto"/>
                <w:kern w:val="0"/>
                <w:highlight w:val="none"/>
              </w:rPr>
              <w:t>计分方法</w:t>
            </w:r>
          </w:p>
        </w:tc>
        <w:tc>
          <w:tcPr>
            <w:tcW w:w="77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color w:val="auto"/>
                <w:kern w:val="0"/>
                <w:highlight w:val="none"/>
              </w:rPr>
            </w:pPr>
            <w:r>
              <w:rPr>
                <w:rFonts w:hint="default" w:ascii="Times New Roman" w:hAnsi="Times New Roman" w:eastAsia="黑体" w:cs="Times New Roman"/>
                <w:color w:val="auto"/>
                <w:kern w:val="0"/>
                <w:highlight w:val="none"/>
              </w:rPr>
              <w:t>分值</w:t>
            </w:r>
          </w:p>
        </w:tc>
        <w:tc>
          <w:tcPr>
            <w:tcW w:w="105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color w:val="auto"/>
                <w:kern w:val="0"/>
                <w:highlight w:val="none"/>
              </w:rPr>
            </w:pPr>
            <w:r>
              <w:rPr>
                <w:rFonts w:hint="default" w:ascii="Times New Roman" w:hAnsi="Times New Roman" w:eastAsia="黑体" w:cs="Times New Roman"/>
                <w:color w:val="auto"/>
                <w:kern w:val="0"/>
                <w:highlight w:val="none"/>
              </w:rPr>
              <w:t>自评分</w:t>
            </w:r>
          </w:p>
        </w:tc>
        <w:tc>
          <w:tcPr>
            <w:tcW w:w="1408"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color w:val="auto"/>
                <w:kern w:val="0"/>
                <w:highlight w:val="none"/>
              </w:rPr>
            </w:pPr>
            <w:r>
              <w:rPr>
                <w:rFonts w:hint="default" w:ascii="Times New Roman" w:hAnsi="Times New Roman" w:eastAsia="黑体" w:cs="Times New Roman"/>
                <w:color w:val="auto"/>
                <w:kern w:val="0"/>
                <w:highlight w:val="none"/>
              </w:rPr>
              <w:t>考评组评分</w:t>
            </w:r>
          </w:p>
        </w:tc>
      </w:tr>
      <w:tr>
        <w:tblPrEx>
          <w:tblCellMar>
            <w:top w:w="0" w:type="dxa"/>
            <w:left w:w="108" w:type="dxa"/>
            <w:bottom w:w="0" w:type="dxa"/>
            <w:right w:w="108" w:type="dxa"/>
          </w:tblCellMar>
        </w:tblPrEx>
        <w:trPr>
          <w:trHeight w:val="499" w:hRule="atLeast"/>
        </w:trPr>
        <w:tc>
          <w:tcPr>
            <w:tcW w:w="1800" w:type="dxa"/>
            <w:vMerge w:val="restart"/>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社区居民就业率（25分）</w:t>
            </w:r>
          </w:p>
        </w:tc>
        <w:tc>
          <w:tcPr>
            <w:tcW w:w="504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带股联社社区居民就业就业率80%以上（含80%）</w:t>
            </w:r>
          </w:p>
        </w:tc>
        <w:tc>
          <w:tcPr>
            <w:tcW w:w="77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20分</w:t>
            </w:r>
          </w:p>
        </w:tc>
        <w:tc>
          <w:tcPr>
            <w:tcW w:w="105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　</w:t>
            </w:r>
          </w:p>
        </w:tc>
        <w:tc>
          <w:tcPr>
            <w:tcW w:w="140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　</w:t>
            </w:r>
          </w:p>
        </w:tc>
      </w:tr>
      <w:tr>
        <w:tblPrEx>
          <w:tblCellMar>
            <w:top w:w="0" w:type="dxa"/>
            <w:left w:w="108" w:type="dxa"/>
            <w:bottom w:w="0" w:type="dxa"/>
            <w:right w:w="108" w:type="dxa"/>
          </w:tblCellMar>
        </w:tblPrEx>
        <w:trPr>
          <w:trHeight w:val="499"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c>
          <w:tcPr>
            <w:tcW w:w="504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不带股联社社区居民就业就业率92%以上（含90%）</w:t>
            </w:r>
          </w:p>
        </w:tc>
        <w:tc>
          <w:tcPr>
            <w:tcW w:w="77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20分</w:t>
            </w:r>
          </w:p>
        </w:tc>
        <w:tc>
          <w:tcPr>
            <w:tcW w:w="10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c>
          <w:tcPr>
            <w:tcW w:w="140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r>
      <w:tr>
        <w:tblPrEx>
          <w:tblCellMar>
            <w:top w:w="0" w:type="dxa"/>
            <w:left w:w="108" w:type="dxa"/>
            <w:bottom w:w="0" w:type="dxa"/>
            <w:right w:w="108" w:type="dxa"/>
          </w:tblCellMar>
        </w:tblPrEx>
        <w:trPr>
          <w:trHeight w:val="499" w:hRule="atLeast"/>
        </w:trPr>
        <w:tc>
          <w:tcPr>
            <w:tcW w:w="1800" w:type="dxa"/>
            <w:vMerge w:val="restart"/>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落实应届毕业生半年内就业    （10分）</w:t>
            </w:r>
          </w:p>
        </w:tc>
        <w:tc>
          <w:tcPr>
            <w:tcW w:w="504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落实应届毕业生半年内95%上岗</w:t>
            </w:r>
          </w:p>
        </w:tc>
        <w:tc>
          <w:tcPr>
            <w:tcW w:w="77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10分</w:t>
            </w:r>
          </w:p>
        </w:tc>
        <w:tc>
          <w:tcPr>
            <w:tcW w:w="105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　</w:t>
            </w:r>
          </w:p>
        </w:tc>
        <w:tc>
          <w:tcPr>
            <w:tcW w:w="140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　</w:t>
            </w:r>
          </w:p>
        </w:tc>
      </w:tr>
      <w:tr>
        <w:tblPrEx>
          <w:tblCellMar>
            <w:top w:w="0" w:type="dxa"/>
            <w:left w:w="108" w:type="dxa"/>
            <w:bottom w:w="0" w:type="dxa"/>
            <w:right w:w="108" w:type="dxa"/>
          </w:tblCellMar>
        </w:tblPrEx>
        <w:trPr>
          <w:trHeight w:val="416"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c>
          <w:tcPr>
            <w:tcW w:w="504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落实应届毕业生半年内92%上岗</w:t>
            </w:r>
          </w:p>
        </w:tc>
        <w:tc>
          <w:tcPr>
            <w:tcW w:w="77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5分</w:t>
            </w:r>
          </w:p>
        </w:tc>
        <w:tc>
          <w:tcPr>
            <w:tcW w:w="10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c>
          <w:tcPr>
            <w:tcW w:w="140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r>
      <w:tr>
        <w:tblPrEx>
          <w:tblCellMar>
            <w:top w:w="0" w:type="dxa"/>
            <w:left w:w="108" w:type="dxa"/>
            <w:bottom w:w="0" w:type="dxa"/>
            <w:right w:w="108" w:type="dxa"/>
          </w:tblCellMar>
        </w:tblPrEx>
        <w:trPr>
          <w:trHeight w:val="450" w:hRule="atLeast"/>
        </w:trPr>
        <w:tc>
          <w:tcPr>
            <w:tcW w:w="1800" w:type="dxa"/>
            <w:vMerge w:val="restart"/>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应届毕业生    就业巩固     （10分）</w:t>
            </w:r>
          </w:p>
        </w:tc>
        <w:tc>
          <w:tcPr>
            <w:tcW w:w="504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应届毕业生就业巩固率100%</w:t>
            </w:r>
          </w:p>
        </w:tc>
        <w:tc>
          <w:tcPr>
            <w:tcW w:w="77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10分</w:t>
            </w:r>
          </w:p>
        </w:tc>
        <w:tc>
          <w:tcPr>
            <w:tcW w:w="105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　</w:t>
            </w:r>
          </w:p>
        </w:tc>
        <w:tc>
          <w:tcPr>
            <w:tcW w:w="140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　</w:t>
            </w:r>
          </w:p>
        </w:tc>
      </w:tr>
      <w:tr>
        <w:tblPrEx>
          <w:tblCellMar>
            <w:top w:w="0" w:type="dxa"/>
            <w:left w:w="108" w:type="dxa"/>
            <w:bottom w:w="0" w:type="dxa"/>
            <w:right w:w="108" w:type="dxa"/>
          </w:tblCellMar>
        </w:tblPrEx>
        <w:trPr>
          <w:trHeight w:val="499"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c>
          <w:tcPr>
            <w:tcW w:w="504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应届毕业生就业巩固率99%（含99%）</w:t>
            </w:r>
          </w:p>
        </w:tc>
        <w:tc>
          <w:tcPr>
            <w:tcW w:w="77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8分</w:t>
            </w:r>
          </w:p>
        </w:tc>
        <w:tc>
          <w:tcPr>
            <w:tcW w:w="10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c>
          <w:tcPr>
            <w:tcW w:w="140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r>
      <w:tr>
        <w:tblPrEx>
          <w:tblCellMar>
            <w:top w:w="0" w:type="dxa"/>
            <w:left w:w="108" w:type="dxa"/>
            <w:bottom w:w="0" w:type="dxa"/>
            <w:right w:w="108" w:type="dxa"/>
          </w:tblCellMar>
        </w:tblPrEx>
        <w:trPr>
          <w:trHeight w:val="499"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c>
          <w:tcPr>
            <w:tcW w:w="504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应届毕业生就业巩固率98%（含98%）</w:t>
            </w:r>
          </w:p>
        </w:tc>
        <w:tc>
          <w:tcPr>
            <w:tcW w:w="77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5分</w:t>
            </w:r>
          </w:p>
        </w:tc>
        <w:tc>
          <w:tcPr>
            <w:tcW w:w="10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c>
          <w:tcPr>
            <w:tcW w:w="140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r>
      <w:tr>
        <w:tblPrEx>
          <w:tblCellMar>
            <w:top w:w="0" w:type="dxa"/>
            <w:left w:w="108" w:type="dxa"/>
            <w:bottom w:w="0" w:type="dxa"/>
            <w:right w:w="108" w:type="dxa"/>
          </w:tblCellMar>
        </w:tblPrEx>
        <w:trPr>
          <w:trHeight w:val="451"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c>
          <w:tcPr>
            <w:tcW w:w="504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应届毕业生就业巩固率95%（含95%）</w:t>
            </w:r>
          </w:p>
        </w:tc>
        <w:tc>
          <w:tcPr>
            <w:tcW w:w="77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3分</w:t>
            </w:r>
          </w:p>
        </w:tc>
        <w:tc>
          <w:tcPr>
            <w:tcW w:w="10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c>
          <w:tcPr>
            <w:tcW w:w="140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r>
      <w:tr>
        <w:tblPrEx>
          <w:tblCellMar>
            <w:top w:w="0" w:type="dxa"/>
            <w:left w:w="108" w:type="dxa"/>
            <w:bottom w:w="0" w:type="dxa"/>
            <w:right w:w="108" w:type="dxa"/>
          </w:tblCellMar>
        </w:tblPrEx>
        <w:trPr>
          <w:trHeight w:val="319" w:hRule="atLeast"/>
        </w:trPr>
        <w:tc>
          <w:tcPr>
            <w:tcW w:w="1800" w:type="dxa"/>
            <w:vMerge w:val="restart"/>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居民技能培训 （15分）</w:t>
            </w:r>
          </w:p>
        </w:tc>
        <w:tc>
          <w:tcPr>
            <w:tcW w:w="504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落实任务100%</w:t>
            </w:r>
          </w:p>
        </w:tc>
        <w:tc>
          <w:tcPr>
            <w:tcW w:w="77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20分</w:t>
            </w:r>
          </w:p>
        </w:tc>
        <w:tc>
          <w:tcPr>
            <w:tcW w:w="105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　</w:t>
            </w:r>
          </w:p>
        </w:tc>
        <w:tc>
          <w:tcPr>
            <w:tcW w:w="140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　</w:t>
            </w:r>
          </w:p>
        </w:tc>
      </w:tr>
      <w:tr>
        <w:tblPrEx>
          <w:tblCellMar>
            <w:top w:w="0" w:type="dxa"/>
            <w:left w:w="108" w:type="dxa"/>
            <w:bottom w:w="0" w:type="dxa"/>
            <w:right w:w="108" w:type="dxa"/>
          </w:tblCellMar>
        </w:tblPrEx>
        <w:trPr>
          <w:trHeight w:val="310"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c>
          <w:tcPr>
            <w:tcW w:w="504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落实任务99%</w:t>
            </w:r>
          </w:p>
        </w:tc>
        <w:tc>
          <w:tcPr>
            <w:tcW w:w="77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15分</w:t>
            </w:r>
          </w:p>
        </w:tc>
        <w:tc>
          <w:tcPr>
            <w:tcW w:w="10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c>
          <w:tcPr>
            <w:tcW w:w="140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r>
      <w:tr>
        <w:tblPrEx>
          <w:tblCellMar>
            <w:top w:w="0" w:type="dxa"/>
            <w:left w:w="108" w:type="dxa"/>
            <w:bottom w:w="0" w:type="dxa"/>
            <w:right w:w="108" w:type="dxa"/>
          </w:tblCellMar>
        </w:tblPrEx>
        <w:trPr>
          <w:trHeight w:val="299"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c>
          <w:tcPr>
            <w:tcW w:w="504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落实任务98%</w:t>
            </w:r>
          </w:p>
        </w:tc>
        <w:tc>
          <w:tcPr>
            <w:tcW w:w="77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8分</w:t>
            </w:r>
          </w:p>
        </w:tc>
        <w:tc>
          <w:tcPr>
            <w:tcW w:w="10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c>
          <w:tcPr>
            <w:tcW w:w="140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r>
      <w:tr>
        <w:tblPrEx>
          <w:tblCellMar>
            <w:top w:w="0" w:type="dxa"/>
            <w:left w:w="108" w:type="dxa"/>
            <w:bottom w:w="0" w:type="dxa"/>
            <w:right w:w="108" w:type="dxa"/>
          </w:tblCellMar>
        </w:tblPrEx>
        <w:trPr>
          <w:trHeight w:val="276"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c>
          <w:tcPr>
            <w:tcW w:w="504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落实任务95%</w:t>
            </w:r>
          </w:p>
        </w:tc>
        <w:tc>
          <w:tcPr>
            <w:tcW w:w="77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5分</w:t>
            </w:r>
          </w:p>
        </w:tc>
        <w:tc>
          <w:tcPr>
            <w:tcW w:w="10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c>
          <w:tcPr>
            <w:tcW w:w="140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r>
      <w:tr>
        <w:tblPrEx>
          <w:tblCellMar>
            <w:top w:w="0" w:type="dxa"/>
            <w:left w:w="108" w:type="dxa"/>
            <w:bottom w:w="0" w:type="dxa"/>
            <w:right w:w="108" w:type="dxa"/>
          </w:tblCellMar>
        </w:tblPrEx>
        <w:trPr>
          <w:trHeight w:val="318" w:hRule="atLeast"/>
        </w:trPr>
        <w:tc>
          <w:tcPr>
            <w:tcW w:w="1800"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有就业意愿居民实现就业     （10分）</w:t>
            </w:r>
          </w:p>
        </w:tc>
        <w:tc>
          <w:tcPr>
            <w:tcW w:w="504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100%就业的</w:t>
            </w:r>
          </w:p>
        </w:tc>
        <w:tc>
          <w:tcPr>
            <w:tcW w:w="77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10分</w:t>
            </w:r>
          </w:p>
        </w:tc>
        <w:tc>
          <w:tcPr>
            <w:tcW w:w="1056" w:type="dxa"/>
            <w:tcBorders>
              <w:top w:val="nil"/>
              <w:left w:val="nil"/>
              <w:bottom w:val="nil"/>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　</w:t>
            </w:r>
          </w:p>
        </w:tc>
        <w:tc>
          <w:tcPr>
            <w:tcW w:w="1408" w:type="dxa"/>
            <w:tcBorders>
              <w:top w:val="nil"/>
              <w:left w:val="nil"/>
              <w:bottom w:val="nil"/>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　</w:t>
            </w:r>
          </w:p>
        </w:tc>
      </w:tr>
      <w:tr>
        <w:tblPrEx>
          <w:tblCellMar>
            <w:top w:w="0" w:type="dxa"/>
            <w:left w:w="108" w:type="dxa"/>
            <w:bottom w:w="0" w:type="dxa"/>
            <w:right w:w="108" w:type="dxa"/>
          </w:tblCellMar>
        </w:tblPrEx>
        <w:trPr>
          <w:trHeight w:val="307" w:hRule="atLeast"/>
        </w:trPr>
        <w:tc>
          <w:tcPr>
            <w:tcW w:w="18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c>
          <w:tcPr>
            <w:tcW w:w="504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99%就业的</w:t>
            </w:r>
          </w:p>
        </w:tc>
        <w:tc>
          <w:tcPr>
            <w:tcW w:w="77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10分</w:t>
            </w:r>
          </w:p>
        </w:tc>
        <w:tc>
          <w:tcPr>
            <w:tcW w:w="1056" w:type="dxa"/>
            <w:tcBorders>
              <w:top w:val="nil"/>
              <w:left w:val="nil"/>
              <w:bottom w:val="nil"/>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　</w:t>
            </w:r>
          </w:p>
        </w:tc>
        <w:tc>
          <w:tcPr>
            <w:tcW w:w="1408" w:type="dxa"/>
            <w:tcBorders>
              <w:top w:val="nil"/>
              <w:left w:val="nil"/>
              <w:bottom w:val="nil"/>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　</w:t>
            </w:r>
          </w:p>
        </w:tc>
      </w:tr>
      <w:tr>
        <w:tblPrEx>
          <w:tblCellMar>
            <w:top w:w="0" w:type="dxa"/>
            <w:left w:w="108" w:type="dxa"/>
            <w:bottom w:w="0" w:type="dxa"/>
            <w:right w:w="108" w:type="dxa"/>
          </w:tblCellMar>
        </w:tblPrEx>
        <w:trPr>
          <w:trHeight w:val="284" w:hRule="atLeast"/>
        </w:trPr>
        <w:tc>
          <w:tcPr>
            <w:tcW w:w="18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c>
          <w:tcPr>
            <w:tcW w:w="504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98%就业的</w:t>
            </w:r>
          </w:p>
        </w:tc>
        <w:tc>
          <w:tcPr>
            <w:tcW w:w="77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5分</w:t>
            </w:r>
          </w:p>
        </w:tc>
        <w:tc>
          <w:tcPr>
            <w:tcW w:w="1056" w:type="dxa"/>
            <w:tcBorders>
              <w:top w:val="nil"/>
              <w:left w:val="nil"/>
              <w:bottom w:val="nil"/>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　</w:t>
            </w:r>
          </w:p>
        </w:tc>
        <w:tc>
          <w:tcPr>
            <w:tcW w:w="1408" w:type="dxa"/>
            <w:tcBorders>
              <w:top w:val="nil"/>
              <w:left w:val="nil"/>
              <w:bottom w:val="nil"/>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　</w:t>
            </w:r>
          </w:p>
        </w:tc>
      </w:tr>
      <w:tr>
        <w:tblPrEx>
          <w:tblCellMar>
            <w:top w:w="0" w:type="dxa"/>
            <w:left w:w="108" w:type="dxa"/>
            <w:bottom w:w="0" w:type="dxa"/>
            <w:right w:w="108" w:type="dxa"/>
          </w:tblCellMar>
        </w:tblPrEx>
        <w:trPr>
          <w:trHeight w:val="287" w:hRule="atLeast"/>
        </w:trPr>
        <w:tc>
          <w:tcPr>
            <w:tcW w:w="18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c>
          <w:tcPr>
            <w:tcW w:w="504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97%就业的</w:t>
            </w:r>
          </w:p>
        </w:tc>
        <w:tc>
          <w:tcPr>
            <w:tcW w:w="77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3分</w:t>
            </w:r>
          </w:p>
        </w:tc>
        <w:tc>
          <w:tcPr>
            <w:tcW w:w="1056" w:type="dxa"/>
            <w:tcBorders>
              <w:top w:val="nil"/>
              <w:left w:val="nil"/>
              <w:bottom w:val="nil"/>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　</w:t>
            </w:r>
          </w:p>
        </w:tc>
        <w:tc>
          <w:tcPr>
            <w:tcW w:w="1408" w:type="dxa"/>
            <w:tcBorders>
              <w:top w:val="nil"/>
              <w:left w:val="nil"/>
              <w:bottom w:val="nil"/>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　</w:t>
            </w:r>
          </w:p>
        </w:tc>
      </w:tr>
      <w:tr>
        <w:tblPrEx>
          <w:tblCellMar>
            <w:top w:w="0" w:type="dxa"/>
            <w:left w:w="108" w:type="dxa"/>
            <w:bottom w:w="0" w:type="dxa"/>
            <w:right w:w="108" w:type="dxa"/>
          </w:tblCellMar>
        </w:tblPrEx>
        <w:trPr>
          <w:trHeight w:val="298" w:hRule="atLeast"/>
        </w:trPr>
        <w:tc>
          <w:tcPr>
            <w:tcW w:w="1800" w:type="dxa"/>
            <w:vMerge w:val="restart"/>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创业带动就业  （10分）</w:t>
            </w:r>
          </w:p>
        </w:tc>
        <w:tc>
          <w:tcPr>
            <w:tcW w:w="504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落实任务100%</w:t>
            </w:r>
          </w:p>
        </w:tc>
        <w:tc>
          <w:tcPr>
            <w:tcW w:w="77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10分</w:t>
            </w:r>
          </w:p>
        </w:tc>
        <w:tc>
          <w:tcPr>
            <w:tcW w:w="105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　</w:t>
            </w:r>
          </w:p>
        </w:tc>
        <w:tc>
          <w:tcPr>
            <w:tcW w:w="140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　</w:t>
            </w:r>
          </w:p>
        </w:tc>
      </w:tr>
      <w:tr>
        <w:tblPrEx>
          <w:tblCellMar>
            <w:top w:w="0" w:type="dxa"/>
            <w:left w:w="108" w:type="dxa"/>
            <w:bottom w:w="0" w:type="dxa"/>
            <w:right w:w="108" w:type="dxa"/>
          </w:tblCellMar>
        </w:tblPrEx>
        <w:trPr>
          <w:trHeight w:val="287"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c>
          <w:tcPr>
            <w:tcW w:w="504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落实任务99%</w:t>
            </w:r>
          </w:p>
        </w:tc>
        <w:tc>
          <w:tcPr>
            <w:tcW w:w="77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8分</w:t>
            </w:r>
          </w:p>
        </w:tc>
        <w:tc>
          <w:tcPr>
            <w:tcW w:w="105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c>
          <w:tcPr>
            <w:tcW w:w="140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r>
      <w:tr>
        <w:tblPrEx>
          <w:tblCellMar>
            <w:top w:w="0" w:type="dxa"/>
            <w:left w:w="108" w:type="dxa"/>
            <w:bottom w:w="0" w:type="dxa"/>
            <w:right w:w="108" w:type="dxa"/>
          </w:tblCellMar>
        </w:tblPrEx>
        <w:trPr>
          <w:trHeight w:val="292"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c>
          <w:tcPr>
            <w:tcW w:w="504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落实任务98%</w:t>
            </w:r>
          </w:p>
        </w:tc>
        <w:tc>
          <w:tcPr>
            <w:tcW w:w="77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5分</w:t>
            </w:r>
          </w:p>
        </w:tc>
        <w:tc>
          <w:tcPr>
            <w:tcW w:w="105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c>
          <w:tcPr>
            <w:tcW w:w="140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r>
      <w:tr>
        <w:tblPrEx>
          <w:tblCellMar>
            <w:top w:w="0" w:type="dxa"/>
            <w:left w:w="108" w:type="dxa"/>
            <w:bottom w:w="0" w:type="dxa"/>
            <w:right w:w="108" w:type="dxa"/>
          </w:tblCellMar>
        </w:tblPrEx>
        <w:trPr>
          <w:trHeight w:val="424"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c>
          <w:tcPr>
            <w:tcW w:w="504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落实任务95%</w:t>
            </w:r>
          </w:p>
        </w:tc>
        <w:tc>
          <w:tcPr>
            <w:tcW w:w="77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3分</w:t>
            </w:r>
          </w:p>
        </w:tc>
        <w:tc>
          <w:tcPr>
            <w:tcW w:w="105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c>
          <w:tcPr>
            <w:tcW w:w="140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r>
      <w:tr>
        <w:tblPrEx>
          <w:tblCellMar>
            <w:top w:w="0" w:type="dxa"/>
            <w:left w:w="108" w:type="dxa"/>
            <w:bottom w:w="0" w:type="dxa"/>
            <w:right w:w="108" w:type="dxa"/>
          </w:tblCellMar>
        </w:tblPrEx>
        <w:trPr>
          <w:trHeight w:val="443" w:hRule="atLeast"/>
        </w:trPr>
        <w:tc>
          <w:tcPr>
            <w:tcW w:w="1800"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组织保障      宣传工作      （20分）</w:t>
            </w:r>
          </w:p>
        </w:tc>
        <w:tc>
          <w:tcPr>
            <w:tcW w:w="50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有固定的就业专干跟</w:t>
            </w:r>
            <w:r>
              <w:rPr>
                <w:rFonts w:hint="eastAsia" w:ascii="Times New Roman" w:hAnsi="Times New Roman" w:eastAsia="仿宋_GB2312" w:cs="Times New Roman"/>
                <w:color w:val="auto"/>
                <w:kern w:val="0"/>
                <w:highlight w:val="none"/>
                <w:lang w:eastAsia="zh-CN"/>
              </w:rPr>
              <w:t>踪</w:t>
            </w:r>
            <w:bookmarkStart w:id="0" w:name="_GoBack"/>
            <w:bookmarkEnd w:id="0"/>
            <w:r>
              <w:rPr>
                <w:rFonts w:hint="default" w:ascii="Times New Roman" w:hAnsi="Times New Roman" w:eastAsia="仿宋_GB2312" w:cs="Times New Roman"/>
                <w:color w:val="auto"/>
                <w:kern w:val="0"/>
                <w:highlight w:val="none"/>
              </w:rPr>
              <w:t>联系就业创业工作，并及时上报资料</w:t>
            </w:r>
          </w:p>
        </w:tc>
        <w:tc>
          <w:tcPr>
            <w:tcW w:w="77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5分</w:t>
            </w:r>
          </w:p>
        </w:tc>
        <w:tc>
          <w:tcPr>
            <w:tcW w:w="105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　</w:t>
            </w:r>
          </w:p>
        </w:tc>
        <w:tc>
          <w:tcPr>
            <w:tcW w:w="140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　</w:t>
            </w:r>
          </w:p>
        </w:tc>
      </w:tr>
      <w:tr>
        <w:tblPrEx>
          <w:tblCellMar>
            <w:top w:w="0" w:type="dxa"/>
            <w:left w:w="108" w:type="dxa"/>
            <w:bottom w:w="0" w:type="dxa"/>
            <w:right w:w="108" w:type="dxa"/>
          </w:tblCellMar>
        </w:tblPrEx>
        <w:trPr>
          <w:trHeight w:val="388"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default" w:ascii="Times New Roman" w:hAnsi="Times New Roman" w:eastAsia="仿宋_GB2312" w:cs="Times New Roman"/>
                <w:color w:val="auto"/>
                <w:kern w:val="0"/>
                <w:highlight w:val="none"/>
              </w:rPr>
            </w:pPr>
          </w:p>
        </w:tc>
        <w:tc>
          <w:tcPr>
            <w:tcW w:w="5040" w:type="dxa"/>
            <w:tcBorders>
              <w:top w:val="nil"/>
              <w:left w:val="nil"/>
              <w:bottom w:val="single" w:color="auto" w:sz="4" w:space="0"/>
              <w:right w:val="single" w:color="auto" w:sz="4" w:space="0"/>
            </w:tcBorders>
            <w:noWrap w:val="0"/>
            <w:vAlign w:val="center"/>
          </w:tcPr>
          <w:p>
            <w:pPr>
              <w:widowControl/>
              <w:spacing w:line="260" w:lineRule="exact"/>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配合就业创业政策等宣传工作</w:t>
            </w:r>
          </w:p>
        </w:tc>
        <w:tc>
          <w:tcPr>
            <w:tcW w:w="77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5分</w:t>
            </w:r>
          </w:p>
        </w:tc>
        <w:tc>
          <w:tcPr>
            <w:tcW w:w="10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c>
          <w:tcPr>
            <w:tcW w:w="140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r>
      <w:tr>
        <w:tblPrEx>
          <w:tblCellMar>
            <w:top w:w="0" w:type="dxa"/>
            <w:left w:w="108" w:type="dxa"/>
            <w:bottom w:w="0" w:type="dxa"/>
            <w:right w:w="108" w:type="dxa"/>
          </w:tblCellMar>
        </w:tblPrEx>
        <w:trPr>
          <w:trHeight w:val="374"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c>
          <w:tcPr>
            <w:tcW w:w="504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召集会议能够准时到会并保持良好的会议纪律</w:t>
            </w:r>
          </w:p>
        </w:tc>
        <w:tc>
          <w:tcPr>
            <w:tcW w:w="77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5分</w:t>
            </w:r>
          </w:p>
        </w:tc>
        <w:tc>
          <w:tcPr>
            <w:tcW w:w="10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c>
          <w:tcPr>
            <w:tcW w:w="140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r>
      <w:tr>
        <w:tblPrEx>
          <w:tblCellMar>
            <w:top w:w="0" w:type="dxa"/>
            <w:left w:w="108" w:type="dxa"/>
            <w:bottom w:w="0" w:type="dxa"/>
            <w:right w:w="108" w:type="dxa"/>
          </w:tblCellMar>
        </w:tblPrEx>
        <w:trPr>
          <w:trHeight w:val="499" w:hRule="atLeast"/>
        </w:trPr>
        <w:tc>
          <w:tcPr>
            <w:tcW w:w="18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c>
          <w:tcPr>
            <w:tcW w:w="504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协助管理社区工作坊</w:t>
            </w:r>
          </w:p>
        </w:tc>
        <w:tc>
          <w:tcPr>
            <w:tcW w:w="77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5分</w:t>
            </w:r>
          </w:p>
        </w:tc>
        <w:tc>
          <w:tcPr>
            <w:tcW w:w="10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c>
          <w:tcPr>
            <w:tcW w:w="140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auto"/>
                <w:kern w:val="0"/>
                <w:highlight w:val="none"/>
              </w:rPr>
            </w:pPr>
          </w:p>
        </w:tc>
      </w:tr>
    </w:tbl>
    <w:p>
      <w:pPr>
        <w:spacing w:line="620" w:lineRule="exact"/>
        <w:rPr>
          <w:rFonts w:hint="default" w:ascii="Times New Roman" w:hAnsi="Times New Roman" w:eastAsia="黑体" w:cs="Times New Roman"/>
          <w:color w:val="auto"/>
          <w:sz w:val="32"/>
          <w:szCs w:val="32"/>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5278D1"/>
    <w:rsid w:val="2C5278D1"/>
    <w:rsid w:val="7A052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toc 5"/>
    <w:basedOn w:val="1"/>
    <w:next w:val="1"/>
    <w:qFormat/>
    <w:uiPriority w:val="0"/>
    <w:pPr>
      <w:ind w:left="1680"/>
    </w:pPr>
    <w:rPr>
      <w:rFonts w:ascii="Times New Roman" w:hAnsi="Times New Roman" w:eastAsia="宋体" w:cs="Times New Roman"/>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2021-11-05T03:51:00Z</dcterms:created>
  <dc:creator>兽曦曦</dc:creator>
  <cp:lastModifiedBy>兽曦曦</cp:lastModifiedBy>
  <dcterms:modified xsi:type="dcterms:W3CDTF">2022-03-24T11:16:58Z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FB4A07762BC84719A332AF8D457E3077</vt:lpwstr>
  </property>
</Properties>
</file>