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val="0"/>
        <w:snapToGrid w:val="0"/>
        <w:spacing w:beforeLines="0" w:afterLines="0" w:line="574" w:lineRule="exact"/>
        <w:jc w:val="left"/>
        <w:textAlignment w:val="auto"/>
        <w:rPr>
          <w:rFonts w:hint="eastAsia" w:ascii="Times New Roman" w:hAnsi="Times New Roman" w:eastAsia="方正小标宋简体" w:cs="方正小标宋简体"/>
          <w:snapToGrid w:val="0"/>
          <w:color w:val="000000" w:themeColor="text1"/>
          <w:spacing w:val="0"/>
          <w:kern w:val="0"/>
          <w:sz w:val="44"/>
          <w:szCs w:val="44"/>
          <w:highlight w:val="none"/>
          <w:lang w:val="en-US" w:eastAsia="zh-CN"/>
          <w14:textFill>
            <w14:solidFill>
              <w14:schemeClr w14:val="tx1"/>
            </w14:solidFill>
          </w14:textFill>
        </w:rPr>
      </w:pPr>
      <w:bookmarkStart w:id="0" w:name="_GoBack"/>
      <w:bookmarkEnd w:id="0"/>
    </w:p>
    <w:p>
      <w:pPr>
        <w:pageBreakBefore w:val="0"/>
        <w:widowControl w:val="0"/>
        <w:kinsoku/>
        <w:wordWrap/>
        <w:overflowPunct/>
        <w:topLinePunct w:val="0"/>
        <w:autoSpaceDE/>
        <w:autoSpaceDN/>
        <w:bidi w:val="0"/>
        <w:adjustRightInd w:val="0"/>
        <w:snapToGrid w:val="0"/>
        <w:spacing w:beforeLines="0" w:afterLines="0" w:line="574" w:lineRule="exact"/>
        <w:jc w:val="center"/>
        <w:textAlignment w:val="auto"/>
        <w:outlineLvl w:val="0"/>
        <w:rPr>
          <w:rFonts w:hint="eastAsia" w:ascii="Times New Roman" w:hAnsi="Times New Roman" w:eastAsia="方正小标宋简体" w:cs="方正小标宋简体"/>
          <w:snapToGrid w:val="0"/>
          <w:color w:val="000000" w:themeColor="text1"/>
          <w:spacing w:val="0"/>
          <w:kern w:val="0"/>
          <w:sz w:val="44"/>
          <w:szCs w:val="44"/>
          <w:highlight w:val="none"/>
          <w:lang w:val="en-US" w:eastAsia="zh-CN"/>
          <w14:textFill>
            <w14:solidFill>
              <w14:schemeClr w14:val="tx1"/>
            </w14:solidFill>
          </w14:textFill>
        </w:rPr>
      </w:pPr>
      <w:r>
        <w:rPr>
          <w:rFonts w:hint="eastAsia" w:ascii="Times New Roman" w:hAnsi="Times New Roman" w:eastAsia="方正小标宋简体" w:cs="方正小标宋简体"/>
          <w:snapToGrid w:val="0"/>
          <w:color w:val="000000" w:themeColor="text1"/>
          <w:spacing w:val="0"/>
          <w:kern w:val="0"/>
          <w:sz w:val="44"/>
          <w:szCs w:val="44"/>
          <w:highlight w:val="none"/>
          <w:lang w:val="en-US" w:eastAsia="zh-CN"/>
          <w14:textFill>
            <w14:solidFill>
              <w14:schemeClr w14:val="tx1"/>
            </w14:solidFill>
          </w14:textFill>
        </w:rPr>
        <w:t>解读《中山市金融业发展“十四五”规划》</w:t>
      </w:r>
    </w:p>
    <w:p>
      <w:pPr>
        <w:pStyle w:val="3"/>
        <w:pageBreakBefore w:val="0"/>
        <w:widowControl w:val="0"/>
        <w:kinsoku/>
        <w:wordWrap/>
        <w:overflowPunct/>
        <w:topLinePunct w:val="0"/>
        <w:autoSpaceDE w:val="0"/>
        <w:autoSpaceDN w:val="0"/>
        <w:bidi w:val="0"/>
        <w:adjustRightInd w:val="0"/>
        <w:snapToGrid w:val="0"/>
        <w:spacing w:before="0" w:beforeLines="0" w:after="0" w:afterLines="0" w:line="574" w:lineRule="exact"/>
        <w:ind w:left="0" w:leftChars="0" w:right="0" w:firstLine="0" w:firstLineChars="0"/>
        <w:jc w:val="left"/>
        <w:textAlignment w:val="auto"/>
        <w:rPr>
          <w:rFonts w:hint="eastAsia" w:ascii="Times New Roman" w:hAnsi="Times New Roman" w:eastAsia="方正小标宋简体" w:cs="方正小标宋简体"/>
          <w:snapToGrid w:val="0"/>
          <w:color w:val="000000" w:themeColor="text1"/>
          <w:spacing w:val="0"/>
          <w:kern w:val="0"/>
          <w:sz w:val="44"/>
          <w:szCs w:val="44"/>
          <w:highlight w:val="none"/>
          <w:lang w:val="en-US" w:eastAsia="zh-CN"/>
          <w14:textFill>
            <w14:solidFill>
              <w14:schemeClr w14:val="tx1"/>
            </w14:solidFill>
          </w14:textFill>
        </w:rPr>
      </w:pPr>
    </w:p>
    <w:p>
      <w:pPr>
        <w:pStyle w:val="3"/>
        <w:pageBreakBefore w:val="0"/>
        <w:widowControl w:val="0"/>
        <w:kinsoku/>
        <w:wordWrap/>
        <w:overflowPunct/>
        <w:topLinePunct w:val="0"/>
        <w:autoSpaceDE w:val="0"/>
        <w:autoSpaceDN w:val="0"/>
        <w:bidi w:val="0"/>
        <w:adjustRightInd w:val="0"/>
        <w:snapToGrid w:val="0"/>
        <w:spacing w:before="0" w:beforeLines="0" w:after="0" w:afterLines="0" w:line="574" w:lineRule="exact"/>
        <w:ind w:left="0" w:right="0" w:firstLine="640" w:firstLineChars="200"/>
        <w:jc w:val="left"/>
        <w:textAlignment w:val="auto"/>
        <w:outlineLvl w:val="0"/>
        <w:rPr>
          <w:rStyle w:val="14"/>
          <w:rFonts w:hint="eastAsia" w:ascii="Times New Roman" w:hAnsi="Times New Roman" w:eastAsia="黑体" w:cs="黑体"/>
          <w:b w:val="0"/>
          <w:bCs/>
          <w:color w:val="000000" w:themeColor="text1"/>
          <w:spacing w:val="0"/>
          <w:kern w:val="0"/>
          <w:sz w:val="32"/>
          <w:szCs w:val="32"/>
          <w:highlight w:val="none"/>
          <w:lang w:bidi="zh-CN"/>
          <w14:textFill>
            <w14:solidFill>
              <w14:schemeClr w14:val="tx1"/>
            </w14:solidFill>
          </w14:textFill>
        </w:rPr>
      </w:pPr>
      <w:r>
        <w:rPr>
          <w:rStyle w:val="14"/>
          <w:rFonts w:hint="eastAsia" w:ascii="Times New Roman" w:hAnsi="Times New Roman" w:eastAsia="黑体" w:cs="黑体"/>
          <w:b w:val="0"/>
          <w:bCs/>
          <w:color w:val="000000" w:themeColor="text1"/>
          <w:spacing w:val="0"/>
          <w:kern w:val="0"/>
          <w:sz w:val="32"/>
          <w:szCs w:val="32"/>
          <w:highlight w:val="none"/>
          <w:lang w:bidi="zh-CN"/>
          <w14:textFill>
            <w14:solidFill>
              <w14:schemeClr w14:val="tx1"/>
            </w14:solidFill>
          </w14:textFill>
        </w:rPr>
        <w:t>一、编制依据</w:t>
      </w:r>
    </w:p>
    <w:p>
      <w:pPr>
        <w:pageBreakBefore w:val="0"/>
        <w:widowControl w:val="0"/>
        <w:kinsoku/>
        <w:wordWrap/>
        <w:overflowPunct/>
        <w:topLinePunct w:val="0"/>
        <w:bidi w:val="0"/>
        <w:adjustRightInd w:val="0"/>
        <w:snapToGrid w:val="0"/>
        <w:spacing w:beforeLines="0" w:afterLines="0" w:line="574" w:lineRule="exact"/>
        <w:ind w:firstLine="640" w:firstLineChars="0"/>
        <w:textAlignment w:val="auto"/>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pP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坚持以习近平新时代中国特色社会主义思想为指导，深入贯彻党的十九大和十九届历次全会精神，以及习近平总书记对广东系列重要讲话和重要指示批示精神，持之以恒实施省委</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1+1+9</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工作部署，全面落实市委市政府加快建设国际化现代化创新型城市，聚力打造</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湾区枢纽、精品中山</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”战略部署</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抢抓“双区驱动”、两个合作区重大战略机遇，紧扣金融服务实体经济、防控金融风险、深化金融改革三大任务</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，对</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十四五</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时期中山金融</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业</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发展进行系统谋划。在</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规划</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起草过程中，注重遵循四大原则，即坚持金融</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服务</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实体经济发展</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市场有效与政府有为有机统一</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重点突破和有序推进相结合</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创新发展与防范风险相</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协同</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四项原则。</w:t>
      </w:r>
    </w:p>
    <w:p>
      <w:pPr>
        <w:pageBreakBefore w:val="0"/>
        <w:widowControl w:val="0"/>
        <w:kinsoku/>
        <w:wordWrap/>
        <w:overflowPunct/>
        <w:topLinePunct w:val="0"/>
        <w:bidi w:val="0"/>
        <w:adjustRightInd w:val="0"/>
        <w:snapToGrid w:val="0"/>
        <w:spacing w:beforeLines="0" w:afterLines="0" w:line="574" w:lineRule="exact"/>
        <w:ind w:firstLine="640"/>
        <w:textAlignment w:val="auto"/>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pP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在此基础上，“十四五”时期中山金融业发展将</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以打造</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一区一核一圈一示范</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为导向</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以“1+2+3”重点任务为抓手，</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建设</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粤港澳大湾区国际金融枢纽的重要节点</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，推动金融空间布局进一步优化，</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 xml:space="preserve">提升金融服务创新驱动战略能级，提升金融服务实体经济质效，深化产融结合，深化金融生态环境改革，深化地方金融监管能力建设，打造成为中山经济高质量发展的核心“动力源”。  </w:t>
      </w:r>
    </w:p>
    <w:p>
      <w:pPr>
        <w:pageBreakBefore w:val="0"/>
        <w:widowControl w:val="0"/>
        <w:kinsoku/>
        <w:wordWrap/>
        <w:overflowPunct/>
        <w:topLinePunct w:val="0"/>
        <w:bidi w:val="0"/>
        <w:adjustRightInd w:val="0"/>
        <w:snapToGrid w:val="0"/>
        <w:spacing w:beforeLines="0" w:afterLines="0" w:line="574" w:lineRule="exact"/>
        <w:ind w:firstLine="640"/>
        <w:textAlignment w:val="auto"/>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pP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b w:val="0"/>
          <w:bCs w:val="0"/>
          <w:color w:val="000000" w:themeColor="text1"/>
          <w:spacing w:val="0"/>
          <w:kern w:val="0"/>
          <w:sz w:val="32"/>
          <w:szCs w:val="32"/>
          <w:highlight w:val="none"/>
          <w:lang w:val="en-US" w:eastAsia="zh-CN"/>
          <w14:textFill>
            <w14:solidFill>
              <w14:schemeClr w14:val="tx1"/>
            </w14:solidFill>
          </w14:textFill>
        </w:rPr>
        <w:t>中山市金融业发展“十四五”规划</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》（以下简称“《规划》”）</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共</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分为三大板块。第一板块为总论，包括第一</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、二、三章</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，客观地总结了</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十三五</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时期中山金融业发展情况，分析</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十四五</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时期面临的发展</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机遇</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和主要挑战，提出未来五年发展的指导思想、发展目标和发展要求。第二板块为分论，包括第</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四、五章</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该部分内容</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结合《中山市国民经济和社会发展第十四个五年规划和2035年远景目标纲要》</w:t>
      </w:r>
      <w:r>
        <w:rPr>
          <w:rFonts w:hint="eastAsia" w:ascii="Times New Roman" w:hAnsi="Times New Roman" w:eastAsia="仿宋_GB2312" w:cs="仿宋"/>
          <w:color w:val="000000" w:themeColor="text1"/>
          <w:kern w:val="0"/>
          <w:sz w:val="32"/>
          <w:szCs w:val="32"/>
          <w:highlight w:val="none"/>
          <w:lang w:val="en-US" w:eastAsia="zh-CN"/>
          <w14:textFill>
            <w14:solidFill>
              <w14:schemeClr w14:val="tx1"/>
            </w14:solidFill>
          </w14:textFill>
        </w:rPr>
        <w:t>中</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对于</w:t>
      </w:r>
      <w:r>
        <w:rPr>
          <w:rFonts w:hint="eastAsia" w:ascii="Times New Roman" w:hAnsi="Times New Roman" w:eastAsia="仿宋_GB2312" w:cs="仿宋"/>
          <w:color w:val="000000" w:themeColor="text1"/>
          <w:kern w:val="0"/>
          <w:sz w:val="32"/>
          <w:szCs w:val="32"/>
          <w:highlight w:val="none"/>
          <w:lang w:val="en-US" w:eastAsia="zh-CN"/>
          <w14:textFill>
            <w14:solidFill>
              <w14:schemeClr w14:val="tx1"/>
            </w14:solidFill>
          </w14:textFill>
        </w:rPr>
        <w:t>全</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市金融发展的有关部署，聚焦“十四五”时期中山金融业发展需解决的重大问题，以把握“双区”</w:t>
      </w:r>
      <w:r>
        <w:rPr>
          <w:rFonts w:hint="eastAsia" w:ascii="Times New Roman" w:hAnsi="Times New Roman" w:eastAsia="仿宋_GB2312" w:cs="仿宋"/>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kern w:val="0"/>
          <w:sz w:val="32"/>
          <w:szCs w:val="32"/>
          <w:highlight w:val="none"/>
          <w:lang w:val="en-US" w:eastAsia="zh-CN"/>
          <w14:textFill>
            <w14:solidFill>
              <w14:schemeClr w14:val="tx1"/>
            </w14:solidFill>
          </w14:textFill>
        </w:rPr>
        <w:t>两个合作区</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和深中通道建设的重大战略机遇为抓手，制定</w:t>
      </w:r>
      <w:r>
        <w:rPr>
          <w:rFonts w:hint="eastAsia" w:ascii="Times New Roman" w:hAnsi="Times New Roman" w:eastAsia="仿宋_GB2312" w:cs="仿宋"/>
          <w:color w:val="000000" w:themeColor="text1"/>
          <w:kern w:val="0"/>
          <w:sz w:val="32"/>
          <w:szCs w:val="32"/>
          <w:highlight w:val="none"/>
          <w:lang w:val="en-US" w:eastAsia="zh-CN"/>
          <w14:textFill>
            <w14:solidFill>
              <w14:schemeClr w14:val="tx1"/>
            </w14:solidFill>
          </w14:textFill>
        </w:rPr>
        <w:t>出未来五年中山金融业的发展路径</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w:t>
      </w:r>
      <w:r>
        <w:rPr>
          <w:rFonts w:hint="eastAsia" w:ascii="Times New Roman" w:hAnsi="Times New Roman" w:eastAsia="仿宋_GB2312" w:cs="仿宋"/>
          <w:color w:val="000000" w:themeColor="text1"/>
          <w:kern w:val="0"/>
          <w:sz w:val="32"/>
          <w:szCs w:val="32"/>
          <w:highlight w:val="none"/>
          <w:lang w:val="en-US" w:eastAsia="zh-CN"/>
          <w14:textFill>
            <w14:solidFill>
              <w14:schemeClr w14:val="tx1"/>
            </w14:solidFill>
          </w14:textFill>
        </w:rPr>
        <w:t>空间布局方面，《</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规划</w:t>
      </w:r>
      <w:r>
        <w:rPr>
          <w:rFonts w:hint="eastAsia" w:ascii="Times New Roman" w:hAnsi="Times New Roman" w:eastAsia="仿宋_GB2312" w:cs="仿宋"/>
          <w:color w:val="000000" w:themeColor="text1"/>
          <w:kern w:val="0"/>
          <w:sz w:val="32"/>
          <w:szCs w:val="32"/>
          <w:highlight w:val="none"/>
          <w:lang w:val="en-US" w:eastAsia="zh-CN"/>
          <w14:textFill>
            <w14:solidFill>
              <w14:schemeClr w14:val="tx1"/>
            </w14:solidFill>
          </w14:textFill>
        </w:rPr>
        <w:t>》</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统筹了中山市火炬开发区、翠亨新区、东区及石岐</w:t>
      </w:r>
      <w:r>
        <w:rPr>
          <w:rFonts w:hint="eastAsia" w:ascii="Times New Roman" w:hAnsi="Times New Roman" w:eastAsia="仿宋_GB2312" w:cs="仿宋"/>
          <w:color w:val="000000" w:themeColor="text1"/>
          <w:kern w:val="0"/>
          <w:sz w:val="32"/>
          <w:szCs w:val="32"/>
          <w:highlight w:val="none"/>
          <w:lang w:eastAsia="zh-CN"/>
          <w14:textFill>
            <w14:solidFill>
              <w14:schemeClr w14:val="tx1"/>
            </w14:solidFill>
          </w14:textFill>
        </w:rPr>
        <w:t>街道</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、小榄镇及古镇</w:t>
      </w:r>
      <w:r>
        <w:rPr>
          <w:rFonts w:hint="eastAsia" w:ascii="Times New Roman" w:hAnsi="Times New Roman" w:eastAsia="仿宋_GB2312" w:cs="仿宋"/>
          <w:color w:val="000000" w:themeColor="text1"/>
          <w:kern w:val="0"/>
          <w:sz w:val="32"/>
          <w:szCs w:val="32"/>
          <w:highlight w:val="none"/>
          <w:lang w:eastAsia="zh-CN"/>
          <w14:textFill>
            <w14:solidFill>
              <w14:schemeClr w14:val="tx1"/>
            </w14:solidFill>
          </w14:textFill>
        </w:rPr>
        <w:t>镇</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4大区域的金融空间布局规划，明确了各</w:t>
      </w:r>
      <w:r>
        <w:rPr>
          <w:rFonts w:hint="eastAsia" w:ascii="Times New Roman" w:hAnsi="Times New Roman" w:eastAsia="仿宋_GB2312" w:cs="仿宋"/>
          <w:color w:val="000000" w:themeColor="text1"/>
          <w:kern w:val="0"/>
          <w:sz w:val="32"/>
          <w:szCs w:val="32"/>
          <w:highlight w:val="none"/>
          <w:lang w:val="en-US" w:eastAsia="zh-CN"/>
          <w14:textFill>
            <w14:solidFill>
              <w14:schemeClr w14:val="tx1"/>
            </w14:solidFill>
          </w14:textFill>
        </w:rPr>
        <w:t>区域金融错位协同</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发展</w:t>
      </w:r>
      <w:r>
        <w:rPr>
          <w:rFonts w:hint="eastAsia" w:ascii="Times New Roman" w:hAnsi="Times New Roman" w:eastAsia="仿宋_GB2312" w:cs="仿宋"/>
          <w:color w:val="000000" w:themeColor="text1"/>
          <w:kern w:val="0"/>
          <w:sz w:val="32"/>
          <w:szCs w:val="32"/>
          <w:highlight w:val="none"/>
          <w:lang w:val="en-US" w:eastAsia="zh-CN"/>
          <w14:textFill>
            <w14:solidFill>
              <w14:schemeClr w14:val="tx1"/>
            </w14:solidFill>
          </w14:textFill>
        </w:rPr>
        <w:t>宗旨</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w:t>
      </w:r>
      <w:r>
        <w:rPr>
          <w:rFonts w:hint="eastAsia" w:ascii="Times New Roman" w:hAnsi="Times New Roman" w:eastAsia="仿宋_GB2312" w:cs="仿宋"/>
          <w:color w:val="000000" w:themeColor="text1"/>
          <w:kern w:val="0"/>
          <w:sz w:val="32"/>
          <w:szCs w:val="32"/>
          <w:highlight w:val="none"/>
          <w:lang w:val="en-US" w:eastAsia="zh-CN"/>
          <w14:textFill>
            <w14:solidFill>
              <w14:schemeClr w14:val="tx1"/>
            </w14:solidFill>
          </w14:textFill>
        </w:rPr>
        <w:t>具体措施方面，</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规划</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还就全市金融业未来五年的发展分6项重点任务</w:t>
      </w:r>
      <w:r>
        <w:rPr>
          <w:rFonts w:hint="eastAsia" w:ascii="Times New Roman" w:hAnsi="Times New Roman" w:eastAsia="仿宋_GB2312" w:cs="仿宋"/>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kern w:val="0"/>
          <w:sz w:val="32"/>
          <w:szCs w:val="32"/>
          <w:highlight w:val="none"/>
          <w:lang w:val="en-US" w:eastAsia="zh-CN"/>
          <w14:textFill>
            <w14:solidFill>
              <w14:schemeClr w14:val="tx1"/>
            </w14:solidFill>
          </w14:textFill>
        </w:rPr>
        <w:t>19</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项重点工作安排。第三板块</w:t>
      </w:r>
      <w:r>
        <w:rPr>
          <w:rFonts w:hint="eastAsia" w:ascii="Times New Roman" w:hAnsi="Times New Roman" w:eastAsia="仿宋_GB2312" w:cs="仿宋"/>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第</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六章</w:t>
      </w:r>
      <w:r>
        <w:rPr>
          <w:rFonts w:hint="eastAsia" w:ascii="Times New Roman" w:hAnsi="Times New Roman" w:eastAsia="仿宋_GB2312" w:cs="仿宋"/>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为保障措施</w:t>
      </w:r>
      <w:r>
        <w:rPr>
          <w:rFonts w:hint="eastAsia" w:ascii="Times New Roman" w:hAnsi="Times New Roman" w:eastAsia="仿宋_GB2312" w:cs="仿宋"/>
          <w:color w:val="000000" w:themeColor="text1"/>
          <w:kern w:val="0"/>
          <w:sz w:val="32"/>
          <w:szCs w:val="32"/>
          <w:highlight w:val="none"/>
          <w:lang w:eastAsia="zh-CN"/>
          <w14:textFill>
            <w14:solidFill>
              <w14:schemeClr w14:val="tx1"/>
            </w14:solidFill>
          </w14:textFill>
        </w:rPr>
        <w:t>，为</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顺利实施</w:t>
      </w:r>
      <w:r>
        <w:rPr>
          <w:rFonts w:hint="eastAsia" w:ascii="Times New Roman" w:hAnsi="Times New Roman" w:eastAsia="仿宋_GB2312" w:cs="仿宋"/>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规划</w:t>
      </w:r>
      <w:r>
        <w:rPr>
          <w:rFonts w:hint="eastAsia" w:ascii="Times New Roman" w:hAnsi="Times New Roman" w:eastAsia="仿宋_GB2312" w:cs="仿宋"/>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提出的重点工作</w:t>
      </w:r>
      <w:r>
        <w:rPr>
          <w:rFonts w:hint="eastAsia" w:ascii="Times New Roman" w:hAnsi="Times New Roman" w:eastAsia="仿宋_GB2312" w:cs="仿宋"/>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提出</w:t>
      </w:r>
      <w:r>
        <w:rPr>
          <w:rFonts w:hint="eastAsia" w:ascii="Times New Roman" w:hAnsi="Times New Roman" w:eastAsia="仿宋_GB2312" w:cs="仿宋"/>
          <w:color w:val="000000" w:themeColor="text1"/>
          <w:kern w:val="0"/>
          <w:sz w:val="32"/>
          <w:szCs w:val="32"/>
          <w:highlight w:val="none"/>
          <w:lang w:eastAsia="zh-CN"/>
          <w14:textFill>
            <w14:solidFill>
              <w14:schemeClr w14:val="tx1"/>
            </w14:solidFill>
          </w14:textFill>
        </w:rPr>
        <w:t>了</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加强党的领导、强化组织领导、发挥政策指引、推动资源集聚、加强宣传引领、完善动态管理评估机制等保障措施。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74" w:lineRule="exact"/>
        <w:ind w:left="630" w:leftChars="0" w:right="0" w:rightChars="0"/>
        <w:jc w:val="both"/>
        <w:textAlignment w:val="auto"/>
        <w:outlineLvl w:val="0"/>
        <w:rPr>
          <w:rStyle w:val="14"/>
          <w:rFonts w:hint="eastAsia" w:ascii="Times New Roman" w:hAnsi="Times New Roman" w:eastAsia="黑体" w:cs="黑体"/>
          <w:b w:val="0"/>
          <w:bCs/>
          <w:color w:val="000000" w:themeColor="text1"/>
          <w:spacing w:val="0"/>
          <w:kern w:val="0"/>
          <w:sz w:val="32"/>
          <w:szCs w:val="32"/>
          <w:highlight w:val="none"/>
          <w:lang w:bidi="zh-CN"/>
          <w14:textFill>
            <w14:solidFill>
              <w14:schemeClr w14:val="tx1"/>
            </w14:solidFill>
          </w14:textFill>
        </w:rPr>
      </w:pPr>
      <w:r>
        <w:rPr>
          <w:rStyle w:val="14"/>
          <w:rFonts w:hint="eastAsia" w:ascii="Times New Roman" w:hAnsi="Times New Roman" w:eastAsia="黑体" w:cs="黑体"/>
          <w:b w:val="0"/>
          <w:bCs/>
          <w:color w:val="000000" w:themeColor="text1"/>
          <w:spacing w:val="0"/>
          <w:kern w:val="0"/>
          <w:sz w:val="32"/>
          <w:szCs w:val="32"/>
          <w:highlight w:val="none"/>
          <w:lang w:bidi="zh-CN"/>
          <w14:textFill>
            <w14:solidFill>
              <w14:schemeClr w14:val="tx1"/>
            </w14:solidFill>
          </w14:textFill>
        </w:rPr>
        <w:t>二、主要内容</w:t>
      </w:r>
    </w:p>
    <w:p>
      <w:pPr>
        <w:pStyle w:val="4"/>
        <w:pageBreakBefore w:val="0"/>
        <w:widowControl w:val="0"/>
        <w:numPr>
          <w:ilvl w:val="0"/>
          <w:numId w:val="1"/>
        </w:numPr>
        <w:kinsoku/>
        <w:wordWrap/>
        <w:overflowPunct/>
        <w:topLinePunct w:val="0"/>
        <w:autoSpaceDE w:val="0"/>
        <w:autoSpaceDN w:val="0"/>
        <w:bidi w:val="0"/>
        <w:adjustRightInd w:val="0"/>
        <w:snapToGrid w:val="0"/>
        <w:spacing w:before="0" w:beforeLines="0" w:after="0" w:afterLines="0" w:line="574" w:lineRule="exact"/>
        <w:ind w:left="0" w:right="0" w:firstLine="420" w:firstLineChars="0"/>
        <w:textAlignment w:val="auto"/>
        <w:outlineLvl w:val="1"/>
        <w:rPr>
          <w:rFonts w:hint="eastAsia" w:ascii="Times New Roman" w:hAnsi="Times New Roman" w:eastAsia="楷体_GB2312" w:cs="楷体_GB2312"/>
          <w:color w:val="000000" w:themeColor="text1"/>
          <w:spacing w:val="0"/>
          <w:kern w:val="0"/>
          <w:sz w:val="32"/>
          <w:szCs w:val="32"/>
          <w:highlight w:val="none"/>
          <w:lang w:eastAsia="zh-CN" w:bidi="ar-SA"/>
          <w14:textFill>
            <w14:solidFill>
              <w14:schemeClr w14:val="tx1"/>
            </w14:solidFill>
          </w14:textFill>
        </w:rPr>
      </w:pPr>
      <w:r>
        <w:rPr>
          <w:rFonts w:hint="eastAsia" w:ascii="Times New Roman" w:hAnsi="Times New Roman" w:eastAsia="楷体_GB2312" w:cs="楷体_GB2312"/>
          <w:color w:val="000000" w:themeColor="text1"/>
          <w:spacing w:val="0"/>
          <w:kern w:val="0"/>
          <w:sz w:val="32"/>
          <w:szCs w:val="32"/>
          <w:highlight w:val="none"/>
          <w:lang w:eastAsia="zh-CN" w:bidi="ar-SA"/>
          <w14:textFill>
            <w14:solidFill>
              <w14:schemeClr w14:val="tx1"/>
            </w14:solidFill>
          </w14:textFill>
        </w:rPr>
        <w:t>“十四五”中山市金融业发展定位和发展目标</w:t>
      </w:r>
    </w:p>
    <w:p>
      <w:pPr>
        <w:pStyle w:val="2"/>
        <w:pageBreakBefore w:val="0"/>
        <w:widowControl w:val="0"/>
        <w:numPr>
          <w:ilvl w:val="0"/>
          <w:numId w:val="0"/>
        </w:numPr>
        <w:kinsoku/>
        <w:wordWrap/>
        <w:overflowPunct/>
        <w:topLinePunct w:val="0"/>
        <w:bidi w:val="0"/>
        <w:adjustRightInd w:val="0"/>
        <w:snapToGrid w:val="0"/>
        <w:spacing w:beforeLines="0" w:afterLines="0" w:line="574" w:lineRule="exact"/>
        <w:ind w:firstLine="640" w:firstLineChars="200"/>
        <w:textAlignment w:val="auto"/>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pP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《规划》</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为中山金融业发展定下</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两</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大目标。一是将中山发展成为粤港澳大湾区国际金融枢纽的重要节点，此定位是中山</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主动承担共建粤港澳大湾区国际金融枢纽的重大使命，贯彻落实《关于金融支持粤港澳大湾区建设的意见》和广东省地方金融监督管理局联合国家金融监管部门驻粤机构“一行两局”等七部门印发的《关于贯彻落实金融支持粤港澳大湾区建设意见的实施方案》，加快推进《中山市贯彻落实金融支持粤港澳大湾区建设意见的行动方案》落地实施的重要体现。二是将金融业打造成为中山经济高质量发展的核心“动力源”，充分发挥金融作为实体经济高质量发展的血脉和支撑作用，增强金融供给与服务，提升金融服务实体经济质效，</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推动金融、科技、产业三者深度融合发展，</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助力中山重塑高质量发展新优势。</w:t>
      </w:r>
    </w:p>
    <w:p>
      <w:pPr>
        <w:pStyle w:val="2"/>
        <w:pageBreakBefore w:val="0"/>
        <w:widowControl w:val="0"/>
        <w:numPr>
          <w:ilvl w:val="0"/>
          <w:numId w:val="0"/>
        </w:numPr>
        <w:kinsoku/>
        <w:wordWrap/>
        <w:overflowPunct/>
        <w:topLinePunct w:val="0"/>
        <w:bidi w:val="0"/>
        <w:adjustRightInd w:val="0"/>
        <w:snapToGrid w:val="0"/>
        <w:spacing w:beforeLines="0" w:afterLines="0" w:line="574" w:lineRule="exact"/>
        <w:ind w:firstLine="640" w:firstLineChars="200"/>
        <w:textAlignment w:val="auto"/>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pP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为体现中央、省、市指标体系的一贯性，参照国家和</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广东省金融改革发展“十四五”规划</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指标体系，结合中山实际，《规划》提出了中山金融业发展</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2035年远景目标、</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“十四五”发展目标。</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展望2035年，中山将形成多层次、广覆盖、差异化的现代化金融体系，金融助推中山经济社会高质量发展的推动力和支柱地位得到显著提升。到2025年末，全市金融业增加值实现380亿元，占GDP比重8.8%以上；本外币存款余额达到10600亿元，本外币贷款余额达到9200亿元；“十四五”期间五年累计证券交易额超过9万亿元，上市公司数量翻一番，基金管理规模达到400亿元；实现保费收入313亿元，保险密度达到5950元/人，保险深度达到7.3%</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p>
    <w:p>
      <w:pPr>
        <w:pStyle w:val="4"/>
        <w:pageBreakBefore w:val="0"/>
        <w:widowControl w:val="0"/>
        <w:numPr>
          <w:ilvl w:val="0"/>
          <w:numId w:val="1"/>
        </w:numPr>
        <w:kinsoku/>
        <w:wordWrap/>
        <w:overflowPunct/>
        <w:topLinePunct w:val="0"/>
        <w:autoSpaceDE w:val="0"/>
        <w:autoSpaceDN w:val="0"/>
        <w:bidi w:val="0"/>
        <w:adjustRightInd w:val="0"/>
        <w:snapToGrid w:val="0"/>
        <w:spacing w:before="0" w:beforeLines="0" w:after="0" w:afterLines="0" w:line="574" w:lineRule="exact"/>
        <w:ind w:left="0" w:right="0" w:firstLine="420" w:firstLineChars="0"/>
        <w:textAlignment w:val="auto"/>
        <w:outlineLvl w:val="1"/>
        <w:rPr>
          <w:rFonts w:hint="eastAsia" w:ascii="Times New Roman" w:hAnsi="Times New Roman" w:eastAsia="楷体_GB2312" w:cs="楷体_GB2312"/>
          <w:color w:val="000000" w:themeColor="text1"/>
          <w:spacing w:val="0"/>
          <w:kern w:val="0"/>
          <w:sz w:val="32"/>
          <w:szCs w:val="32"/>
          <w:highlight w:val="none"/>
          <w:lang w:eastAsia="zh-CN" w:bidi="ar-SA"/>
          <w14:textFill>
            <w14:solidFill>
              <w14:schemeClr w14:val="tx1"/>
            </w14:solidFill>
          </w14:textFill>
        </w:rPr>
      </w:pPr>
      <w:r>
        <w:rPr>
          <w:rFonts w:hint="eastAsia" w:ascii="Times New Roman" w:hAnsi="Times New Roman" w:eastAsia="楷体_GB2312" w:cs="楷体_GB2312"/>
          <w:color w:val="000000" w:themeColor="text1"/>
          <w:spacing w:val="0"/>
          <w:kern w:val="0"/>
          <w:sz w:val="32"/>
          <w:szCs w:val="32"/>
          <w:highlight w:val="none"/>
          <w:lang w:eastAsia="zh-CN" w:bidi="ar-SA"/>
          <w14:textFill>
            <w14:solidFill>
              <w14:schemeClr w14:val="tx1"/>
            </w14:solidFill>
          </w14:textFill>
        </w:rPr>
        <w:t>“十四五”时期的金融空间布局</w:t>
      </w:r>
    </w:p>
    <w:p>
      <w:pPr>
        <w:pStyle w:val="2"/>
        <w:pageBreakBefore w:val="0"/>
        <w:widowControl w:val="0"/>
        <w:kinsoku/>
        <w:wordWrap/>
        <w:overflowPunct/>
        <w:topLinePunct w:val="0"/>
        <w:bidi w:val="0"/>
        <w:adjustRightInd w:val="0"/>
        <w:snapToGrid w:val="0"/>
        <w:spacing w:beforeLines="0" w:afterLines="0" w:line="574" w:lineRule="exact"/>
        <w:ind w:firstLine="640" w:firstLineChars="200"/>
        <w:textAlignment w:val="auto"/>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pP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《规划》</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的第四章节针对中山市火炬开发区、翠亨新区、东区</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和</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石岐</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街道</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、小榄镇</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和</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古镇</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镇等</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4大区域作出了详细的金融空间布局规划，为全市打造粤港澳大湾区国际金融枢纽重要节点的目标谋篇布局。</w:t>
      </w:r>
    </w:p>
    <w:p>
      <w:pPr>
        <w:pStyle w:val="2"/>
        <w:pageBreakBefore w:val="0"/>
        <w:widowControl w:val="0"/>
        <w:kinsoku/>
        <w:wordWrap/>
        <w:overflowPunct/>
        <w:topLinePunct w:val="0"/>
        <w:bidi w:val="0"/>
        <w:adjustRightInd w:val="0"/>
        <w:snapToGrid w:val="0"/>
        <w:spacing w:beforeLines="0" w:afterLines="0" w:line="574" w:lineRule="exact"/>
        <w:ind w:firstLine="640" w:firstLineChars="200"/>
        <w:textAlignment w:val="auto"/>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pP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第一，着力将火炬开发区打造成为珠江西岸产业金融综合改革示范区。未来五年，推动火炬开发区大力引入产业基金，探索建设基金“一站式”服务平台。完善产业金融政策体系，在引入金融机构的同时探索设立特色专营金融机构，推动社会资本参与设立产业投资基金。强化国有企业资本运营能力，推动从“管资产”到“管资本”的转变，整合旗下资产上市，打造“投融管退”闭环发展的产业整合平台。</w:t>
      </w:r>
    </w:p>
    <w:p>
      <w:pPr>
        <w:pStyle w:val="2"/>
        <w:pageBreakBefore w:val="0"/>
        <w:widowControl w:val="0"/>
        <w:kinsoku/>
        <w:wordWrap/>
        <w:overflowPunct/>
        <w:topLinePunct w:val="0"/>
        <w:bidi w:val="0"/>
        <w:adjustRightInd w:val="0"/>
        <w:snapToGrid w:val="0"/>
        <w:spacing w:beforeLines="0" w:afterLines="0" w:line="574" w:lineRule="exact"/>
        <w:ind w:firstLine="640" w:firstLineChars="200"/>
        <w:textAlignment w:val="auto"/>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pP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第二，全力将翠亨新区打造成为西湾科创投融中心。未来五年，加快翠亨新区的金融载体建设，着力推动临海科技金融新城建设，承接深圳、香港等地区金融服务业转移与粤港澳大湾区高科技产业对接。完善翠亨新区的金融扶持政策，鼓励金融机构及创新型金融机构落户新区。大力引进新金融业态，推动临海科技金融新城发展高端金融服务平台和机构，围绕科创项目建立科创孵化体系，</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大力发展天使基金、风险基金和私募基金，实现科创项目和企业从种子阶段、早期阶段到发展阶段的全面覆盖</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。支持新区内科创企业用好外债便利化试点政策，拓宽企业融资渠道。</w:t>
      </w:r>
    </w:p>
    <w:p>
      <w:pPr>
        <w:pStyle w:val="2"/>
        <w:pageBreakBefore w:val="0"/>
        <w:widowControl w:val="0"/>
        <w:kinsoku/>
        <w:wordWrap/>
        <w:overflowPunct/>
        <w:topLinePunct w:val="0"/>
        <w:bidi w:val="0"/>
        <w:adjustRightInd w:val="0"/>
        <w:snapToGrid w:val="0"/>
        <w:spacing w:beforeLines="0" w:afterLines="0" w:line="574" w:lineRule="exact"/>
        <w:ind w:firstLine="640" w:firstLineChars="200"/>
        <w:textAlignment w:val="auto"/>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pP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第三，东区、石岐街道联合打造中山金融总部商务圈。加快高端金融资源集聚于商务圈，发挥重点金融机构的引领示范效应。在圈内打造具有高新特色的金融服务体系，</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探索传统金融与新兴金融协同发展的新路径</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探索金融、产业与科技创新融合发展的新模式</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。推动传统金融机构开展特色金融创新业务，助推中山科技型企业和战略性新兴产业发展。大力发展金融科技，建设中山金融科技发展先导区。</w:t>
      </w:r>
    </w:p>
    <w:p>
      <w:pPr>
        <w:pStyle w:val="2"/>
        <w:pageBreakBefore w:val="0"/>
        <w:widowControl w:val="0"/>
        <w:kinsoku/>
        <w:wordWrap/>
        <w:overflowPunct/>
        <w:topLinePunct w:val="0"/>
        <w:bidi w:val="0"/>
        <w:adjustRightInd w:val="0"/>
        <w:snapToGrid w:val="0"/>
        <w:spacing w:beforeLines="0" w:afterLines="0" w:line="574" w:lineRule="exact"/>
        <w:ind w:firstLine="640" w:firstLineChars="200"/>
        <w:textAlignment w:val="auto"/>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pP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第四，探索推动小榄镇、古镇镇创建成为供应链金融示范区。发挥供应链核心企业的关键支撑作用，鼓励金融机构开发特色供应链金融产品和服务，支持核心企业发起设立</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地方金融组织</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开展供应链金融业务。充分运用科技手段搭建供应链金融公共服务平台，推动供应链参与主体有序共享公共信息。支持供应链金融专业化经营，引导银行与保险机构积极参与供应链金融环节。提高供应链金融风控水平，强化银行风险防范体系建设，</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严禁非持牌金融机构以供应链金融名义设立资金池，强化供应链金融数据的治理和保密管理。</w:t>
      </w:r>
    </w:p>
    <w:p>
      <w:pPr>
        <w:pStyle w:val="2"/>
        <w:ind w:firstLine="640" w:firstLineChars="200"/>
        <w:rPr>
          <w:rFonts w:hint="eastAsia" w:ascii="Times New Roman" w:hAnsi="Times New Roman" w:eastAsia="楷体_GB2312" w:cs="楷体_GB2312"/>
          <w:color w:val="000000" w:themeColor="text1"/>
          <w:spacing w:val="0"/>
          <w:kern w:val="0"/>
          <w:sz w:val="32"/>
          <w:szCs w:val="32"/>
          <w:highlight w:val="none"/>
          <w:lang w:eastAsia="zh-CN" w:bidi="ar-SA"/>
          <w14:textFill>
            <w14:solidFill>
              <w14:schemeClr w14:val="tx1"/>
            </w14:solidFill>
          </w14:textFill>
        </w:rPr>
      </w:pPr>
      <w:r>
        <w:rPr>
          <w:rFonts w:hint="eastAsia" w:ascii="Times New Roman" w:hAnsi="Times New Roman" w:eastAsia="楷体_GB2312" w:cs="楷体_GB2312"/>
          <w:color w:val="000000" w:themeColor="text1"/>
          <w:spacing w:val="0"/>
          <w:kern w:val="0"/>
          <w:sz w:val="32"/>
          <w:szCs w:val="32"/>
          <w:highlight w:val="none"/>
          <w:lang w:val="en-US" w:eastAsia="zh-CN"/>
          <w14:textFill>
            <w14:solidFill>
              <w14:schemeClr w14:val="tx1"/>
            </w14:solidFill>
          </w14:textFill>
        </w:rPr>
        <w:t>（三）</w:t>
      </w:r>
      <w:r>
        <w:rPr>
          <w:rFonts w:hint="eastAsia" w:ascii="Times New Roman" w:hAnsi="Times New Roman" w:eastAsia="楷体_GB2312" w:cs="楷体_GB2312"/>
          <w:color w:val="000000" w:themeColor="text1"/>
          <w:spacing w:val="0"/>
          <w:kern w:val="0"/>
          <w:sz w:val="32"/>
          <w:szCs w:val="32"/>
          <w:highlight w:val="none"/>
          <w:lang w:eastAsia="zh-CN" w:bidi="ar-SA"/>
          <w14:textFill>
            <w14:solidFill>
              <w14:schemeClr w14:val="tx1"/>
            </w14:solidFill>
          </w14:textFill>
        </w:rPr>
        <w:t>“十四五”时期的重点任务</w:t>
      </w:r>
    </w:p>
    <w:p>
      <w:pPr>
        <w:pStyle w:val="2"/>
        <w:pageBreakBefore w:val="0"/>
        <w:widowControl w:val="0"/>
        <w:kinsoku/>
        <w:wordWrap/>
        <w:overflowPunct/>
        <w:topLinePunct w:val="0"/>
        <w:bidi w:val="0"/>
        <w:adjustRightInd w:val="0"/>
        <w:snapToGrid w:val="0"/>
        <w:spacing w:beforeLines="0" w:afterLines="0" w:line="574" w:lineRule="exact"/>
        <w:ind w:firstLine="640" w:firstLineChars="200"/>
        <w:textAlignment w:val="auto"/>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pP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《规划》</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提出了</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1+2+3</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6项重点任务</w:t>
      </w:r>
      <w:r>
        <w:rPr>
          <w:rFonts w:hint="default" w:ascii="Times New Roman" w:hAnsi="Times New Roman" w:eastAsia="仿宋_GB2312" w:cs="仿宋"/>
          <w:color w:val="000000" w:themeColor="text1"/>
          <w:spacing w:val="0"/>
          <w:kern w:val="0"/>
          <w:sz w:val="32"/>
          <w:szCs w:val="32"/>
          <w:highlight w:val="none"/>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共计</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19</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项重点工作安排。</w:t>
      </w:r>
    </w:p>
    <w:p>
      <w:pPr>
        <w:pStyle w:val="2"/>
        <w:pageBreakBefore w:val="0"/>
        <w:widowControl w:val="0"/>
        <w:kinsoku/>
        <w:wordWrap/>
        <w:overflowPunct/>
        <w:topLinePunct w:val="0"/>
        <w:bidi w:val="0"/>
        <w:adjustRightInd w:val="0"/>
        <w:snapToGrid w:val="0"/>
        <w:spacing w:beforeLines="0" w:afterLines="0" w:line="574" w:lineRule="exact"/>
        <w:ind w:firstLine="640" w:firstLineChars="200"/>
        <w:textAlignment w:val="auto"/>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pP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1</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即一个节点</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spacing w:val="0"/>
          <w:kern w:val="0"/>
          <w:sz w:val="32"/>
          <w:szCs w:val="32"/>
          <w:highlight w:val="none"/>
          <w:lang w:val="en-US" w:eastAsia="zh-CN"/>
        </w:rPr>
        <w:t>打造粤港澳大湾区国际金融枢纽的重要节点</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重点工作包括：</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第一，促进大湾区跨境贸易投融资、支付结算便利化，支持符合条件的银行机构提升跨境贸易投资便利化程度；推动中山地区银行机构争取开展本外币合一的跨境资金池试点业务；丰富粤港澳跨境支付服务应用场景。第二，加强大湾区金融业务联动，支持符合条件的港澳银行及保险机构在中山地区开设分支机构；支持中山地区符合条件的企业在港澳发行绿色债券及其他绿色金融产品；开展不动产跨境抵押登记，</w:t>
      </w:r>
      <w:r>
        <w:rPr>
          <w:rFonts w:hint="eastAsia" w:ascii="Times New Roman" w:hAnsi="Times New Roman" w:eastAsia="仿宋_GB2312" w:cs="仿宋"/>
          <w:color w:val="000000" w:themeColor="text1"/>
          <w:spacing w:val="0"/>
          <w:kern w:val="0"/>
          <w:sz w:val="32"/>
          <w:szCs w:val="32"/>
          <w:highlight w:val="none"/>
          <w14:textFill>
            <w14:solidFill>
              <w14:schemeClr w14:val="tx1"/>
            </w14:solidFill>
          </w14:textFill>
        </w:rPr>
        <w:t>便利港澳居民在大湾区内地购房</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；推动大湾区金融机构合作交流；</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深化与两个合作区的金融合作</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第三，做大做强金融组织体系，探索支持金融法人机构在中山落地，同时吸引全国性银行机构、证券期货公司及保险公司到中山设立分支机构，支持中山农商银行高质量发展，推动中山地区村镇银行健康发展，做大做强中山金控。</w:t>
      </w:r>
    </w:p>
    <w:p>
      <w:pPr>
        <w:pStyle w:val="2"/>
        <w:pageBreakBefore w:val="0"/>
        <w:widowControl w:val="0"/>
        <w:kinsoku/>
        <w:wordWrap/>
        <w:overflowPunct/>
        <w:topLinePunct w:val="0"/>
        <w:bidi w:val="0"/>
        <w:adjustRightInd w:val="0"/>
        <w:snapToGrid w:val="0"/>
        <w:spacing w:beforeLines="0" w:afterLines="0" w:line="574" w:lineRule="exact"/>
        <w:ind w:firstLine="640" w:firstLineChars="200"/>
        <w:textAlignment w:val="auto"/>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pP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2</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即两个提升：提升金融服务创新驱动战略能级、提升金融服务实体经济质效。</w:t>
      </w:r>
    </w:p>
    <w:p>
      <w:pPr>
        <w:pStyle w:val="2"/>
        <w:pageBreakBefore w:val="0"/>
        <w:widowControl w:val="0"/>
        <w:kinsoku/>
        <w:wordWrap/>
        <w:overflowPunct/>
        <w:topLinePunct w:val="0"/>
        <w:bidi w:val="0"/>
        <w:adjustRightInd w:val="0"/>
        <w:snapToGrid w:val="0"/>
        <w:spacing w:beforeLines="0" w:afterLines="0" w:line="574" w:lineRule="exact"/>
        <w:ind w:firstLine="640" w:firstLineChars="200"/>
        <w:textAlignment w:val="auto"/>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pP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在</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提升金融服务创新驱动战略能级，推动金融科技产业融合发展</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方面，</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重点工作包括：第一，完善政策性“三融”（金融、科技、产业融合发展）服务体系，健全科技信贷风险补偿机制，完善科技信贷入池企业库；打造一批科技创新投资基金，探索成立中山市科技成果转化母基金，支持</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母基金与社会资本发起设立细分领域子基金</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发挥好政策性金融的作用，加强对科技企业和科技创新的信贷定向支持。第二，鼓励金融机构创新产品和服务，鼓励商业银行和保险机构在中山设立推动科技金融专业化发展的专业机构；支持银行机构利用科技信贷风险补偿机制创新科技企业的信贷支持；鼓励保险机构大力发展科技保险产品，分散转移创业创新风险。第三，推动金融支持产业转型升级，鼓励金融机构结合中山产业特点，创新针对传统特色产业改造升级、绿色发展的专项信贷产品；支持龙头企业和优质上市公司开展兼并重组，提高产业集中度，形成产业集群的协同效应；引导金融资源加强对新型基础设施建设的支持力度。第四，大力发展资本市场，推动企业多渠道上市挂牌，支持已上市公司通过多层次资本市场做大做强；优化私募投资基金业发展环境，支持国内外知名基金管理机构在中山设立区域总部或分支机构；推动企业利用资产证券化和债券市场获得融资；探索创新企业利用资本市场发展全生命周期服务机制。</w:t>
      </w:r>
    </w:p>
    <w:p>
      <w:pPr>
        <w:pStyle w:val="2"/>
        <w:pageBreakBefore w:val="0"/>
        <w:widowControl w:val="0"/>
        <w:kinsoku/>
        <w:wordWrap/>
        <w:overflowPunct/>
        <w:topLinePunct w:val="0"/>
        <w:bidi w:val="0"/>
        <w:adjustRightInd w:val="0"/>
        <w:snapToGrid w:val="0"/>
        <w:spacing w:beforeLines="0" w:afterLines="0" w:line="574" w:lineRule="exact"/>
        <w:ind w:firstLine="640" w:firstLineChars="200"/>
        <w:textAlignment w:val="auto"/>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pP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在</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提升金融服务实体经济质效，增强金融供给与服务</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方面，</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重点工作包括：第一，引导银行业加大金融供给，加强重点项目与重大工程的信贷支持；引导银行机构重点支持产业现代化发展；健全银企对接常态机制。第二，推动保险机构提升服务水平，完善针对民生、农业、巨灾等领域的政策性保险体系建设；积极推动保险服务经济结构调整。第三，提升证券期货业发展水平，支持证券分支机构提升管理层级；鼓励证券业分支机构完善内控组织架构，提升证券业分支机构财富管理水平；提升中山地区期货分支机构服务企业专业化水平。第四，推动地方金融组织高质量发展，探索成立新兴地方金融组织和服务平台，补齐中小企业金融服务短板。</w:t>
      </w:r>
    </w:p>
    <w:p>
      <w:pPr>
        <w:pStyle w:val="2"/>
        <w:pageBreakBefore w:val="0"/>
        <w:widowControl w:val="0"/>
        <w:kinsoku/>
        <w:wordWrap/>
        <w:overflowPunct/>
        <w:topLinePunct w:val="0"/>
        <w:bidi w:val="0"/>
        <w:adjustRightInd w:val="0"/>
        <w:snapToGrid w:val="0"/>
        <w:spacing w:beforeLines="0" w:afterLines="0" w:line="574" w:lineRule="exact"/>
        <w:ind w:firstLine="640" w:firstLineChars="200"/>
        <w:textAlignment w:val="auto"/>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pP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3</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即三个深化：深化产融结合、深化金融生态环境改革以及深化地方金融监管能力建设。</w:t>
      </w:r>
    </w:p>
    <w:p>
      <w:pPr>
        <w:pStyle w:val="2"/>
        <w:pageBreakBefore w:val="0"/>
        <w:widowControl w:val="0"/>
        <w:kinsoku/>
        <w:wordWrap/>
        <w:overflowPunct/>
        <w:topLinePunct w:val="0"/>
        <w:bidi w:val="0"/>
        <w:adjustRightInd w:val="0"/>
        <w:snapToGrid w:val="0"/>
        <w:spacing w:beforeLines="0" w:afterLines="0" w:line="574" w:lineRule="exact"/>
        <w:ind w:firstLine="640" w:firstLineChars="200"/>
        <w:textAlignment w:val="auto"/>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pP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在深化产融结合，增强区域经济活力方面，</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重点工作包括：第一，大力发展普惠金融，打造“农业园区+金融”和“新型农业经营主体+金融”模式，推动金融支持乡村振兴发展；积极推广“省中小融”“粤信融”等企业融资服务平台，以科技手段赋能普惠金融发展；支持金融机构扎根基层，创新“政银担”合作机制，加快争取开展“两权”抵押贷款试点。第二，积极发展绿色金融，支持银行机构设立绿色金融专营机构，加强绿色金融服务能力建设；拓宽绿色企业融资渠道；支持符合条件的地方法人金融机构和企业在境内外市场发行绿色债券；支持银行和保险机构创新绿色金融产品和服务。第三，加快推进融资租赁业发展，推动优势企业在中山设立融资租赁企业和专业子公司，推动融资租赁公司开展特色租赁业务。</w:t>
      </w:r>
    </w:p>
    <w:p>
      <w:pPr>
        <w:pStyle w:val="2"/>
        <w:pageBreakBefore w:val="0"/>
        <w:widowControl w:val="0"/>
        <w:kinsoku/>
        <w:wordWrap/>
        <w:overflowPunct/>
        <w:topLinePunct w:val="0"/>
        <w:bidi w:val="0"/>
        <w:adjustRightInd w:val="0"/>
        <w:snapToGrid w:val="0"/>
        <w:spacing w:beforeLines="0" w:afterLines="0" w:line="574" w:lineRule="exact"/>
        <w:ind w:firstLine="640" w:firstLineChars="200"/>
        <w:textAlignment w:val="auto"/>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pP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在</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深化金融生态环境改革，增强中山金融实力</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方面，</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重点工作包括：第一，加强金融人才队伍建设，研究制定金融人才引进培育办法，加大金融人才引进培育力度，加强与金融中心城市人才交流，提升领导干部金融工作能力。第二，营造良好金融文化</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氛围</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，全面加强金融文化建设，提升居民金融素养，发挥高校和智库的作用加强金融领域研究，深入推进金融反腐工作。</w:t>
      </w:r>
    </w:p>
    <w:p>
      <w:pPr>
        <w:pStyle w:val="2"/>
        <w:pageBreakBefore w:val="0"/>
        <w:widowControl w:val="0"/>
        <w:kinsoku/>
        <w:wordWrap/>
        <w:overflowPunct/>
        <w:topLinePunct w:val="0"/>
        <w:bidi w:val="0"/>
        <w:adjustRightInd w:val="0"/>
        <w:snapToGrid w:val="0"/>
        <w:spacing w:beforeLines="0" w:afterLines="0" w:line="574" w:lineRule="exact"/>
        <w:ind w:firstLine="640" w:firstLineChars="200"/>
        <w:textAlignment w:val="auto"/>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pP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在深化地方金融监管能力建设，强化金融风险防控方面，</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重点工作包括：第一，构建地方金融监管体系，加强地方金融法治建设，建立市镇（街）两级部门联动工作机制，提升地方金融监管能力，用好中山市地方金融风险监测防控平台，强化监管科技应用与风险防范。第二，防范化解金融风险，加强重点领域的风险防控，重点关注新兴风险点，打击非法金融活动。第三，加强金融风险警示教育，开展金融知识普及宣传，提升群众风险防范意识，鼓励地方金融组织建立健全消费者权益保护工作机制和投诉处理工作机制，切实保护金融消费者权益。</w:t>
      </w:r>
    </w:p>
    <w:p>
      <w:pPr>
        <w:pStyle w:val="4"/>
        <w:pageBreakBefore w:val="0"/>
        <w:widowControl w:val="0"/>
        <w:numPr>
          <w:ilvl w:val="-1"/>
          <w:numId w:val="0"/>
        </w:numPr>
        <w:kinsoku/>
        <w:wordWrap/>
        <w:overflowPunct/>
        <w:topLinePunct w:val="0"/>
        <w:autoSpaceDE w:val="0"/>
        <w:autoSpaceDN w:val="0"/>
        <w:bidi w:val="0"/>
        <w:adjustRightInd w:val="0"/>
        <w:snapToGrid w:val="0"/>
        <w:spacing w:before="0" w:beforeLines="0" w:after="0" w:afterLines="0" w:line="574" w:lineRule="exact"/>
        <w:ind w:left="0" w:right="0" w:firstLine="640" w:firstLineChars="200"/>
        <w:textAlignment w:val="auto"/>
        <w:outlineLvl w:val="1"/>
        <w:rPr>
          <w:rFonts w:hint="eastAsia" w:ascii="Times New Roman" w:hAnsi="Times New Roman" w:eastAsia="楷体_GB2312" w:cs="楷体_GB2312"/>
          <w:color w:val="000000" w:themeColor="text1"/>
          <w:spacing w:val="0"/>
          <w:kern w:val="0"/>
          <w:sz w:val="32"/>
          <w:szCs w:val="32"/>
          <w:highlight w:val="none"/>
          <w:lang w:eastAsia="zh-CN" w:bidi="ar-SA"/>
          <w14:textFill>
            <w14:solidFill>
              <w14:schemeClr w14:val="tx1"/>
            </w14:solidFill>
          </w14:textFill>
        </w:rPr>
      </w:pPr>
      <w:r>
        <w:rPr>
          <w:rFonts w:hint="eastAsia" w:ascii="Times New Roman" w:hAnsi="Times New Roman" w:eastAsia="楷体_GB2312" w:cs="楷体_GB2312"/>
          <w:color w:val="000000" w:themeColor="text1"/>
          <w:spacing w:val="0"/>
          <w:kern w:val="0"/>
          <w:sz w:val="32"/>
          <w:szCs w:val="32"/>
          <w:highlight w:val="none"/>
          <w:lang w:eastAsia="zh-CN" w:bidi="ar-SA"/>
          <w14:textFill>
            <w14:solidFill>
              <w14:schemeClr w14:val="tx1"/>
            </w14:solidFill>
          </w14:textFill>
        </w:rPr>
        <w:t>（四）“十四五”时期推动金融业发展的保障措施</w:t>
      </w:r>
    </w:p>
    <w:p>
      <w:pPr>
        <w:pStyle w:val="2"/>
        <w:pageBreakBefore w:val="0"/>
        <w:widowControl w:val="0"/>
        <w:kinsoku/>
        <w:wordWrap/>
        <w:overflowPunct/>
        <w:topLinePunct w:val="0"/>
        <w:bidi w:val="0"/>
        <w:adjustRightInd w:val="0"/>
        <w:snapToGrid w:val="0"/>
        <w:spacing w:beforeLines="0" w:afterLines="0" w:line="574" w:lineRule="exact"/>
        <w:ind w:firstLine="640" w:firstLineChars="200"/>
        <w:textAlignment w:val="auto"/>
        <w:rPr>
          <w:rFonts w:hint="eastAsia" w:ascii="Times New Roman" w:hAnsi="Times New Roman" w:eastAsia="仿宋_GB2312" w:cs="Times New Roman"/>
          <w:color w:val="000000" w:themeColor="text1"/>
          <w:spacing w:val="0"/>
          <w:kern w:val="0"/>
          <w:sz w:val="32"/>
          <w:szCs w:val="32"/>
          <w:highlight w:val="none"/>
          <w:lang w:eastAsia="zh-CN"/>
          <w14:textFill>
            <w14:solidFill>
              <w14:schemeClr w14:val="tx1"/>
            </w14:solidFill>
          </w14:textFill>
        </w:rPr>
      </w:pP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第一，全面加强党的领导，推进“党建+金融”，确保党中央决策部署和上级工作要求在中山金融系统深入贯彻落实。第二，强化组织领导，完善市镇（街）两级部门分工协作机制，强化金融监管信息交流共享，协同推进《规划》稳步实施。第三，发挥政策指引，</w:t>
      </w:r>
      <w:r>
        <w:rPr>
          <w:rFonts w:hint="eastAsia" w:ascii="Times New Roman" w:hAnsi="Times New Roman" w:eastAsia="仿宋_GB2312" w:cs="仿宋"/>
          <w:color w:val="000000" w:themeColor="text1"/>
          <w:spacing w:val="0"/>
          <w:kern w:val="0"/>
          <w:sz w:val="32"/>
          <w:szCs w:val="32"/>
          <w:highlight w:val="none"/>
          <w:lang w:val="en-US" w:eastAsia="zh-CN"/>
          <w14:textFill>
            <w14:solidFill>
              <w14:schemeClr w14:val="tx1"/>
            </w14:solidFill>
          </w14:textFill>
        </w:rPr>
        <w:t>研究制定一系列扶持政策和配套措施，研究出台金融业专项扶持政策。</w:t>
      </w:r>
      <w:r>
        <w:rPr>
          <w:rFonts w:hint="eastAsia" w:ascii="Times New Roman" w:hAnsi="Times New Roman" w:eastAsia="仿宋_GB2312" w:cs="仿宋"/>
          <w:color w:val="000000" w:themeColor="text1"/>
          <w:spacing w:val="0"/>
          <w:kern w:val="0"/>
          <w:sz w:val="32"/>
          <w:szCs w:val="32"/>
          <w:highlight w:val="none"/>
          <w:lang w:eastAsia="zh-CN"/>
          <w14:textFill>
            <w14:solidFill>
              <w14:schemeClr w14:val="tx1"/>
            </w14:solidFill>
          </w14:textFill>
        </w:rPr>
        <w:t>第四，制定专项金融招商引资政策，加强与招商中介机构的合作，建立招商合伙人新模式，吸引更多金融资源落地中山。第五，多渠道宣传推广《规划》，有效提高公众金融发展认知。第六，结合宏观形势变化及中山经济发展和金融业发展需要，完善动态调整机制，切实推进《规划》有序、有效实施。</w:t>
      </w:r>
    </w:p>
    <w:sectPr>
      <w:footerReference r:id="rId3" w:type="default"/>
      <w:pgSz w:w="11906" w:h="16838"/>
      <w:pgMar w:top="2098" w:right="1587" w:bottom="209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DBC176FF-A7CC-44E6-B124-597CC7942B3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2312">
    <w:altName w:val="楷体_GB2312"/>
    <w:panose1 w:val="02000000000000000000"/>
    <w:charset w:val="86"/>
    <w:family w:val="auto"/>
    <w:pitch w:val="default"/>
    <w:sig w:usb0="00000000" w:usb1="00000000" w:usb2="00000012" w:usb3="00000000" w:csb0="00040001" w:csb1="00000000"/>
  </w:font>
  <w:font w:name="方正小标宋简体">
    <w:panose1 w:val="02010601030101010101"/>
    <w:charset w:val="86"/>
    <w:family w:val="auto"/>
    <w:pitch w:val="default"/>
    <w:sig w:usb0="00000001" w:usb1="080E0000" w:usb2="00000000" w:usb3="00000000" w:csb0="00040000" w:csb1="00000000"/>
    <w:embedRegular r:id="rId2" w:fontKey="{EA9E643F-1E3E-4D57-82C5-B027AB610F77}"/>
  </w:font>
  <w:font w:name="仿宋_GB2312">
    <w:panose1 w:val="02010609030101010101"/>
    <w:charset w:val="86"/>
    <w:family w:val="auto"/>
    <w:pitch w:val="default"/>
    <w:sig w:usb0="00000001" w:usb1="080E0000" w:usb2="00000000" w:usb3="00000000" w:csb0="00040000" w:csb1="00000000"/>
    <w:embedRegular r:id="rId3" w:fontKey="{E2719F4A-389B-4241-A0B9-7C85D9F688B5}"/>
  </w:font>
  <w:font w:name="仿宋">
    <w:panose1 w:val="02010609060101010101"/>
    <w:charset w:val="86"/>
    <w:family w:val="auto"/>
    <w:pitch w:val="default"/>
    <w:sig w:usb0="800002BF" w:usb1="38CF7CFA" w:usb2="00000016" w:usb3="00000000" w:csb0="00040001" w:csb1="00000000"/>
    <w:embedRegular r:id="rId4" w:fontKey="{CDA67984-F2F6-4ABF-80DE-FF61D97A032E}"/>
  </w:font>
  <w:font w:name="楷体_GB2312">
    <w:panose1 w:val="02010609030101010101"/>
    <w:charset w:val="86"/>
    <w:family w:val="auto"/>
    <w:pitch w:val="default"/>
    <w:sig w:usb0="00000001" w:usb1="080E0000" w:usb2="00000000" w:usb3="00000000" w:csb0="00040000" w:csb1="00000000"/>
    <w:embedRegular r:id="rId5" w:fontKey="{19230F3A-A59A-49C0-B617-C1FC0CDA003A}"/>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5978"/>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24892C"/>
    <w:multiLevelType w:val="singleLevel"/>
    <w:tmpl w:val="6124892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D5FF51A"/>
    <w:rsid w:val="00121F4A"/>
    <w:rsid w:val="002B0011"/>
    <w:rsid w:val="00B36881"/>
    <w:rsid w:val="00F70FC4"/>
    <w:rsid w:val="0167337C"/>
    <w:rsid w:val="01C716DB"/>
    <w:rsid w:val="041D0228"/>
    <w:rsid w:val="045D1CDA"/>
    <w:rsid w:val="04D77923"/>
    <w:rsid w:val="05874444"/>
    <w:rsid w:val="0667421C"/>
    <w:rsid w:val="06E42599"/>
    <w:rsid w:val="0734614F"/>
    <w:rsid w:val="0784440D"/>
    <w:rsid w:val="07CA6555"/>
    <w:rsid w:val="08717421"/>
    <w:rsid w:val="09421004"/>
    <w:rsid w:val="09490B08"/>
    <w:rsid w:val="0A733919"/>
    <w:rsid w:val="0AA55980"/>
    <w:rsid w:val="0AA65BFA"/>
    <w:rsid w:val="0ABF691A"/>
    <w:rsid w:val="0B3170CB"/>
    <w:rsid w:val="0B801CFE"/>
    <w:rsid w:val="0BFB12EF"/>
    <w:rsid w:val="0C1912F9"/>
    <w:rsid w:val="0CDD1394"/>
    <w:rsid w:val="0D711536"/>
    <w:rsid w:val="0DAF5345"/>
    <w:rsid w:val="0DD23017"/>
    <w:rsid w:val="0E143D96"/>
    <w:rsid w:val="0E793893"/>
    <w:rsid w:val="0EE93514"/>
    <w:rsid w:val="0F7D4A38"/>
    <w:rsid w:val="0FCE3984"/>
    <w:rsid w:val="0FE5A4A0"/>
    <w:rsid w:val="0FE91E4F"/>
    <w:rsid w:val="11CE7507"/>
    <w:rsid w:val="12CA650C"/>
    <w:rsid w:val="139242F8"/>
    <w:rsid w:val="13FD59A6"/>
    <w:rsid w:val="14247930"/>
    <w:rsid w:val="14933945"/>
    <w:rsid w:val="14FB714F"/>
    <w:rsid w:val="154B134A"/>
    <w:rsid w:val="162D6C51"/>
    <w:rsid w:val="16330DBD"/>
    <w:rsid w:val="16795176"/>
    <w:rsid w:val="16A7501F"/>
    <w:rsid w:val="16FF5724"/>
    <w:rsid w:val="17C8737D"/>
    <w:rsid w:val="181767D8"/>
    <w:rsid w:val="189D5D1C"/>
    <w:rsid w:val="19BC7E2C"/>
    <w:rsid w:val="19DC5578"/>
    <w:rsid w:val="1C2C2ADD"/>
    <w:rsid w:val="1DD85B85"/>
    <w:rsid w:val="1DDFD0EF"/>
    <w:rsid w:val="1E98397F"/>
    <w:rsid w:val="1ED65FC8"/>
    <w:rsid w:val="1F0039A2"/>
    <w:rsid w:val="1F063E36"/>
    <w:rsid w:val="1F21634C"/>
    <w:rsid w:val="1F297CAB"/>
    <w:rsid w:val="1F715012"/>
    <w:rsid w:val="1FFFA4F6"/>
    <w:rsid w:val="21A5245C"/>
    <w:rsid w:val="21B83FAD"/>
    <w:rsid w:val="2234017E"/>
    <w:rsid w:val="244E49D2"/>
    <w:rsid w:val="254E60F8"/>
    <w:rsid w:val="257D36C2"/>
    <w:rsid w:val="25863733"/>
    <w:rsid w:val="25C92F70"/>
    <w:rsid w:val="26062FFB"/>
    <w:rsid w:val="27295B03"/>
    <w:rsid w:val="27FB8622"/>
    <w:rsid w:val="28295CEC"/>
    <w:rsid w:val="2860746C"/>
    <w:rsid w:val="2A6C2A0E"/>
    <w:rsid w:val="2A823311"/>
    <w:rsid w:val="2AAE0931"/>
    <w:rsid w:val="2BAA7C57"/>
    <w:rsid w:val="2C2F140B"/>
    <w:rsid w:val="2C78055C"/>
    <w:rsid w:val="2D6763E6"/>
    <w:rsid w:val="2D81220D"/>
    <w:rsid w:val="2D8FA9AB"/>
    <w:rsid w:val="2D983298"/>
    <w:rsid w:val="2E3D444C"/>
    <w:rsid w:val="2EBC0BC1"/>
    <w:rsid w:val="2F1620EE"/>
    <w:rsid w:val="2F6F5E03"/>
    <w:rsid w:val="2FFF5E37"/>
    <w:rsid w:val="310117FC"/>
    <w:rsid w:val="317803DC"/>
    <w:rsid w:val="31A9161D"/>
    <w:rsid w:val="323E23C7"/>
    <w:rsid w:val="3270228C"/>
    <w:rsid w:val="338D4AFD"/>
    <w:rsid w:val="338F21EC"/>
    <w:rsid w:val="33C9773E"/>
    <w:rsid w:val="34945ED5"/>
    <w:rsid w:val="34FC4611"/>
    <w:rsid w:val="351A3C70"/>
    <w:rsid w:val="353D1DB4"/>
    <w:rsid w:val="35E80A25"/>
    <w:rsid w:val="35F75F1F"/>
    <w:rsid w:val="36B12C02"/>
    <w:rsid w:val="36BBD301"/>
    <w:rsid w:val="36D70998"/>
    <w:rsid w:val="37B40A6A"/>
    <w:rsid w:val="37BB02CA"/>
    <w:rsid w:val="37F14B1C"/>
    <w:rsid w:val="38AA5AC3"/>
    <w:rsid w:val="38C46AE3"/>
    <w:rsid w:val="38D95388"/>
    <w:rsid w:val="39136563"/>
    <w:rsid w:val="39867D41"/>
    <w:rsid w:val="39F10B67"/>
    <w:rsid w:val="3ACC0103"/>
    <w:rsid w:val="3B1D3FF0"/>
    <w:rsid w:val="3B471B04"/>
    <w:rsid w:val="3B9D9869"/>
    <w:rsid w:val="3BDE2982"/>
    <w:rsid w:val="3BFE0918"/>
    <w:rsid w:val="3CEFEE23"/>
    <w:rsid w:val="3E3870B1"/>
    <w:rsid w:val="3E882E5D"/>
    <w:rsid w:val="3F776C68"/>
    <w:rsid w:val="3FF6229C"/>
    <w:rsid w:val="3FFF027C"/>
    <w:rsid w:val="40886B98"/>
    <w:rsid w:val="415D754C"/>
    <w:rsid w:val="415F4AF5"/>
    <w:rsid w:val="426803BA"/>
    <w:rsid w:val="444A2BB9"/>
    <w:rsid w:val="457832FC"/>
    <w:rsid w:val="462072E8"/>
    <w:rsid w:val="462A0F9D"/>
    <w:rsid w:val="465F0F0D"/>
    <w:rsid w:val="46774D9E"/>
    <w:rsid w:val="46865404"/>
    <w:rsid w:val="47AC1A1F"/>
    <w:rsid w:val="47D4FDF9"/>
    <w:rsid w:val="48757148"/>
    <w:rsid w:val="48DB476B"/>
    <w:rsid w:val="4A5E611A"/>
    <w:rsid w:val="4ABB4F69"/>
    <w:rsid w:val="4AC36A02"/>
    <w:rsid w:val="4B0D0C95"/>
    <w:rsid w:val="4B8F35CF"/>
    <w:rsid w:val="4C574C5D"/>
    <w:rsid w:val="4DAB2D3C"/>
    <w:rsid w:val="4DD54B0B"/>
    <w:rsid w:val="4DED3634"/>
    <w:rsid w:val="4E402BF3"/>
    <w:rsid w:val="4F1B797A"/>
    <w:rsid w:val="4FA9CF6E"/>
    <w:rsid w:val="4FAC3001"/>
    <w:rsid w:val="501F7165"/>
    <w:rsid w:val="5089089B"/>
    <w:rsid w:val="509B18C9"/>
    <w:rsid w:val="511107A8"/>
    <w:rsid w:val="513560E4"/>
    <w:rsid w:val="524B40E1"/>
    <w:rsid w:val="53405868"/>
    <w:rsid w:val="53E240C5"/>
    <w:rsid w:val="53EE5F5C"/>
    <w:rsid w:val="549A6817"/>
    <w:rsid w:val="54A64E96"/>
    <w:rsid w:val="54E50193"/>
    <w:rsid w:val="553108F1"/>
    <w:rsid w:val="55BB176B"/>
    <w:rsid w:val="55D53C08"/>
    <w:rsid w:val="56351032"/>
    <w:rsid w:val="5669591B"/>
    <w:rsid w:val="567C3C1E"/>
    <w:rsid w:val="567D511B"/>
    <w:rsid w:val="574E110B"/>
    <w:rsid w:val="579C4957"/>
    <w:rsid w:val="579E2490"/>
    <w:rsid w:val="57BD3A78"/>
    <w:rsid w:val="57E7BEFB"/>
    <w:rsid w:val="57EAB9E7"/>
    <w:rsid w:val="58761F35"/>
    <w:rsid w:val="58EF21C1"/>
    <w:rsid w:val="593E4FA4"/>
    <w:rsid w:val="597E7CB7"/>
    <w:rsid w:val="59BC2EDD"/>
    <w:rsid w:val="5A6729AC"/>
    <w:rsid w:val="5AA61A81"/>
    <w:rsid w:val="5AB43161"/>
    <w:rsid w:val="5B5A0182"/>
    <w:rsid w:val="5C2D5B79"/>
    <w:rsid w:val="5C6D24D9"/>
    <w:rsid w:val="5C837E1F"/>
    <w:rsid w:val="5D8465A0"/>
    <w:rsid w:val="5DA0324D"/>
    <w:rsid w:val="5DDFD8A5"/>
    <w:rsid w:val="5DFBF475"/>
    <w:rsid w:val="5E136352"/>
    <w:rsid w:val="5E4F3C3F"/>
    <w:rsid w:val="5E7B54D0"/>
    <w:rsid w:val="5EF10C7D"/>
    <w:rsid w:val="5F5F7140"/>
    <w:rsid w:val="5FBF1DFF"/>
    <w:rsid w:val="5FBF45E2"/>
    <w:rsid w:val="5FC618EB"/>
    <w:rsid w:val="5FE73390"/>
    <w:rsid w:val="5FFFD960"/>
    <w:rsid w:val="60A857F4"/>
    <w:rsid w:val="60B270F9"/>
    <w:rsid w:val="60E43C39"/>
    <w:rsid w:val="62AC5133"/>
    <w:rsid w:val="633D3B61"/>
    <w:rsid w:val="637238F7"/>
    <w:rsid w:val="644A0EA6"/>
    <w:rsid w:val="668554E3"/>
    <w:rsid w:val="67050A34"/>
    <w:rsid w:val="673745B5"/>
    <w:rsid w:val="679F1E8A"/>
    <w:rsid w:val="67FB0FB2"/>
    <w:rsid w:val="684F0E3A"/>
    <w:rsid w:val="68700EBC"/>
    <w:rsid w:val="69695681"/>
    <w:rsid w:val="6AFD4256"/>
    <w:rsid w:val="6BB871EB"/>
    <w:rsid w:val="6BCE0911"/>
    <w:rsid w:val="6C210D23"/>
    <w:rsid w:val="6C635860"/>
    <w:rsid w:val="6C9C68F3"/>
    <w:rsid w:val="6CADF511"/>
    <w:rsid w:val="6CBC29DA"/>
    <w:rsid w:val="6D7A68BD"/>
    <w:rsid w:val="6DE3CB55"/>
    <w:rsid w:val="6EC610E6"/>
    <w:rsid w:val="6F3DF4B7"/>
    <w:rsid w:val="6FA54775"/>
    <w:rsid w:val="6FB78CC7"/>
    <w:rsid w:val="6FBFE36C"/>
    <w:rsid w:val="6FF72AD1"/>
    <w:rsid w:val="70E07046"/>
    <w:rsid w:val="71F454C0"/>
    <w:rsid w:val="71F85FA4"/>
    <w:rsid w:val="7286056D"/>
    <w:rsid w:val="72D7A0C5"/>
    <w:rsid w:val="734D7697"/>
    <w:rsid w:val="73C83C7F"/>
    <w:rsid w:val="73EF47A2"/>
    <w:rsid w:val="7488167F"/>
    <w:rsid w:val="74C00F08"/>
    <w:rsid w:val="74F766DC"/>
    <w:rsid w:val="756EB0F0"/>
    <w:rsid w:val="7573A5FC"/>
    <w:rsid w:val="761A6CF7"/>
    <w:rsid w:val="7639695F"/>
    <w:rsid w:val="766EEF1C"/>
    <w:rsid w:val="767D3109"/>
    <w:rsid w:val="76987350"/>
    <w:rsid w:val="76FFCFCC"/>
    <w:rsid w:val="771C7EA9"/>
    <w:rsid w:val="774A0EFE"/>
    <w:rsid w:val="775FCB5D"/>
    <w:rsid w:val="77CD48A8"/>
    <w:rsid w:val="77EDF655"/>
    <w:rsid w:val="77FA4234"/>
    <w:rsid w:val="77FD89ED"/>
    <w:rsid w:val="77FF7C96"/>
    <w:rsid w:val="786C4C52"/>
    <w:rsid w:val="789A558F"/>
    <w:rsid w:val="789F4AFC"/>
    <w:rsid w:val="7A2B94E8"/>
    <w:rsid w:val="7ADE3DCB"/>
    <w:rsid w:val="7AE70E9D"/>
    <w:rsid w:val="7B1A3CA8"/>
    <w:rsid w:val="7B1C7BE4"/>
    <w:rsid w:val="7B4E14D4"/>
    <w:rsid w:val="7B7FA257"/>
    <w:rsid w:val="7B925572"/>
    <w:rsid w:val="7BDD6544"/>
    <w:rsid w:val="7BFBBD2B"/>
    <w:rsid w:val="7BFDA534"/>
    <w:rsid w:val="7C7E05BE"/>
    <w:rsid w:val="7C9F6263"/>
    <w:rsid w:val="7CB7A481"/>
    <w:rsid w:val="7CDA4E0D"/>
    <w:rsid w:val="7CEF8384"/>
    <w:rsid w:val="7CFF76DF"/>
    <w:rsid w:val="7D753AD2"/>
    <w:rsid w:val="7D9EA3B9"/>
    <w:rsid w:val="7DAD3CC7"/>
    <w:rsid w:val="7DB47FA2"/>
    <w:rsid w:val="7DBF3733"/>
    <w:rsid w:val="7DF7F3AB"/>
    <w:rsid w:val="7DF9E959"/>
    <w:rsid w:val="7E1F763D"/>
    <w:rsid w:val="7E662098"/>
    <w:rsid w:val="7E7779D6"/>
    <w:rsid w:val="7EBEFD9D"/>
    <w:rsid w:val="7EEE4CB3"/>
    <w:rsid w:val="7EF61069"/>
    <w:rsid w:val="7F39CAC5"/>
    <w:rsid w:val="7F6F1A09"/>
    <w:rsid w:val="7F7A151D"/>
    <w:rsid w:val="7F9544A3"/>
    <w:rsid w:val="7FBFAE48"/>
    <w:rsid w:val="7FC35FEA"/>
    <w:rsid w:val="7FE3EEC2"/>
    <w:rsid w:val="7FE71B50"/>
    <w:rsid w:val="7FEF55A5"/>
    <w:rsid w:val="7FEF708E"/>
    <w:rsid w:val="7FFA9EC4"/>
    <w:rsid w:val="7FFD17EB"/>
    <w:rsid w:val="7FFF7889"/>
    <w:rsid w:val="97FF1D8B"/>
    <w:rsid w:val="9D5FF51A"/>
    <w:rsid w:val="9EFEDF52"/>
    <w:rsid w:val="9FF7FD96"/>
    <w:rsid w:val="A2FDE7C2"/>
    <w:rsid w:val="A76DF80F"/>
    <w:rsid w:val="A7BEFCCB"/>
    <w:rsid w:val="A7FF382B"/>
    <w:rsid w:val="ADFFD1F3"/>
    <w:rsid w:val="AFFF78AD"/>
    <w:rsid w:val="B1FF99AA"/>
    <w:rsid w:val="B3B1CA0B"/>
    <w:rsid w:val="B563C654"/>
    <w:rsid w:val="B69B0E82"/>
    <w:rsid w:val="BAEE7E09"/>
    <w:rsid w:val="BBEB80E2"/>
    <w:rsid w:val="BD7B662F"/>
    <w:rsid w:val="BDDB2AFE"/>
    <w:rsid w:val="BF7B00D9"/>
    <w:rsid w:val="BFFF744E"/>
    <w:rsid w:val="CBBFBC62"/>
    <w:rsid w:val="CDBF464E"/>
    <w:rsid w:val="CFED510B"/>
    <w:rsid w:val="CFF76463"/>
    <w:rsid w:val="D7DBBCEE"/>
    <w:rsid w:val="D8B745C2"/>
    <w:rsid w:val="DAFD3830"/>
    <w:rsid w:val="DBB771FD"/>
    <w:rsid w:val="DDB72964"/>
    <w:rsid w:val="DF9F6630"/>
    <w:rsid w:val="DFAED2D5"/>
    <w:rsid w:val="DFBE9EFF"/>
    <w:rsid w:val="DFDB172E"/>
    <w:rsid w:val="DFEBD7FA"/>
    <w:rsid w:val="E7FDA4B3"/>
    <w:rsid w:val="E7FF25A1"/>
    <w:rsid w:val="E7FF27C4"/>
    <w:rsid w:val="EBC7CE48"/>
    <w:rsid w:val="EBDE441C"/>
    <w:rsid w:val="EBDF1BFA"/>
    <w:rsid w:val="EF7B4D72"/>
    <w:rsid w:val="EFBA7988"/>
    <w:rsid w:val="EFE55DAF"/>
    <w:rsid w:val="EFE67D4A"/>
    <w:rsid w:val="EFEF8EA8"/>
    <w:rsid w:val="EFFF9627"/>
    <w:rsid w:val="F133BD77"/>
    <w:rsid w:val="F2DFFCA2"/>
    <w:rsid w:val="F4BF010C"/>
    <w:rsid w:val="F5793542"/>
    <w:rsid w:val="F5FD4981"/>
    <w:rsid w:val="F69B9529"/>
    <w:rsid w:val="F6FD31A3"/>
    <w:rsid w:val="F6FFF334"/>
    <w:rsid w:val="F9ED64BA"/>
    <w:rsid w:val="F9FCB56B"/>
    <w:rsid w:val="FAFB0E35"/>
    <w:rsid w:val="FB1FA9E7"/>
    <w:rsid w:val="FB7FEAB3"/>
    <w:rsid w:val="FBDF5AA4"/>
    <w:rsid w:val="FBF76A21"/>
    <w:rsid w:val="FDFF73F4"/>
    <w:rsid w:val="FE78D31C"/>
    <w:rsid w:val="FEDDC7D6"/>
    <w:rsid w:val="FEFE4462"/>
    <w:rsid w:val="FF2EEA84"/>
    <w:rsid w:val="FF6D1FE0"/>
    <w:rsid w:val="FF7A7979"/>
    <w:rsid w:val="FFA8A879"/>
    <w:rsid w:val="FFB51271"/>
    <w:rsid w:val="FFBF7B9B"/>
    <w:rsid w:val="FFD7381C"/>
    <w:rsid w:val="FFDC0CCF"/>
    <w:rsid w:val="FFE552A5"/>
    <w:rsid w:val="FFF5738B"/>
    <w:rsid w:val="FFFFD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link w:val="14"/>
    <w:unhideWhenUsed/>
    <w:qFormat/>
    <w:uiPriority w:val="0"/>
    <w:pPr>
      <w:keepNext/>
      <w:keepLines/>
      <w:spacing w:before="50" w:beforeLines="50" w:beforeAutospacing="0" w:after="30" w:afterLines="30" w:afterAutospacing="0" w:line="360" w:lineRule="auto"/>
      <w:ind w:firstLine="640" w:firstLineChars="200"/>
      <w:jc w:val="left"/>
      <w:outlineLvl w:val="1"/>
    </w:pPr>
    <w:rPr>
      <w:rFonts w:ascii="Arial" w:hAnsi="Arial" w:eastAsia="黑体"/>
    </w:rPr>
  </w:style>
  <w:style w:type="paragraph" w:styleId="4">
    <w:name w:val="heading 3"/>
    <w:basedOn w:val="1"/>
    <w:next w:val="1"/>
    <w:unhideWhenUsed/>
    <w:qFormat/>
    <w:uiPriority w:val="0"/>
    <w:pPr>
      <w:spacing w:before="30" w:beforeLines="30" w:beforeAutospacing="0" w:after="30" w:afterLines="30" w:afterAutospacing="0"/>
      <w:jc w:val="left"/>
      <w:outlineLvl w:val="2"/>
    </w:pPr>
    <w:rPr>
      <w:rFonts w:hint="eastAsia" w:eastAsia="方正楷体_GB2312"/>
      <w:szCs w:val="27"/>
      <w:lang w:val="en-US"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style>
  <w:style w:type="paragraph" w:styleId="5">
    <w:name w:val="annotation text"/>
    <w:basedOn w:val="1"/>
    <w:qFormat/>
    <w:uiPriority w:val="0"/>
    <w:pPr>
      <w:jc w:val="left"/>
    </w:pPr>
  </w:style>
  <w:style w:type="paragraph" w:styleId="6">
    <w:name w:val="Body Text"/>
    <w:basedOn w:val="1"/>
    <w:qFormat/>
    <w:uiPriority w:val="0"/>
    <w:pPr>
      <w:spacing w:after="120" w:afterLines="0" w:afterAutospacing="0"/>
    </w:pPr>
    <w:rPr>
      <w:rFonts w:ascii="Calibri" w:hAnsi="Calibri" w:eastAsia="宋体" w:cs="Times New Roman"/>
      <w:szCs w:val="24"/>
      <w:lang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footnote text"/>
    <w:basedOn w:val="1"/>
    <w:qFormat/>
    <w:uiPriority w:val="0"/>
    <w:pPr>
      <w:snapToGrid w:val="0"/>
      <w:jc w:val="left"/>
    </w:pPr>
    <w:rPr>
      <w:sz w:val="18"/>
    </w:rPr>
  </w:style>
  <w:style w:type="paragraph" w:styleId="10">
    <w:name w:val="Normal (Web)"/>
    <w:qFormat/>
    <w:uiPriority w:val="0"/>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13">
    <w:name w:val="footnote reference"/>
    <w:basedOn w:val="12"/>
    <w:qFormat/>
    <w:uiPriority w:val="0"/>
    <w:rPr>
      <w:vertAlign w:val="superscript"/>
    </w:rPr>
  </w:style>
  <w:style w:type="character" w:customStyle="1" w:styleId="14">
    <w:name w:val="标题 2 Char"/>
    <w:link w:val="3"/>
    <w:qFormat/>
    <w:uiPriority w:val="0"/>
    <w:rPr>
      <w:rFonts w:ascii="Arial" w:hAnsi="Arial" w:eastAsia="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2021-08-25T03:12:00Z</dcterms:created>
  <dc:creator>chenzhengwen</dc:creator>
  <cp:lastModifiedBy>梁颖琳</cp:lastModifiedBy>
  <cp:lastPrinted>2022-02-10T09:34:25Z</cp:lastPrinted>
  <dcterms:modified xsi:type="dcterms:W3CDTF">2022-02-10T09:34:28Z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A301B975FB8E4F1987387A570545E200</vt:lpwstr>
  </property>
</Properties>
</file>