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>第三部分  相关说明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一般公共预算支出的说明</w:t>
      </w:r>
    </w:p>
    <w:p>
      <w:pPr>
        <w:pStyle w:val="6"/>
        <w:adjustRightInd w:val="0"/>
        <w:spacing w:line="480" w:lineRule="auto"/>
        <w:ind w:firstLine="419" w:firstLineChars="13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133371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减少6928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减少5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对比年度预算，其他一次性支出减少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二、举借债务情况</w:t>
      </w:r>
    </w:p>
    <w:p>
      <w:pPr>
        <w:ind w:firstLine="472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（一）地方政府债券转贷情况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预计2022年再融资债券1190万元，其中一般债券1140万元、专项债券50万元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ind w:firstLine="472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（二）地方政府债务还本付息情况 </w:t>
      </w:r>
      <w:bookmarkStart w:id="0" w:name="PO_part3A1DebtRepay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年按照偿债计划，将债务还本付息支出列入相应预算体系安排。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1190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1140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元；支付地方政府债券利息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1860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230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163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元。 </w:t>
      </w:r>
      <w:bookmarkEnd w:id="0"/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三、一般公共预算“三公”经费预算安排情况</w:t>
      </w:r>
      <w:bookmarkStart w:id="1" w:name="_GoBack"/>
      <w:bookmarkEnd w:id="1"/>
    </w:p>
    <w:p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年一般公共预算安排“三公”经费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236.46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万元，比上年年度预算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增加61.7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 其中：因公出国（境）支出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万元，比上年年度预算减少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万元，原因是预计受新冠肺炎疫情影响，业务频次减少；公务用车购置及运行维护支出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208.37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93.27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比上年预算增加77.27万元；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115.1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比上年预算减少6.24万元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），比上年年度预算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增加71.03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市场监管局、生态环保局、公安分局新购置公务用车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；公务接待费支出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26.09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万元，比上年年度预算减少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8.23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万元，原因是厉行节约。  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四、预算绩效工作推进情况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按照上级部门工作统一部署，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制定黄圃镇2022年度推进预算绩效管理工作计划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年中出台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《黄圃镇预算绩效管理办法（试行）》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陆续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开展2021年项目支出事后评价、事前预算评审、2022年项目绩效目标事中监控等工作。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部门绩效目标申报表详见附表。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24072"/>
    <w:rsid w:val="00082AC3"/>
    <w:rsid w:val="00085DFA"/>
    <w:rsid w:val="000969FE"/>
    <w:rsid w:val="000D5F67"/>
    <w:rsid w:val="000F1933"/>
    <w:rsid w:val="00190BB3"/>
    <w:rsid w:val="002C3B4A"/>
    <w:rsid w:val="005954BE"/>
    <w:rsid w:val="00782C52"/>
    <w:rsid w:val="008E26E8"/>
    <w:rsid w:val="00A13F93"/>
    <w:rsid w:val="00A467B1"/>
    <w:rsid w:val="00A96206"/>
    <w:rsid w:val="00AF5B27"/>
    <w:rsid w:val="00B04E40"/>
    <w:rsid w:val="00B43420"/>
    <w:rsid w:val="00B754A9"/>
    <w:rsid w:val="00C73375"/>
    <w:rsid w:val="00D21D08"/>
    <w:rsid w:val="00D53710"/>
    <w:rsid w:val="00F41BCD"/>
    <w:rsid w:val="00F94A7C"/>
    <w:rsid w:val="02E31F6D"/>
    <w:rsid w:val="07146412"/>
    <w:rsid w:val="0D702E3F"/>
    <w:rsid w:val="16504A67"/>
    <w:rsid w:val="2414231C"/>
    <w:rsid w:val="259B6A23"/>
    <w:rsid w:val="2BE47264"/>
    <w:rsid w:val="2C2F37C0"/>
    <w:rsid w:val="2F61145B"/>
    <w:rsid w:val="40E77FA2"/>
    <w:rsid w:val="421E1A11"/>
    <w:rsid w:val="47785C45"/>
    <w:rsid w:val="4F525985"/>
    <w:rsid w:val="52702633"/>
    <w:rsid w:val="5AA47857"/>
    <w:rsid w:val="5EB97D96"/>
    <w:rsid w:val="743C4FED"/>
    <w:rsid w:val="751966C3"/>
    <w:rsid w:val="79E30A98"/>
    <w:rsid w:val="7B9A46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98</Words>
  <Characters>562</Characters>
  <Lines>4</Lines>
  <Paragraphs>1</Paragraphs>
  <TotalTime>100</TotalTime>
  <ScaleCrop>false</ScaleCrop>
  <LinksUpToDate>false</LinksUpToDate>
  <CharactersWithSpaces>659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HPZ001</cp:lastModifiedBy>
  <dcterms:modified xsi:type="dcterms:W3CDTF">2022-02-10T09:42:31Z</dcterms:modified>
  <dc:title>第三部分  相关说明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