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2021年1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半月外商投资企业的信息报告“双随机、一公开”抽查结果公示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3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一、抽查事项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对外国投资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者、外商投资企业的信息报告检查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二、抽查人员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范浩伟（执法证号T448141）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关倚文（执法证号T448107）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罗朝晖（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执法证号T448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三、抽查时间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2021.1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12、2021.11.15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四、抽查主体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王屋电子器件（中山）有限公司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中山上诠通信科技有限公司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中山曜麟实业有限公司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中山明阳风电设备有限公司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中山市瑞阳投资管理有限公司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山下橡胶（中山）有限公司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广东森下汽车零部件有限公司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安士生物科技（中山）有限公司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广东领汇电子商务有限公司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子钧化工（中山）有限公司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五、抽查内容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1．在市场监管部门办理设立、变更登记时，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填写外商投资信息报告单独采集的数据项或填写不全；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2．发生无须到市场监管部门办理变更登记的变更事项后，20个工作日内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提交变更报告；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3．关于所属行业、是否涉及外商投资准入特别管理措施、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是否存在</w:t>
      </w:r>
      <w:r>
        <w:rPr>
          <w:rFonts w:hint="default" w:ascii="仿宋_GB2312" w:eastAsia="仿宋_GB2312"/>
          <w:sz w:val="32"/>
          <w:szCs w:val="32"/>
          <w:u w:val="none"/>
        </w:rPr>
        <w:t>企业投资者及其实际控制人等重要信息报送错误；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4．涉及并购设立外商投资企业、外国投资者战略投资上市公司，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提交初始、变更报告或初始、变更报告中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报送相应信息；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5．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在每年1月1日至6月30日期间提交年度报告或报告不完整；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6．年度报告中，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如实报告截至上一年度年末的企业基本情况、投资者情况、企业经营情况；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default" w:ascii="仿宋_GB2312" w:eastAsia="仿宋_GB2312"/>
          <w:sz w:val="32"/>
          <w:szCs w:val="32"/>
          <w:u w:val="none"/>
        </w:rPr>
        <w:t>7．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根据《外商投资信息报告办法》要求真实、准确、完整、及时报送投资信息，商务主管部门通知补报、更正或责令改正后，未在规定时间内改正；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sz w:val="32"/>
          <w:szCs w:val="32"/>
          <w:u w:val="none"/>
        </w:rPr>
        <w:t>8．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是否</w:t>
      </w:r>
      <w:r>
        <w:rPr>
          <w:rFonts w:hint="default" w:ascii="仿宋_GB2312" w:eastAsia="仿宋_GB2312"/>
          <w:sz w:val="32"/>
          <w:szCs w:val="32"/>
          <w:u w:val="none"/>
        </w:rPr>
        <w:t>按照《外商投资信息报告办法》要求报送投资信息并因此受到行政处罚后，再次违反《外商投资信息报告办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法</w:t>
      </w:r>
      <w:r>
        <w:rPr>
          <w:rFonts w:hint="default" w:ascii="仿宋_GB2312" w:eastAsia="仿宋_GB2312"/>
          <w:sz w:val="32"/>
          <w:szCs w:val="32"/>
          <w:u w:val="none"/>
        </w:rPr>
        <w:t xml:space="preserve">》。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      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六、抽查结果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经现场检查，未发现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上述被检查对象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存在违法经营情况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B3F57"/>
    <w:rsid w:val="10E361BF"/>
    <w:rsid w:val="16D26CDB"/>
    <w:rsid w:val="25DC0E2F"/>
    <w:rsid w:val="41700225"/>
    <w:rsid w:val="65003966"/>
    <w:rsid w:val="6AFF71E9"/>
    <w:rsid w:val="779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2021-11-24T00:41:00Z</dcterms:created>
  <dc:creator>KXK</dc:creator>
  <cp:lastModifiedBy>康新库</cp:lastModifiedBy>
  <dcterms:modified xsi:type="dcterms:W3CDTF">2022-01-27T09:33:42Z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