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rFonts w:hint="eastAsia" w:ascii="黑体" w:hAnsi="黑体" w:eastAsia="黑体" w:cs="黑体"/>
          <w:b/>
          <w:bCs/>
          <w:sz w:val="32"/>
          <w:szCs w:val="32"/>
        </w:rPr>
      </w:pPr>
      <w:r>
        <w:rPr>
          <w:rFonts w:hint="eastAsia" w:ascii="黑体" w:hAnsi="黑体" w:eastAsia="黑体" w:cs="黑体"/>
          <w:b/>
          <w:bCs/>
          <w:sz w:val="32"/>
          <w:szCs w:val="32"/>
          <w:lang w:eastAsia="zh-CN"/>
        </w:rPr>
        <w:t>东凤镇</w:t>
      </w:r>
      <w:r>
        <w:rPr>
          <w:rFonts w:hint="eastAsia" w:ascii="黑体" w:hAnsi="黑体" w:eastAsia="黑体" w:cs="黑体"/>
          <w:b/>
          <w:bCs/>
          <w:sz w:val="32"/>
          <w:szCs w:val="32"/>
        </w:rPr>
        <w:t>义务教育阶段课后服务管理平台评分表</w:t>
      </w:r>
    </w:p>
    <w:p/>
    <w:tbl>
      <w:tblPr>
        <w:tblStyle w:val="3"/>
        <w:tblW w:w="930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50"/>
        <w:gridCol w:w="1905"/>
        <w:gridCol w:w="5310"/>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35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rPr>
                <w:rFonts w:hint="eastAsia" w:ascii="仿宋" w:hAnsi="仿宋" w:eastAsia="仿宋" w:cs="仿宋"/>
              </w:rPr>
            </w:pPr>
            <w:r>
              <w:rPr>
                <w:rFonts w:hint="eastAsia" w:ascii="仿宋" w:hAnsi="仿宋" w:eastAsia="仿宋" w:cs="仿宋"/>
              </w:rPr>
              <w:t>评审内容</w:t>
            </w:r>
          </w:p>
        </w:tc>
        <w:tc>
          <w:tcPr>
            <w:tcW w:w="721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评审细则</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rPr>
            </w:pPr>
            <w:r>
              <w:rPr>
                <w:rFonts w:hint="eastAsia" w:ascii="仿宋" w:hAnsi="仿宋" w:eastAsia="仿宋" w:cs="仿宋"/>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blCellSpacing w:w="0" w:type="dxa"/>
        </w:trPr>
        <w:tc>
          <w:tcPr>
            <w:tcW w:w="1350" w:type="dxa"/>
            <w:vMerge w:val="restart"/>
            <w:tcBorders>
              <w:top w:val="single" w:color="auto" w:sz="6" w:space="0"/>
              <w:left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商务部分</w:t>
            </w:r>
          </w:p>
          <w:p>
            <w:pPr>
              <w:jc w:val="center"/>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10</w:t>
            </w:r>
            <w:r>
              <w:rPr>
                <w:rFonts w:hint="eastAsia" w:ascii="仿宋" w:hAnsi="仿宋" w:eastAsia="仿宋" w:cs="仿宋"/>
              </w:rPr>
              <w:t>%）</w:t>
            </w:r>
          </w:p>
        </w:tc>
        <w:tc>
          <w:tcPr>
            <w:tcW w:w="1905" w:type="dxa"/>
            <w:vMerge w:val="restart"/>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企业综合实力</w:t>
            </w:r>
          </w:p>
        </w:tc>
        <w:tc>
          <w:tcPr>
            <w:tcW w:w="53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rPr>
            </w:pPr>
            <w:r>
              <w:rPr>
                <w:rFonts w:hint="eastAsia" w:ascii="仿宋" w:hAnsi="仿宋" w:eastAsia="仿宋" w:cs="仿宋"/>
              </w:rPr>
              <w:t>服务平台运营公司业务范围应包含软件技术开发、技术服务。符合得</w:t>
            </w:r>
            <w:r>
              <w:rPr>
                <w:rFonts w:hint="eastAsia" w:ascii="仿宋" w:hAnsi="仿宋" w:eastAsia="仿宋" w:cs="仿宋"/>
                <w:lang w:val="en-US" w:eastAsia="zh-CN"/>
              </w:rPr>
              <w:t>2</w:t>
            </w:r>
            <w:r>
              <w:rPr>
                <w:rFonts w:hint="eastAsia" w:ascii="仿宋" w:hAnsi="仿宋" w:eastAsia="仿宋" w:cs="仿宋"/>
              </w:rPr>
              <w:t>分。</w:t>
            </w:r>
          </w:p>
          <w:p>
            <w:pPr>
              <w:rPr>
                <w:rFonts w:hint="eastAsia" w:ascii="仿宋" w:hAnsi="仿宋" w:eastAsia="仿宋" w:cs="仿宋"/>
              </w:rPr>
            </w:pPr>
            <w:r>
              <w:rPr>
                <w:rFonts w:hint="eastAsia" w:ascii="仿宋" w:hAnsi="仿宋" w:eastAsia="仿宋" w:cs="仿宋"/>
              </w:rPr>
              <w:t>注：须提供有效的证明材料，不提供不得分。</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blCellSpacing w:w="0" w:type="dxa"/>
        </w:trPr>
        <w:tc>
          <w:tcPr>
            <w:tcW w:w="1350" w:type="dxa"/>
            <w:vMerge w:val="continue"/>
            <w:tcBorders>
              <w:left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tc>
        <w:tc>
          <w:tcPr>
            <w:tcW w:w="1905"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tc>
        <w:tc>
          <w:tcPr>
            <w:tcW w:w="53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rPr>
            </w:pPr>
            <w:r>
              <w:rPr>
                <w:rFonts w:hint="eastAsia" w:ascii="仿宋" w:hAnsi="仿宋" w:eastAsia="仿宋" w:cs="仿宋"/>
              </w:rPr>
              <w:t>服务平台网站具有 ICP 备案。符合得</w:t>
            </w:r>
            <w:r>
              <w:rPr>
                <w:rFonts w:hint="eastAsia" w:ascii="仿宋" w:hAnsi="仿宋" w:eastAsia="仿宋" w:cs="仿宋"/>
                <w:lang w:val="en-US" w:eastAsia="zh-CN"/>
              </w:rPr>
              <w:t>4</w:t>
            </w:r>
            <w:r>
              <w:rPr>
                <w:rFonts w:hint="eastAsia" w:ascii="仿宋" w:hAnsi="仿宋" w:eastAsia="仿宋" w:cs="仿宋"/>
              </w:rPr>
              <w:t>分。</w:t>
            </w:r>
          </w:p>
          <w:p>
            <w:pPr>
              <w:rPr>
                <w:rFonts w:hint="eastAsia" w:ascii="仿宋" w:hAnsi="仿宋" w:eastAsia="仿宋" w:cs="仿宋"/>
              </w:rPr>
            </w:pPr>
            <w:r>
              <w:rPr>
                <w:rFonts w:hint="eastAsia" w:ascii="仿宋" w:hAnsi="仿宋" w:eastAsia="仿宋" w:cs="仿宋"/>
              </w:rPr>
              <w:t>注：须提供有效的证明材料，不提供不得分。</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1350" w:type="dxa"/>
            <w:vMerge w:val="continue"/>
            <w:tcBorders>
              <w:left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tc>
        <w:tc>
          <w:tcPr>
            <w:tcW w:w="1905"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tc>
        <w:tc>
          <w:tcPr>
            <w:tcW w:w="53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rPr>
            </w:pPr>
            <w:r>
              <w:rPr>
                <w:rFonts w:hint="eastAsia" w:ascii="仿宋" w:hAnsi="仿宋" w:eastAsia="仿宋" w:cs="仿宋"/>
                <w:lang w:eastAsia="zh-CN"/>
              </w:rPr>
              <w:t>服务平台</w:t>
            </w:r>
            <w:r>
              <w:rPr>
                <w:rFonts w:hint="eastAsia" w:ascii="仿宋" w:hAnsi="仿宋" w:eastAsia="仿宋" w:cs="仿宋"/>
              </w:rPr>
              <w:t>未被列入“信用中国”网站中“记录失信被执行人或重大税收违法案件当事人名单或政府采购严重违法失信行为”的记录名单。符合得</w:t>
            </w:r>
            <w:r>
              <w:rPr>
                <w:rFonts w:hint="eastAsia" w:ascii="仿宋" w:hAnsi="仿宋" w:eastAsia="仿宋" w:cs="仿宋"/>
                <w:lang w:val="en-US" w:eastAsia="zh-CN"/>
              </w:rPr>
              <w:t>4</w:t>
            </w:r>
            <w:r>
              <w:rPr>
                <w:rFonts w:hint="eastAsia" w:ascii="仿宋" w:hAnsi="仿宋" w:eastAsia="仿宋" w:cs="仿宋"/>
              </w:rPr>
              <w:t>分。</w:t>
            </w:r>
          </w:p>
          <w:p>
            <w:pPr>
              <w:rPr>
                <w:rFonts w:hint="eastAsia" w:ascii="仿宋" w:hAnsi="仿宋" w:eastAsia="仿宋" w:cs="仿宋"/>
              </w:rPr>
            </w:pPr>
            <w:r>
              <w:rPr>
                <w:rFonts w:hint="eastAsia" w:ascii="仿宋" w:hAnsi="仿宋" w:eastAsia="仿宋" w:cs="仿宋"/>
              </w:rPr>
              <w:t>注：须提供有效的证明材料，不提供不得分。</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trPr>
        <w:tc>
          <w:tcPr>
            <w:tcW w:w="1350" w:type="dxa"/>
            <w:vMerge w:val="restart"/>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技术部分</w:t>
            </w:r>
          </w:p>
          <w:p>
            <w:pPr>
              <w:jc w:val="center"/>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85</w:t>
            </w:r>
            <w:r>
              <w:rPr>
                <w:rFonts w:hint="eastAsia" w:ascii="仿宋" w:hAnsi="仿宋" w:eastAsia="仿宋" w:cs="仿宋"/>
              </w:rPr>
              <w:t> %）</w:t>
            </w: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tc>
        <w:tc>
          <w:tcPr>
            <w:tcW w:w="1905" w:type="dxa"/>
            <w:vMerge w:val="restart"/>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平台安全及稳定性要求</w:t>
            </w:r>
          </w:p>
        </w:tc>
        <w:tc>
          <w:tcPr>
            <w:tcW w:w="53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rPr>
            </w:pPr>
            <w:r>
              <w:rPr>
                <w:rFonts w:hint="eastAsia" w:ascii="仿宋" w:hAnsi="仿宋" w:eastAsia="仿宋" w:cs="仿宋"/>
              </w:rPr>
              <w:t>服务平台应部署于中山市政务云平台，或选用具有计算机信息系统安全保护等级（以下简称“等保”）三级及以上的云服务平台，能提供稳定和安全的网络服务。满足得5分，不满足得0分。</w:t>
            </w:r>
          </w:p>
          <w:p>
            <w:pPr>
              <w:rPr>
                <w:rFonts w:hint="eastAsia" w:ascii="仿宋" w:hAnsi="仿宋" w:eastAsia="仿宋" w:cs="仿宋"/>
              </w:rPr>
            </w:pPr>
            <w:r>
              <w:rPr>
                <w:rFonts w:hint="eastAsia" w:ascii="仿宋" w:hAnsi="仿宋" w:eastAsia="仿宋" w:cs="仿宋"/>
              </w:rPr>
              <w:t>注：须提供有效的证明材料，不提供不得分。</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135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tc>
        <w:tc>
          <w:tcPr>
            <w:tcW w:w="1905"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tc>
        <w:tc>
          <w:tcPr>
            <w:tcW w:w="53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rPr>
            </w:pPr>
            <w:r>
              <w:rPr>
                <w:rFonts w:hint="eastAsia" w:ascii="仿宋" w:hAnsi="仿宋" w:eastAsia="仿宋" w:cs="仿宋"/>
              </w:rPr>
              <w:t>服务平台接入市监管平台后，应尽快通过（6个月内）等保二级或以上（注册用户数达 30 万以上的服务平台需具有等保三级以上） 。</w:t>
            </w:r>
          </w:p>
          <w:p>
            <w:pPr>
              <w:rPr>
                <w:rFonts w:hint="eastAsia" w:ascii="仿宋" w:hAnsi="仿宋" w:eastAsia="仿宋" w:cs="仿宋"/>
              </w:rPr>
            </w:pPr>
            <w:r>
              <w:rPr>
                <w:rFonts w:hint="eastAsia" w:ascii="仿宋" w:hAnsi="仿宋" w:eastAsia="仿宋" w:cs="仿宋"/>
              </w:rPr>
              <w:t>当前已具备三级等保及以上的，得10分；</w:t>
            </w:r>
          </w:p>
          <w:p>
            <w:pPr>
              <w:rPr>
                <w:rFonts w:hint="eastAsia" w:ascii="仿宋" w:hAnsi="仿宋" w:eastAsia="仿宋" w:cs="仿宋"/>
              </w:rPr>
            </w:pPr>
            <w:r>
              <w:rPr>
                <w:rFonts w:hint="eastAsia" w:ascii="仿宋" w:hAnsi="仿宋" w:eastAsia="仿宋" w:cs="仿宋"/>
              </w:rPr>
              <w:t>当前已具备二级等保的，得5分；</w:t>
            </w:r>
          </w:p>
          <w:p>
            <w:pPr>
              <w:rPr>
                <w:rFonts w:hint="eastAsia" w:ascii="仿宋" w:hAnsi="仿宋" w:eastAsia="仿宋" w:cs="仿宋"/>
              </w:rPr>
            </w:pPr>
            <w:r>
              <w:rPr>
                <w:rFonts w:hint="eastAsia" w:ascii="仿宋" w:hAnsi="仿宋" w:eastAsia="仿宋" w:cs="仿宋"/>
              </w:rPr>
              <w:t>承诺6个月内按平台注册用户数完成相应等级保护评测的，得2分；</w:t>
            </w:r>
          </w:p>
          <w:p>
            <w:pPr>
              <w:rPr>
                <w:rFonts w:hint="eastAsia" w:ascii="仿宋" w:hAnsi="仿宋" w:eastAsia="仿宋" w:cs="仿宋"/>
              </w:rPr>
            </w:pPr>
            <w:r>
              <w:rPr>
                <w:rFonts w:hint="eastAsia" w:ascii="仿宋" w:hAnsi="仿宋" w:eastAsia="仿宋" w:cs="仿宋"/>
              </w:rPr>
              <w:t>均不满足的，得0分。</w:t>
            </w:r>
          </w:p>
          <w:p>
            <w:pPr>
              <w:rPr>
                <w:rFonts w:hint="eastAsia" w:ascii="仿宋" w:hAnsi="仿宋" w:eastAsia="仿宋" w:cs="仿宋"/>
              </w:rPr>
            </w:pPr>
            <w:r>
              <w:rPr>
                <w:rFonts w:hint="eastAsia" w:ascii="仿宋" w:hAnsi="仿宋" w:eastAsia="仿宋" w:cs="仿宋"/>
              </w:rPr>
              <w:t>注：需提供网络安全等级测评报告证明复印件或其他第三方权威机构出具的报告复印件并加盖公章，不提供不得分。</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5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tc>
        <w:tc>
          <w:tcPr>
            <w:tcW w:w="1905"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tc>
        <w:tc>
          <w:tcPr>
            <w:tcW w:w="53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rPr>
            </w:pPr>
            <w:r>
              <w:rPr>
                <w:rFonts w:hint="eastAsia" w:ascii="仿宋" w:hAnsi="仿宋" w:eastAsia="仿宋" w:cs="仿宋"/>
              </w:rPr>
              <w:t>云服务器数量10台或以上，得5分</w:t>
            </w:r>
          </w:p>
          <w:p>
            <w:pPr>
              <w:rPr>
                <w:rFonts w:hint="eastAsia" w:ascii="仿宋" w:hAnsi="仿宋" w:eastAsia="仿宋" w:cs="仿宋"/>
              </w:rPr>
            </w:pPr>
            <w:r>
              <w:rPr>
                <w:rFonts w:hint="eastAsia" w:ascii="仿宋" w:hAnsi="仿宋" w:eastAsia="仿宋" w:cs="仿宋"/>
              </w:rPr>
              <w:t>注：需提供相关证明文件或页面截屏，加盖云服务平台厂家公章。没有证明文件或证明文件没有云服务厂家公章，此项得0分。</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trPr>
        <w:tc>
          <w:tcPr>
            <w:tcW w:w="135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tc>
        <w:tc>
          <w:tcPr>
            <w:tcW w:w="19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平台技术和性能要求响应程度</w:t>
            </w:r>
          </w:p>
        </w:tc>
        <w:tc>
          <w:tcPr>
            <w:tcW w:w="53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lang w:eastAsia="zh-CN"/>
              </w:rPr>
            </w:pPr>
            <w:r>
              <w:rPr>
                <w:rFonts w:hint="eastAsia" w:ascii="仿宋" w:hAnsi="仿宋" w:eastAsia="仿宋" w:cs="仿宋"/>
                <w:sz w:val="21"/>
                <w:szCs w:val="21"/>
              </w:rPr>
              <w:t>条款全部满足招标文件要求的得</w:t>
            </w:r>
            <w:r>
              <w:rPr>
                <w:rFonts w:hint="eastAsia" w:ascii="仿宋" w:hAnsi="仿宋" w:eastAsia="仿宋" w:cs="仿宋"/>
                <w:sz w:val="21"/>
                <w:szCs w:val="21"/>
                <w:lang w:val="en-US" w:eastAsia="zh-CN"/>
              </w:rPr>
              <w:t>20</w:t>
            </w:r>
            <w:r>
              <w:rPr>
                <w:rFonts w:hint="eastAsia" w:ascii="仿宋" w:hAnsi="仿宋" w:eastAsia="仿宋" w:cs="仿宋"/>
                <w:sz w:val="21"/>
                <w:szCs w:val="21"/>
              </w:rPr>
              <w:t>分，每一项条款负偏离扣1分，扣完为止。详见</w:t>
            </w:r>
            <w:r>
              <w:rPr>
                <w:rFonts w:hint="eastAsia" w:ascii="仿宋" w:hAnsi="仿宋" w:eastAsia="仿宋" w:cs="仿宋"/>
                <w:sz w:val="21"/>
                <w:szCs w:val="21"/>
                <w:lang w:eastAsia="zh-CN"/>
              </w:rPr>
              <w:t>本公告资格条件中技术要求中的“</w:t>
            </w:r>
            <w:r>
              <w:rPr>
                <w:rFonts w:hint="eastAsia" w:ascii="仿宋" w:hAnsi="仿宋" w:eastAsia="仿宋" w:cs="仿宋"/>
                <w:color w:val="333333"/>
                <w:kern w:val="0"/>
                <w:sz w:val="21"/>
                <w:szCs w:val="21"/>
              </w:rPr>
              <w:t>校内课后综合服务平台技术和性能要求</w:t>
            </w:r>
            <w:r>
              <w:rPr>
                <w:rFonts w:hint="eastAsia" w:ascii="仿宋" w:hAnsi="仿宋" w:eastAsia="仿宋" w:cs="仿宋"/>
                <w:color w:val="333333"/>
                <w:kern w:val="0"/>
                <w:sz w:val="21"/>
                <w:szCs w:val="21"/>
                <w:lang w:eastAsia="zh-CN"/>
              </w:rPr>
              <w:t>”。</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5" w:hRule="atLeast"/>
          <w:tblCellSpacing w:w="0" w:type="dxa"/>
        </w:trPr>
        <w:tc>
          <w:tcPr>
            <w:tcW w:w="135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tc>
        <w:tc>
          <w:tcPr>
            <w:tcW w:w="19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基本要求及运营要求响应程度</w:t>
            </w:r>
          </w:p>
        </w:tc>
        <w:tc>
          <w:tcPr>
            <w:tcW w:w="53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rPr>
            </w:pPr>
            <w:r>
              <w:rPr>
                <w:rFonts w:hint="eastAsia" w:ascii="仿宋" w:hAnsi="仿宋" w:eastAsia="仿宋" w:cs="仿宋"/>
              </w:rPr>
              <w:t>根据投标人对本项目的理解程度及服务方案（制订详细的服务方案，引导学校高效开展校内课后服务工作）进行评分。</w:t>
            </w:r>
          </w:p>
          <w:p>
            <w:pPr>
              <w:rPr>
                <w:rFonts w:hint="eastAsia" w:ascii="仿宋" w:hAnsi="仿宋" w:eastAsia="仿宋" w:cs="仿宋"/>
              </w:rPr>
            </w:pPr>
            <w:r>
              <w:rPr>
                <w:rFonts w:hint="eastAsia" w:ascii="仿宋" w:hAnsi="仿宋" w:eastAsia="仿宋" w:cs="仿宋"/>
              </w:rPr>
              <w:t>1.对本项目的理解透</w:t>
            </w:r>
            <w:r>
              <w:rPr>
                <w:rFonts w:hint="eastAsia" w:ascii="仿宋" w:hAnsi="仿宋" w:eastAsia="仿宋" w:cs="仿宋"/>
                <w:lang w:eastAsia="zh-CN"/>
              </w:rPr>
              <w:t>彻</w:t>
            </w:r>
            <w:r>
              <w:rPr>
                <w:rFonts w:hint="eastAsia" w:ascii="仿宋" w:hAnsi="仿宋" w:eastAsia="仿宋" w:cs="仿宋"/>
              </w:rPr>
              <w:t>，服务方案详细、流程清晰、标准明确、各项工作工具齐全的，得10分。</w:t>
            </w:r>
          </w:p>
          <w:p>
            <w:pPr>
              <w:rPr>
                <w:rFonts w:hint="eastAsia" w:ascii="仿宋" w:hAnsi="仿宋" w:eastAsia="仿宋" w:cs="仿宋"/>
              </w:rPr>
            </w:pPr>
            <w:r>
              <w:rPr>
                <w:rFonts w:hint="eastAsia" w:ascii="仿宋" w:hAnsi="仿宋" w:eastAsia="仿宋" w:cs="仿宋"/>
              </w:rPr>
              <w:t>2.对本项目的理解较为</w:t>
            </w:r>
            <w:bookmarkStart w:id="0" w:name="_GoBack"/>
            <w:bookmarkEnd w:id="0"/>
            <w:r>
              <w:rPr>
                <w:rFonts w:hint="eastAsia" w:ascii="仿宋" w:hAnsi="仿宋" w:eastAsia="仿宋" w:cs="仿宋"/>
              </w:rPr>
              <w:t>清晰，服务方案较为详细、流程较清晰、标准较明确、有相应工具的，得5分。</w:t>
            </w:r>
          </w:p>
          <w:p>
            <w:pPr>
              <w:rPr>
                <w:rFonts w:hint="eastAsia" w:ascii="仿宋" w:hAnsi="仿宋" w:eastAsia="仿宋" w:cs="仿宋"/>
              </w:rPr>
            </w:pPr>
            <w:r>
              <w:rPr>
                <w:rFonts w:hint="eastAsia" w:ascii="仿宋" w:hAnsi="仿宋" w:eastAsia="仿宋" w:cs="仿宋"/>
              </w:rPr>
              <w:t>3.对本项目的理解一般，服务方案一般的，得3分。</w:t>
            </w:r>
          </w:p>
          <w:p>
            <w:pPr>
              <w:rPr>
                <w:rFonts w:hint="eastAsia" w:ascii="仿宋" w:hAnsi="仿宋" w:eastAsia="仿宋" w:cs="仿宋"/>
              </w:rPr>
            </w:pPr>
            <w:r>
              <w:rPr>
                <w:rFonts w:hint="eastAsia" w:ascii="仿宋" w:hAnsi="仿宋" w:eastAsia="仿宋" w:cs="仿宋"/>
              </w:rPr>
              <w:t>4.对本项目的理解不够清晰，服务方案简单、流程不够清晰、标准不够明确、管理工具欠缺的，得1分。</w:t>
            </w:r>
          </w:p>
          <w:p>
            <w:pPr>
              <w:rPr>
                <w:rFonts w:hint="eastAsia" w:ascii="仿宋" w:hAnsi="仿宋" w:eastAsia="仿宋" w:cs="仿宋"/>
              </w:rPr>
            </w:pPr>
            <w:r>
              <w:rPr>
                <w:rFonts w:hint="eastAsia" w:ascii="仿宋" w:hAnsi="仿宋" w:eastAsia="仿宋" w:cs="仿宋"/>
              </w:rPr>
              <w:t>5.没有提供相关描述或被评定为不可行的不得分。</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5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tc>
        <w:tc>
          <w:tcPr>
            <w:tcW w:w="19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现场演示</w:t>
            </w:r>
          </w:p>
          <w:p>
            <w:pPr>
              <w:jc w:val="center"/>
              <w:rPr>
                <w:rFonts w:hint="eastAsia" w:ascii="仿宋" w:hAnsi="仿宋" w:eastAsia="仿宋" w:cs="仿宋"/>
              </w:rPr>
            </w:pPr>
          </w:p>
        </w:tc>
        <w:tc>
          <w:tcPr>
            <w:tcW w:w="53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rPr>
            </w:pPr>
            <w:r>
              <w:rPr>
                <w:rFonts w:hint="eastAsia" w:ascii="仿宋" w:hAnsi="仿宋" w:eastAsia="仿宋" w:cs="仿宋"/>
              </w:rPr>
              <w:t>中小学生校内课后服务平台以下功能演示：</w:t>
            </w:r>
          </w:p>
          <w:p>
            <w:pPr>
              <w:rPr>
                <w:rFonts w:hint="eastAsia" w:ascii="仿宋" w:hAnsi="仿宋" w:eastAsia="仿宋" w:cs="仿宋"/>
              </w:rPr>
            </w:pPr>
            <w:r>
              <w:rPr>
                <w:rFonts w:hint="eastAsia" w:ascii="仿宋" w:hAnsi="仿宋" w:eastAsia="仿宋" w:cs="仿宋"/>
              </w:rPr>
              <w:t>1.发布托管服务、订餐服务；</w:t>
            </w:r>
          </w:p>
          <w:p>
            <w:pPr>
              <w:rPr>
                <w:rFonts w:hint="eastAsia" w:ascii="仿宋" w:hAnsi="仿宋" w:eastAsia="仿宋" w:cs="仿宋"/>
              </w:rPr>
            </w:pPr>
            <w:r>
              <w:rPr>
                <w:rFonts w:hint="eastAsia" w:ascii="仿宋" w:hAnsi="仿宋" w:eastAsia="仿宋" w:cs="仿宋"/>
              </w:rPr>
              <w:t>2.课程分类查看；</w:t>
            </w:r>
          </w:p>
          <w:p>
            <w:pPr>
              <w:rPr>
                <w:rFonts w:hint="eastAsia" w:ascii="仿宋" w:hAnsi="仿宋" w:eastAsia="仿宋" w:cs="仿宋"/>
              </w:rPr>
            </w:pPr>
            <w:r>
              <w:rPr>
                <w:rFonts w:hint="eastAsia" w:ascii="仿宋" w:hAnsi="仿宋" w:eastAsia="仿宋" w:cs="仿宋"/>
              </w:rPr>
              <w:t>3.课程或订餐项目报名缴费；</w:t>
            </w:r>
          </w:p>
          <w:p>
            <w:pPr>
              <w:rPr>
                <w:rFonts w:hint="eastAsia" w:ascii="仿宋" w:hAnsi="仿宋" w:eastAsia="仿宋" w:cs="仿宋"/>
              </w:rPr>
            </w:pPr>
            <w:r>
              <w:rPr>
                <w:rFonts w:hint="eastAsia" w:ascii="仿宋" w:hAnsi="仿宋" w:eastAsia="仿宋" w:cs="仿宋"/>
              </w:rPr>
              <w:t>4.任课老师签到、学生出勤管理、点评学生；</w:t>
            </w:r>
          </w:p>
          <w:p>
            <w:pPr>
              <w:rPr>
                <w:rFonts w:hint="eastAsia" w:ascii="仿宋" w:hAnsi="仿宋" w:eastAsia="仿宋" w:cs="仿宋"/>
              </w:rPr>
            </w:pPr>
            <w:r>
              <w:rPr>
                <w:rFonts w:hint="eastAsia" w:ascii="仿宋" w:hAnsi="仿宋" w:eastAsia="仿宋" w:cs="仿宋"/>
              </w:rPr>
              <w:t>5.学校管理员对托管课程评分；</w:t>
            </w:r>
          </w:p>
          <w:p>
            <w:pPr>
              <w:rPr>
                <w:rFonts w:hint="eastAsia" w:ascii="仿宋" w:hAnsi="仿宋" w:eastAsia="仿宋" w:cs="仿宋"/>
              </w:rPr>
            </w:pPr>
            <w:r>
              <w:rPr>
                <w:rFonts w:hint="eastAsia" w:ascii="仿宋" w:hAnsi="仿宋" w:eastAsia="仿宋" w:cs="仿宋"/>
              </w:rPr>
              <w:t>6.家长发起停餐登记，班主任审核；</w:t>
            </w:r>
          </w:p>
          <w:p>
            <w:pPr>
              <w:rPr>
                <w:rFonts w:hint="eastAsia" w:ascii="仿宋" w:hAnsi="仿宋" w:eastAsia="仿宋" w:cs="仿宋"/>
              </w:rPr>
            </w:pPr>
            <w:r>
              <w:rPr>
                <w:rFonts w:hint="eastAsia" w:ascii="仿宋" w:hAnsi="仿宋" w:eastAsia="仿宋" w:cs="仿宋"/>
              </w:rPr>
              <w:t>7.一键催缴；</w:t>
            </w:r>
          </w:p>
          <w:p>
            <w:pPr>
              <w:rPr>
                <w:rFonts w:hint="eastAsia" w:ascii="仿宋" w:hAnsi="仿宋" w:eastAsia="仿宋" w:cs="仿宋"/>
              </w:rPr>
            </w:pPr>
            <w:r>
              <w:rPr>
                <w:rFonts w:hint="eastAsia" w:ascii="仿宋" w:hAnsi="仿宋" w:eastAsia="仿宋" w:cs="仿宋"/>
              </w:rPr>
              <w:t>8.班主任操作取消报名和新增报名；</w:t>
            </w:r>
          </w:p>
          <w:p>
            <w:pPr>
              <w:rPr>
                <w:rFonts w:hint="eastAsia" w:ascii="仿宋" w:hAnsi="仿宋" w:eastAsia="仿宋" w:cs="仿宋"/>
              </w:rPr>
            </w:pPr>
            <w:r>
              <w:rPr>
                <w:rFonts w:hint="eastAsia" w:ascii="仿宋" w:hAnsi="仿宋" w:eastAsia="仿宋" w:cs="仿宋"/>
              </w:rPr>
              <w:t>9.学生动态功能；</w:t>
            </w:r>
          </w:p>
          <w:p>
            <w:pPr>
              <w:rPr>
                <w:rFonts w:hint="eastAsia" w:ascii="仿宋" w:hAnsi="仿宋" w:eastAsia="仿宋" w:cs="仿宋"/>
              </w:rPr>
            </w:pPr>
            <w:r>
              <w:rPr>
                <w:rFonts w:hint="eastAsia" w:ascii="仿宋" w:hAnsi="仿宋" w:eastAsia="仿宋" w:cs="仿宋"/>
              </w:rPr>
              <w:t>10.多种服务信息统计报表等功能。</w:t>
            </w:r>
          </w:p>
          <w:p>
            <w:pPr>
              <w:rPr>
                <w:rFonts w:hint="eastAsia" w:ascii="仿宋" w:hAnsi="仿宋" w:eastAsia="仿宋" w:cs="仿宋"/>
              </w:rPr>
            </w:pPr>
            <w:r>
              <w:rPr>
                <w:rFonts w:hint="eastAsia" w:ascii="仿宋" w:hAnsi="仿宋" w:eastAsia="仿宋" w:cs="仿宋"/>
              </w:rPr>
              <w:t>每项功能得2</w:t>
            </w:r>
            <w:r>
              <w:rPr>
                <w:rFonts w:hint="eastAsia" w:ascii="仿宋" w:hAnsi="仿宋" w:eastAsia="仿宋" w:cs="仿宋"/>
                <w:lang w:val="en-US" w:eastAsia="zh-CN"/>
              </w:rPr>
              <w:t>.5</w:t>
            </w:r>
            <w:r>
              <w:rPr>
                <w:rFonts w:hint="eastAsia" w:ascii="仿宋" w:hAnsi="仿宋" w:eastAsia="仿宋" w:cs="仿宋"/>
              </w:rPr>
              <w:t>分，本项最高得2</w:t>
            </w:r>
            <w:r>
              <w:rPr>
                <w:rFonts w:hint="eastAsia" w:ascii="仿宋" w:hAnsi="仿宋" w:eastAsia="仿宋" w:cs="仿宋"/>
                <w:lang w:val="en-US" w:eastAsia="zh-CN"/>
              </w:rPr>
              <w:t>5</w:t>
            </w:r>
            <w:r>
              <w:rPr>
                <w:rFonts w:hint="eastAsia" w:ascii="仿宋" w:hAnsi="仿宋" w:eastAsia="仿宋" w:cs="仿宋"/>
              </w:rPr>
              <w:t>分。本项评分以现场演示为评审依据，不提供演示或演示内容不符合相关要求的不得分。投标人需自备演示所需平台系统等资料，演示时间不得超过</w:t>
            </w:r>
            <w:r>
              <w:rPr>
                <w:rFonts w:hint="eastAsia" w:ascii="仿宋" w:hAnsi="仿宋" w:eastAsia="仿宋" w:cs="仿宋"/>
                <w:lang w:val="en-US" w:eastAsia="zh-CN"/>
              </w:rPr>
              <w:t>20</w:t>
            </w:r>
            <w:r>
              <w:rPr>
                <w:rFonts w:hint="eastAsia" w:ascii="仿宋" w:hAnsi="仿宋" w:eastAsia="仿宋" w:cs="仿宋"/>
              </w:rPr>
              <w:t>分钟。</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lang w:eastAsia="zh-CN"/>
              </w:rPr>
            </w:pPr>
            <w:r>
              <w:rPr>
                <w:rFonts w:hint="eastAsia" w:ascii="仿宋" w:hAnsi="仿宋" w:eastAsia="仿宋" w:cs="仿宋"/>
              </w:rPr>
              <w:t>2</w:t>
            </w:r>
            <w:r>
              <w:rPr>
                <w:rFonts w:hint="eastAsia" w:ascii="仿宋" w:hAnsi="仿宋" w:eastAsia="仿宋" w:cs="仿宋"/>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trPr>
        <w:tc>
          <w:tcPr>
            <w:tcW w:w="1350"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p>
        </w:tc>
        <w:tc>
          <w:tcPr>
            <w:tcW w:w="19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资金监管方案</w:t>
            </w:r>
          </w:p>
        </w:tc>
        <w:tc>
          <w:tcPr>
            <w:tcW w:w="53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rPr>
            </w:pPr>
            <w:r>
              <w:rPr>
                <w:rFonts w:hint="eastAsia" w:ascii="仿宋" w:hAnsi="仿宋" w:eastAsia="仿宋" w:cs="仿宋"/>
              </w:rPr>
              <w:t>服务平台使用国资银行开设的存管账户，对家长在平台上的缴费资金进行穿透订单管理，并在技术上可协助提供银行API接口向市教育体育局监管平台推送存管账户资金的往来数据。</w:t>
            </w:r>
          </w:p>
          <w:p>
            <w:pPr>
              <w:rPr>
                <w:rFonts w:hint="eastAsia" w:ascii="仿宋" w:hAnsi="仿宋" w:eastAsia="仿宋" w:cs="仿宋"/>
              </w:rPr>
            </w:pPr>
            <w:r>
              <w:rPr>
                <w:rFonts w:hint="eastAsia" w:ascii="仿宋" w:hAnsi="仿宋" w:eastAsia="仿宋" w:cs="仿宋"/>
              </w:rPr>
              <w:t>根据中小学校内课后服务平台对资金监管及教师补贴发放方案进行评分。</w:t>
            </w:r>
          </w:p>
          <w:p>
            <w:pPr>
              <w:rPr>
                <w:rFonts w:hint="eastAsia" w:ascii="仿宋" w:hAnsi="仿宋" w:eastAsia="仿宋" w:cs="仿宋"/>
              </w:rPr>
            </w:pPr>
            <w:r>
              <w:rPr>
                <w:rFonts w:hint="eastAsia" w:ascii="仿宋" w:hAnsi="仿宋" w:eastAsia="仿宋" w:cs="仿宋"/>
              </w:rPr>
              <w:t>1.具备资金监管及教师补贴发放方案且详细、流程清晰的，得10分。</w:t>
            </w:r>
          </w:p>
          <w:p>
            <w:pPr>
              <w:rPr>
                <w:rFonts w:hint="eastAsia" w:ascii="仿宋" w:hAnsi="仿宋" w:eastAsia="仿宋" w:cs="仿宋"/>
              </w:rPr>
            </w:pPr>
            <w:r>
              <w:rPr>
                <w:rFonts w:hint="eastAsia" w:ascii="仿宋" w:hAnsi="仿宋" w:eastAsia="仿宋" w:cs="仿宋"/>
              </w:rPr>
              <w:t>2.具备资金监管及教师补贴发放方案且较详细、流程较清晰的，得5分。</w:t>
            </w:r>
          </w:p>
          <w:p>
            <w:pPr>
              <w:rPr>
                <w:rFonts w:hint="eastAsia" w:ascii="仿宋" w:hAnsi="仿宋" w:eastAsia="仿宋" w:cs="仿宋"/>
              </w:rPr>
            </w:pPr>
            <w:r>
              <w:rPr>
                <w:rFonts w:hint="eastAsia" w:ascii="仿宋" w:hAnsi="仿宋" w:eastAsia="仿宋" w:cs="仿宋"/>
              </w:rPr>
              <w:t>3.具备且资金监管及教师补贴发放方案一般详细、流程一般清晰的，得3分。</w:t>
            </w:r>
          </w:p>
          <w:p>
            <w:pPr>
              <w:rPr>
                <w:rFonts w:hint="eastAsia" w:ascii="仿宋" w:hAnsi="仿宋" w:eastAsia="仿宋" w:cs="仿宋"/>
              </w:rPr>
            </w:pPr>
            <w:r>
              <w:rPr>
                <w:rFonts w:hint="eastAsia" w:ascii="仿宋" w:hAnsi="仿宋" w:eastAsia="仿宋" w:cs="仿宋"/>
              </w:rPr>
              <w:t>4.没有提供资金监管及教师补贴发放方案的不得分。</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10</w:t>
            </w:r>
          </w:p>
        </w:tc>
      </w:tr>
    </w:tbl>
    <w:p>
      <w:pPr>
        <w:rPr>
          <w:rFonts w:hint="eastAsia" w:ascii="仿宋" w:hAnsi="仿宋" w:eastAsia="仿宋" w:cs="仿宋"/>
        </w:rPr>
      </w:pPr>
      <w:r>
        <w:rPr>
          <w:rFonts w:hint="eastAsia" w:ascii="仿宋" w:hAnsi="仿宋" w:eastAsia="仿宋" w:cs="仿宋"/>
        </w:rPr>
        <w:br w:type="page"/>
      </w:r>
    </w:p>
    <w:tbl>
      <w:tblPr>
        <w:tblStyle w:val="3"/>
        <w:tblW w:w="930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50"/>
        <w:gridCol w:w="1905"/>
        <w:gridCol w:w="5310"/>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trPr>
        <w:tc>
          <w:tcPr>
            <w:tcW w:w="135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其他内容</w:t>
            </w:r>
          </w:p>
          <w:p>
            <w:pPr>
              <w:jc w:val="center"/>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5</w:t>
            </w:r>
            <w:r>
              <w:rPr>
                <w:rFonts w:hint="eastAsia" w:ascii="仿宋" w:hAnsi="仿宋" w:eastAsia="仿宋" w:cs="仿宋"/>
              </w:rPr>
              <w:t> %）</w:t>
            </w:r>
          </w:p>
        </w:tc>
        <w:tc>
          <w:tcPr>
            <w:tcW w:w="190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lang w:eastAsia="zh-CN"/>
              </w:rPr>
            </w:pPr>
            <w:r>
              <w:rPr>
                <w:rFonts w:hint="eastAsia" w:ascii="仿宋" w:hAnsi="仿宋" w:eastAsia="仿宋" w:cs="仿宋"/>
                <w:lang w:eastAsia="zh-CN"/>
              </w:rPr>
              <w:t>服务便利性</w:t>
            </w:r>
          </w:p>
        </w:tc>
        <w:tc>
          <w:tcPr>
            <w:tcW w:w="53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仿宋" w:hAnsi="仿宋" w:eastAsia="仿宋" w:cs="仿宋"/>
              </w:rPr>
            </w:pPr>
            <w:r>
              <w:rPr>
                <w:rFonts w:hint="eastAsia" w:ascii="仿宋" w:hAnsi="仿宋" w:eastAsia="仿宋" w:cs="仿宋"/>
              </w:rPr>
              <w:t>评委根据各参与单位的服务机构设置合理性、便利性、响应时间、保障措施等进行评审：</w:t>
            </w:r>
          </w:p>
          <w:p>
            <w:pPr>
              <w:rPr>
                <w:rFonts w:hint="eastAsia" w:ascii="仿宋" w:hAnsi="仿宋" w:eastAsia="仿宋" w:cs="仿宋"/>
              </w:rPr>
            </w:pPr>
            <w:r>
              <w:rPr>
                <w:rFonts w:hint="eastAsia" w:ascii="仿宋" w:hAnsi="仿宋" w:eastAsia="仿宋" w:cs="仿宋"/>
              </w:rPr>
              <w:t>1.服务机构设置合理、便利性高、响应时间及时、保障措施详细、合理、可实现度高，能承诺在接到问题电话后1小时内能响应，并在3小时内排除解决问题或故障的得</w:t>
            </w:r>
            <w:r>
              <w:rPr>
                <w:rFonts w:hint="eastAsia" w:ascii="仿宋" w:hAnsi="仿宋" w:eastAsia="仿宋" w:cs="仿宋"/>
                <w:lang w:val="en-US" w:eastAsia="zh-CN"/>
              </w:rPr>
              <w:t>5</w:t>
            </w:r>
            <w:r>
              <w:rPr>
                <w:rFonts w:hint="eastAsia" w:ascii="仿宋" w:hAnsi="仿宋" w:eastAsia="仿宋" w:cs="仿宋"/>
              </w:rPr>
              <w:t>分；</w:t>
            </w:r>
          </w:p>
          <w:p>
            <w:pPr>
              <w:rPr>
                <w:rFonts w:hint="eastAsia" w:ascii="仿宋" w:hAnsi="仿宋" w:eastAsia="仿宋" w:cs="仿宋"/>
              </w:rPr>
            </w:pPr>
            <w:r>
              <w:rPr>
                <w:rFonts w:hint="eastAsia" w:ascii="仿宋" w:hAnsi="仿宋" w:eastAsia="仿宋" w:cs="仿宋"/>
              </w:rPr>
              <w:t>2.服务机构设置较合理、便利性较高、响应时间较及时、保障措施较合理，能承诺在接到问题电话后2小时内能响应，并在6小时内排除解决问题或故障的得</w:t>
            </w:r>
            <w:r>
              <w:rPr>
                <w:rFonts w:hint="eastAsia" w:ascii="仿宋" w:hAnsi="仿宋" w:eastAsia="仿宋" w:cs="仿宋"/>
                <w:lang w:val="en-US" w:eastAsia="zh-CN"/>
              </w:rPr>
              <w:t>3</w:t>
            </w:r>
            <w:r>
              <w:rPr>
                <w:rFonts w:hint="eastAsia" w:ascii="仿宋" w:hAnsi="仿宋" w:eastAsia="仿宋" w:cs="仿宋"/>
              </w:rPr>
              <w:t>分；</w:t>
            </w:r>
          </w:p>
          <w:p>
            <w:pPr>
              <w:rPr>
                <w:rFonts w:hint="eastAsia" w:ascii="仿宋" w:hAnsi="仿宋" w:eastAsia="仿宋" w:cs="仿宋"/>
              </w:rPr>
            </w:pPr>
            <w:r>
              <w:rPr>
                <w:rFonts w:hint="eastAsia" w:ascii="仿宋" w:hAnsi="仿宋" w:eastAsia="仿宋" w:cs="仿宋"/>
              </w:rPr>
              <w:t>3.服务便利性一般、响应时间不及时、保障措施一般，能承诺在接到问题电话后3小时内能响应，并在12小时内排除解决问题或故障的得</w:t>
            </w:r>
            <w:r>
              <w:rPr>
                <w:rFonts w:hint="eastAsia" w:ascii="仿宋" w:hAnsi="仿宋" w:eastAsia="仿宋" w:cs="仿宋"/>
                <w:lang w:val="en-US" w:eastAsia="zh-CN"/>
              </w:rPr>
              <w:t>1</w:t>
            </w:r>
            <w:r>
              <w:rPr>
                <w:rFonts w:hint="eastAsia" w:ascii="仿宋" w:hAnsi="仿宋" w:eastAsia="仿宋" w:cs="仿宋"/>
              </w:rPr>
              <w:t>分；</w:t>
            </w:r>
          </w:p>
          <w:p>
            <w:pPr>
              <w:rPr>
                <w:rFonts w:hint="eastAsia" w:ascii="仿宋" w:hAnsi="仿宋" w:eastAsia="仿宋" w:cs="仿宋"/>
              </w:rPr>
            </w:pPr>
            <w:r>
              <w:rPr>
                <w:rFonts w:hint="eastAsia" w:ascii="仿宋" w:hAnsi="仿宋" w:eastAsia="仿宋" w:cs="仿宋"/>
              </w:rPr>
              <w:t>4.其他不得分。</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lang w:eastAsia="zh-CN"/>
              </w:rPr>
            </w:pPr>
            <w:r>
              <w:rPr>
                <w:rFonts w:hint="eastAsia" w:ascii="仿宋" w:hAnsi="仿宋" w:eastAsia="仿宋" w:cs="仿宋"/>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trPr>
        <w:tc>
          <w:tcPr>
            <w:tcW w:w="8565" w:type="dxa"/>
            <w:gridSpan w:val="3"/>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jc w:val="center"/>
              <w:rPr>
                <w:rFonts w:hint="eastAsia" w:ascii="仿宋" w:hAnsi="仿宋" w:eastAsia="仿宋" w:cs="仿宋"/>
              </w:rPr>
            </w:pPr>
            <w:r>
              <w:rPr>
                <w:rFonts w:hint="eastAsia" w:ascii="仿宋" w:hAnsi="仿宋" w:eastAsia="仿宋" w:cs="仿宋"/>
              </w:rPr>
              <w:t>合</w:t>
            </w:r>
            <w:r>
              <w:rPr>
                <w:rFonts w:hint="eastAsia" w:ascii="仿宋" w:hAnsi="仿宋" w:eastAsia="仿宋" w:cs="仿宋"/>
                <w:lang w:val="en-US" w:eastAsia="zh-CN"/>
              </w:rPr>
              <w:t xml:space="preserve">   </w:t>
            </w:r>
            <w:r>
              <w:rPr>
                <w:rFonts w:hint="eastAsia" w:ascii="仿宋" w:hAnsi="仿宋" w:eastAsia="仿宋" w:cs="仿宋"/>
              </w:rPr>
              <w:t>计</w:t>
            </w:r>
          </w:p>
        </w:tc>
        <w:tc>
          <w:tcPr>
            <w:tcW w:w="73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default" w:ascii="仿宋" w:hAnsi="仿宋" w:eastAsia="仿宋" w:cs="仿宋"/>
                <w:lang w:val="en-US" w:eastAsia="zh-CN"/>
              </w:rPr>
            </w:pPr>
            <w:r>
              <w:rPr>
                <w:rFonts w:hint="eastAsia" w:ascii="仿宋" w:hAnsi="仿宋" w:eastAsia="仿宋" w:cs="仿宋"/>
                <w:lang w:val="en-US" w:eastAsia="zh-CN"/>
              </w:rPr>
              <w:t>100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27BA2"/>
    <w:rsid w:val="09D570DF"/>
    <w:rsid w:val="0C340D0B"/>
    <w:rsid w:val="10827BA2"/>
    <w:rsid w:val="331B2DC3"/>
    <w:rsid w:val="357A63FB"/>
    <w:rsid w:val="402B7662"/>
    <w:rsid w:val="59EA2648"/>
    <w:rsid w:val="6FCE08D2"/>
    <w:rsid w:val="74B37869"/>
    <w:rsid w:val="7F021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2021-10-19T04:35:00Z</dcterms:created>
  <dc:creator></dc:creator>
  <cp:lastModifiedBy>liya</cp:lastModifiedBy>
  <cp:lastPrinted>2021-10-27T10:18:00Z</cp:lastPrinted>
  <dcterms:modified xsi:type="dcterms:W3CDTF">2022-01-20T02:07:16Z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57F39D4A412A42BCAD37D2ADED8F5D2B</vt:lpwstr>
  </property>
</Properties>
</file>