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bCs/>
          <w:sz w:val="44"/>
          <w:szCs w:val="44"/>
        </w:rPr>
      </w:pPr>
      <w:r>
        <w:rPr>
          <w:rFonts w:eastAsia="方正小标宋简体"/>
          <w:bCs/>
          <w:sz w:val="44"/>
          <w:szCs w:val="44"/>
        </w:rPr>
        <w:t>中山火炬开发区</w:t>
      </w:r>
    </w:p>
    <w:p>
      <w:pPr>
        <w:spacing w:line="700" w:lineRule="exact"/>
        <w:jc w:val="center"/>
        <w:rPr>
          <w:rFonts w:eastAsia="方正小标宋简体"/>
          <w:bCs/>
          <w:sz w:val="44"/>
          <w:szCs w:val="44"/>
        </w:rPr>
      </w:pPr>
      <w:r>
        <w:rPr>
          <w:rFonts w:eastAsia="方正小标宋简体"/>
          <w:bCs/>
          <w:sz w:val="44"/>
          <w:szCs w:val="44"/>
        </w:rPr>
        <w:t>科创产业母基金管理办法</w:t>
      </w:r>
    </w:p>
    <w:p>
      <w:pPr>
        <w:spacing w:line="700" w:lineRule="exact"/>
        <w:jc w:val="center"/>
        <w:rPr>
          <w:rFonts w:eastAsia="方正小标宋简体"/>
          <w:bCs/>
          <w:sz w:val="44"/>
          <w:szCs w:val="44"/>
        </w:rPr>
      </w:pPr>
      <w:r>
        <w:rPr>
          <w:rFonts w:hint="eastAsia" w:eastAsia="方正小标宋简体"/>
          <w:bCs/>
          <w:sz w:val="44"/>
          <w:szCs w:val="44"/>
        </w:rPr>
        <w:t>（征求意见稿）</w:t>
      </w:r>
    </w:p>
    <w:p>
      <w:pPr>
        <w:spacing w:line="312" w:lineRule="auto"/>
        <w:jc w:val="center"/>
        <w:rPr>
          <w:rFonts w:eastAsia="仿宋_GB2312"/>
          <w:szCs w:val="32"/>
        </w:rPr>
      </w:pPr>
    </w:p>
    <w:p>
      <w:pPr>
        <w:spacing w:line="312" w:lineRule="auto"/>
        <w:jc w:val="center"/>
        <w:rPr>
          <w:rFonts w:eastAsia="黑体"/>
          <w:szCs w:val="32"/>
        </w:rPr>
      </w:pPr>
      <w:r>
        <w:rPr>
          <w:rFonts w:eastAsia="黑体"/>
          <w:szCs w:val="32"/>
        </w:rPr>
        <w:t>第一章 总则</w:t>
      </w:r>
    </w:p>
    <w:p>
      <w:pPr>
        <w:pStyle w:val="5"/>
        <w:spacing w:line="312" w:lineRule="auto"/>
        <w:jc w:val="both"/>
        <w:rPr>
          <w:rFonts w:eastAsia="仿宋_GB2312"/>
          <w:szCs w:val="32"/>
        </w:rPr>
      </w:pPr>
      <w:r>
        <w:rPr>
          <w:rFonts w:eastAsia="仿宋_GB2312"/>
          <w:b/>
          <w:szCs w:val="32"/>
        </w:rPr>
        <w:t xml:space="preserve">    第一条  </w:t>
      </w:r>
      <w:r>
        <w:rPr>
          <w:rFonts w:eastAsia="仿宋_GB2312"/>
          <w:szCs w:val="32"/>
        </w:rPr>
        <w:t>为规范中山火炬开发区科创产业母基金设立和运作，引导更多社会资本进入我区产业投资领域，吸引天使投资、创业投资和股权投资等各类投资主体集聚，促进</w:t>
      </w:r>
      <w:r>
        <w:rPr>
          <w:rFonts w:hint="eastAsia" w:eastAsia="仿宋_GB2312"/>
          <w:szCs w:val="32"/>
        </w:rPr>
        <w:t>招商引资和</w:t>
      </w:r>
      <w:r>
        <w:rPr>
          <w:rFonts w:eastAsia="仿宋_GB2312"/>
          <w:szCs w:val="32"/>
        </w:rPr>
        <w:t>科技型企业发展，根据《政府投资基金暂行管理办法》（财预〔2015〕210号）</w:t>
      </w:r>
      <w:r>
        <w:rPr>
          <w:rFonts w:hint="eastAsia" w:eastAsia="仿宋_GB2312"/>
          <w:szCs w:val="32"/>
        </w:rPr>
        <w:t>、</w:t>
      </w:r>
      <w:r>
        <w:rPr>
          <w:rFonts w:eastAsia="仿宋_GB2312"/>
          <w:szCs w:val="32"/>
        </w:rPr>
        <w:t>《政府出资产业投资基金管理暂行办法》（发改财经规〔2016〕2800号）、《广东省战略性新兴产业创业投资引导基金管理暂行办法》（粤财工〔2013〕281号）</w:t>
      </w:r>
      <w:r>
        <w:rPr>
          <w:rFonts w:hint="eastAsia" w:eastAsia="仿宋_GB2312"/>
          <w:szCs w:val="32"/>
        </w:rPr>
        <w:t>和</w:t>
      </w:r>
      <w:r>
        <w:rPr>
          <w:rFonts w:eastAsia="仿宋_GB2312"/>
          <w:szCs w:val="32"/>
        </w:rPr>
        <w:t>《广东省政府投资基金管理实施办法（试行）》</w:t>
      </w:r>
      <w:r>
        <w:rPr>
          <w:rFonts w:hint="eastAsia" w:eastAsia="仿宋_GB2312"/>
          <w:szCs w:val="32"/>
        </w:rPr>
        <w:t>（粤财预</w:t>
      </w:r>
      <w:r>
        <w:rPr>
          <w:rFonts w:eastAsia="仿宋_GB2312"/>
          <w:szCs w:val="32"/>
        </w:rPr>
        <w:t>〔2016〕178号</w:t>
      </w:r>
      <w:r>
        <w:rPr>
          <w:rFonts w:hint="eastAsia" w:eastAsia="仿宋_GB2312"/>
          <w:szCs w:val="32"/>
        </w:rPr>
        <w:t>）</w:t>
      </w:r>
      <w:r>
        <w:rPr>
          <w:rFonts w:eastAsia="仿宋_GB2312"/>
          <w:szCs w:val="32"/>
        </w:rPr>
        <w:t>等文件精神，制定本办法。</w:t>
      </w:r>
    </w:p>
    <w:p>
      <w:pPr>
        <w:spacing w:line="312" w:lineRule="auto"/>
        <w:rPr>
          <w:rFonts w:eastAsia="仿宋_GB2312"/>
          <w:szCs w:val="32"/>
        </w:rPr>
      </w:pPr>
      <w:r>
        <w:rPr>
          <w:rFonts w:eastAsia="仿宋_GB2312"/>
          <w:b/>
          <w:szCs w:val="32"/>
        </w:rPr>
        <w:t xml:space="preserve">    第二条  </w:t>
      </w:r>
      <w:r>
        <w:rPr>
          <w:rFonts w:eastAsia="仿宋_GB2312"/>
          <w:szCs w:val="32"/>
        </w:rPr>
        <w:t>本办法所称中山火炬开发区科创产业母基金（</w:t>
      </w:r>
      <w:r>
        <w:rPr>
          <w:rFonts w:hint="eastAsia" w:eastAsia="仿宋_GB2312"/>
          <w:szCs w:val="32"/>
        </w:rPr>
        <w:t>以下简称“母基金”</w:t>
      </w:r>
      <w:r>
        <w:rPr>
          <w:rFonts w:eastAsia="仿宋_GB2312"/>
          <w:szCs w:val="32"/>
        </w:rPr>
        <w:t>）是指</w:t>
      </w:r>
      <w:r>
        <w:rPr>
          <w:rFonts w:hint="eastAsia" w:eastAsia="仿宋_GB2312"/>
          <w:szCs w:val="32"/>
        </w:rPr>
        <w:t>由</w:t>
      </w:r>
      <w:r>
        <w:rPr>
          <w:rFonts w:eastAsia="仿宋_GB2312"/>
          <w:bCs/>
          <w:szCs w:val="32"/>
        </w:rPr>
        <w:t>中山火炬高技术产业开发区</w:t>
      </w:r>
      <w:r>
        <w:rPr>
          <w:rFonts w:hint="eastAsia" w:eastAsia="仿宋_GB2312"/>
          <w:bCs/>
          <w:szCs w:val="32"/>
        </w:rPr>
        <w:t>管理委员会（以下简称“区管委会”）</w:t>
      </w:r>
      <w:r>
        <w:rPr>
          <w:rFonts w:eastAsia="仿宋_GB2312"/>
          <w:szCs w:val="32"/>
        </w:rPr>
        <w:t>出资设立并按照市场化运作的政策性、引导性基金，其宗旨是发挥财政资金的杠杆放大效应，鼓励社会资本进入创业投资领域，重点投资我区科技型企业，主要用于参股投资子基金及二级母基金。</w:t>
      </w:r>
    </w:p>
    <w:p>
      <w:pPr>
        <w:spacing w:line="312" w:lineRule="auto"/>
        <w:rPr>
          <w:rFonts w:eastAsia="仿宋_GB2312"/>
          <w:szCs w:val="32"/>
        </w:rPr>
      </w:pPr>
      <w:r>
        <w:rPr>
          <w:rFonts w:eastAsia="仿宋_GB2312"/>
          <w:szCs w:val="32"/>
        </w:rPr>
        <w:t xml:space="preserve">    </w:t>
      </w:r>
      <w:r>
        <w:rPr>
          <w:rFonts w:hint="eastAsia" w:eastAsia="仿宋_GB2312"/>
          <w:szCs w:val="32"/>
        </w:rPr>
        <w:t>投资的产业或行业应</w:t>
      </w:r>
      <w:r>
        <w:rPr>
          <w:rFonts w:eastAsia="仿宋_GB2312"/>
          <w:szCs w:val="32"/>
        </w:rPr>
        <w:t>主要集中于成长性好、在关键节点上需要扶持的高端新型电子信息、生物技术、高端装备制造、新能源、新材料、物联网、医疗健康等战略</w:t>
      </w:r>
      <w:r>
        <w:rPr>
          <w:rFonts w:hint="eastAsia" w:eastAsia="仿宋_GB2312"/>
          <w:szCs w:val="32"/>
          <w:lang w:eastAsia="zh-CN"/>
        </w:rPr>
        <w:t>性</w:t>
      </w:r>
      <w:bookmarkStart w:id="4" w:name="_GoBack"/>
      <w:bookmarkEnd w:id="4"/>
      <w:r>
        <w:rPr>
          <w:rFonts w:hint="eastAsia" w:eastAsia="仿宋_GB2312"/>
          <w:szCs w:val="32"/>
        </w:rPr>
        <w:t>新兴</w:t>
      </w:r>
      <w:r>
        <w:rPr>
          <w:rFonts w:eastAsia="仿宋_GB2312"/>
          <w:szCs w:val="32"/>
        </w:rPr>
        <w:t>产业。</w:t>
      </w:r>
    </w:p>
    <w:p>
      <w:pPr>
        <w:spacing w:line="312" w:lineRule="auto"/>
        <w:rPr>
          <w:rFonts w:eastAsia="仿宋_GB2312"/>
          <w:szCs w:val="32"/>
        </w:rPr>
      </w:pPr>
      <w:r>
        <w:rPr>
          <w:rFonts w:eastAsia="仿宋_GB2312"/>
          <w:b/>
          <w:szCs w:val="32"/>
        </w:rPr>
        <w:t xml:space="preserve">    第三条  </w:t>
      </w:r>
      <w:r>
        <w:rPr>
          <w:rFonts w:eastAsia="仿宋_GB2312"/>
          <w:szCs w:val="32"/>
        </w:rPr>
        <w:t>母基金资金来源主要包括：</w:t>
      </w:r>
    </w:p>
    <w:p>
      <w:pPr>
        <w:spacing w:line="312" w:lineRule="auto"/>
        <w:ind w:firstLine="664" w:firstLineChars="200"/>
        <w:rPr>
          <w:rFonts w:eastAsia="仿宋_GB2312"/>
          <w:szCs w:val="32"/>
        </w:rPr>
      </w:pPr>
      <w:r>
        <w:rPr>
          <w:rFonts w:eastAsia="仿宋_GB2312"/>
          <w:szCs w:val="32"/>
        </w:rPr>
        <w:t>（一）</w:t>
      </w:r>
      <w:r>
        <w:rPr>
          <w:rFonts w:hint="eastAsia" w:ascii="仿宋_GB2312" w:hAnsi="仿宋_GB2312" w:eastAsia="仿宋_GB2312" w:cs="仿宋_GB2312"/>
          <w:szCs w:val="32"/>
        </w:rPr>
        <w:t>区财政通过一般公共预算、政府性基金预算、国有资本经营预算及区管委会掌握的资源、资产作价等安排的资金</w:t>
      </w:r>
      <w:r>
        <w:rPr>
          <w:rFonts w:eastAsia="仿宋_GB2312"/>
          <w:szCs w:val="32"/>
        </w:rPr>
        <w:t>；</w:t>
      </w:r>
    </w:p>
    <w:p>
      <w:pPr>
        <w:spacing w:line="312" w:lineRule="auto"/>
        <w:ind w:firstLine="664" w:firstLineChars="200"/>
        <w:rPr>
          <w:rFonts w:eastAsia="仿宋_GB2312"/>
          <w:szCs w:val="32"/>
        </w:rPr>
      </w:pPr>
      <w:r>
        <w:rPr>
          <w:rFonts w:eastAsia="仿宋_GB2312"/>
          <w:szCs w:val="32"/>
        </w:rPr>
        <w:t>（二）母基金运作所产生的收益；</w:t>
      </w:r>
    </w:p>
    <w:p>
      <w:pPr>
        <w:numPr>
          <w:ilvl w:val="0"/>
          <w:numId w:val="1"/>
        </w:numPr>
        <w:spacing w:line="312" w:lineRule="auto"/>
        <w:ind w:firstLine="630"/>
        <w:rPr>
          <w:rFonts w:eastAsia="仿宋_GB2312"/>
          <w:szCs w:val="32"/>
        </w:rPr>
      </w:pPr>
      <w:r>
        <w:rPr>
          <w:rFonts w:eastAsia="仿宋_GB2312"/>
          <w:szCs w:val="32"/>
        </w:rPr>
        <w:t>其他资金来源。</w:t>
      </w:r>
    </w:p>
    <w:p>
      <w:pPr>
        <w:spacing w:line="312" w:lineRule="auto"/>
        <w:ind w:firstLine="630"/>
        <w:rPr>
          <w:rFonts w:eastAsia="仿宋_GB2312"/>
          <w:szCs w:val="32"/>
        </w:rPr>
      </w:pPr>
      <w:r>
        <w:rPr>
          <w:rFonts w:hint="eastAsia" w:eastAsia="仿宋_GB2312"/>
          <w:b/>
          <w:szCs w:val="32"/>
        </w:rPr>
        <w:t>第四条</w:t>
      </w:r>
      <w:r>
        <w:rPr>
          <w:rFonts w:hint="eastAsia" w:eastAsia="仿宋_GB2312"/>
          <w:szCs w:val="32"/>
        </w:rPr>
        <w:t xml:space="preserve">  </w:t>
      </w:r>
      <w:r>
        <w:rPr>
          <w:rFonts w:hint="eastAsia" w:ascii="仿宋_GB2312" w:hAnsi="仿宋_GB2312" w:eastAsia="仿宋_GB2312" w:cs="仿宋_GB2312"/>
          <w:szCs w:val="32"/>
        </w:rPr>
        <w:t>母基金的存续期为10年，可根据需要延长2年</w:t>
      </w:r>
      <w:r>
        <w:rPr>
          <w:rFonts w:hint="eastAsia" w:eastAsia="仿宋_GB2312"/>
          <w:szCs w:val="32"/>
        </w:rPr>
        <w:t>。</w:t>
      </w:r>
    </w:p>
    <w:p>
      <w:pPr>
        <w:spacing w:line="312" w:lineRule="auto"/>
        <w:ind w:firstLine="630"/>
        <w:rPr>
          <w:rFonts w:eastAsia="仿宋_GB2312"/>
          <w:szCs w:val="32"/>
        </w:rPr>
      </w:pPr>
    </w:p>
    <w:p>
      <w:pPr>
        <w:spacing w:line="312" w:lineRule="auto"/>
        <w:jc w:val="center"/>
        <w:rPr>
          <w:rFonts w:eastAsia="黑体"/>
          <w:szCs w:val="32"/>
        </w:rPr>
      </w:pPr>
      <w:r>
        <w:rPr>
          <w:rFonts w:eastAsia="黑体"/>
          <w:szCs w:val="32"/>
        </w:rPr>
        <w:t>第二章 母基金管理</w:t>
      </w:r>
    </w:p>
    <w:p>
      <w:pPr>
        <w:spacing w:line="312" w:lineRule="auto"/>
        <w:rPr>
          <w:rFonts w:eastAsia="仿宋_GB2312"/>
          <w:szCs w:val="32"/>
        </w:rPr>
      </w:pPr>
      <w:r>
        <w:rPr>
          <w:rFonts w:eastAsia="仿宋_GB2312"/>
          <w:b/>
          <w:szCs w:val="32"/>
        </w:rPr>
        <w:t xml:space="preserve">    第</w:t>
      </w:r>
      <w:r>
        <w:rPr>
          <w:rFonts w:hint="eastAsia" w:eastAsia="仿宋_GB2312"/>
          <w:b/>
          <w:szCs w:val="32"/>
        </w:rPr>
        <w:t>五</w:t>
      </w:r>
      <w:r>
        <w:rPr>
          <w:rFonts w:eastAsia="仿宋_GB2312"/>
          <w:b/>
          <w:szCs w:val="32"/>
        </w:rPr>
        <w:t xml:space="preserve">条  </w:t>
      </w:r>
      <w:r>
        <w:rPr>
          <w:rFonts w:eastAsia="仿宋_GB2312"/>
          <w:bCs/>
          <w:szCs w:val="32"/>
        </w:rPr>
        <w:t>母基金由</w:t>
      </w:r>
      <w:r>
        <w:rPr>
          <w:rFonts w:hint="eastAsia" w:eastAsia="仿宋_GB2312"/>
          <w:bCs/>
          <w:szCs w:val="32"/>
        </w:rPr>
        <w:t>区管委会委托财政局</w:t>
      </w:r>
      <w:r>
        <w:rPr>
          <w:rFonts w:hint="eastAsia" w:ascii="仿宋_GB2312" w:hAnsi="仿宋_GB2312" w:eastAsia="仿宋_GB2312" w:cs="仿宋_GB2312"/>
          <w:bCs/>
          <w:szCs w:val="32"/>
        </w:rPr>
        <w:t>会同</w:t>
      </w:r>
      <w:r>
        <w:rPr>
          <w:rFonts w:hint="eastAsia" w:eastAsia="仿宋_GB2312"/>
          <w:bCs/>
          <w:szCs w:val="32"/>
        </w:rPr>
        <w:t>中山火炬公有资产经营有限公司（以下简称“公有资产公司”）</w:t>
      </w:r>
      <w:r>
        <w:rPr>
          <w:rFonts w:hint="eastAsia" w:ascii="仿宋_GB2312" w:hAnsi="仿宋_GB2312" w:eastAsia="仿宋_GB2312" w:cs="仿宋_GB2312"/>
          <w:bCs/>
          <w:szCs w:val="32"/>
        </w:rPr>
        <w:t>做好母基金监督考核和绩效评价工作</w:t>
      </w:r>
      <w:r>
        <w:rPr>
          <w:rFonts w:eastAsia="仿宋_GB2312"/>
          <w:bCs/>
          <w:szCs w:val="32"/>
        </w:rPr>
        <w:t>，具体的执行工作由区管委会授权母基金投资决策委员会</w:t>
      </w:r>
      <w:r>
        <w:rPr>
          <w:rFonts w:eastAsia="仿宋_GB2312"/>
          <w:szCs w:val="32"/>
        </w:rPr>
        <w:t>（以下简称“投委会”）</w:t>
      </w:r>
      <w:r>
        <w:rPr>
          <w:rFonts w:eastAsia="仿宋_GB2312"/>
          <w:bCs/>
          <w:szCs w:val="32"/>
        </w:rPr>
        <w:t>负责。</w:t>
      </w:r>
      <w:r>
        <w:rPr>
          <w:rFonts w:hint="eastAsia" w:eastAsia="仿宋_GB2312"/>
          <w:bCs/>
          <w:szCs w:val="32"/>
        </w:rPr>
        <w:t>投委会由7名成员组成，其中</w:t>
      </w:r>
      <w:r>
        <w:rPr>
          <w:rFonts w:eastAsia="仿宋_GB2312"/>
          <w:bCs/>
          <w:szCs w:val="32"/>
        </w:rPr>
        <w:t>，</w:t>
      </w:r>
      <w:r>
        <w:rPr>
          <w:rFonts w:hint="eastAsia" w:eastAsia="仿宋_GB2312"/>
          <w:bCs/>
          <w:szCs w:val="32"/>
        </w:rPr>
        <w:t>由公有资产经公司、广东南朗投资有限公司（以下简称“南朗投资公司”）、中山火炬电子产业基金管理有限公司（以下简称“电子基金管理公司”）、 中山火炬工业集团有限公司（以下简称“工业集团”）、中山市健康基地集团有限公司（以下简称“健康基地集团”）、中山市张家边企业集团有限公司（以下简称“张企集团”）各委派人员1名，并由</w:t>
      </w:r>
      <w:r>
        <w:rPr>
          <w:rFonts w:eastAsia="仿宋_GB2312"/>
          <w:bCs/>
          <w:szCs w:val="32"/>
        </w:rPr>
        <w:t>母基金</w:t>
      </w:r>
      <w:r>
        <w:rPr>
          <w:rFonts w:hint="eastAsia" w:eastAsia="仿宋_GB2312"/>
          <w:bCs/>
          <w:szCs w:val="32"/>
        </w:rPr>
        <w:t>外聘专家1名。</w:t>
      </w:r>
    </w:p>
    <w:p>
      <w:pPr>
        <w:spacing w:line="312" w:lineRule="auto"/>
        <w:rPr>
          <w:rFonts w:eastAsia="仿宋_GB2312"/>
          <w:szCs w:val="32"/>
        </w:rPr>
      </w:pPr>
      <w:r>
        <w:rPr>
          <w:rFonts w:eastAsia="仿宋_GB2312"/>
          <w:b/>
          <w:szCs w:val="32"/>
        </w:rPr>
        <w:t xml:space="preserve">    第</w:t>
      </w:r>
      <w:r>
        <w:rPr>
          <w:rFonts w:hint="eastAsia" w:eastAsia="仿宋_GB2312"/>
          <w:b/>
          <w:szCs w:val="32"/>
        </w:rPr>
        <w:t>六</w:t>
      </w:r>
      <w:r>
        <w:rPr>
          <w:rFonts w:eastAsia="仿宋_GB2312"/>
          <w:b/>
          <w:szCs w:val="32"/>
        </w:rPr>
        <w:t>条</w:t>
      </w:r>
      <w:r>
        <w:rPr>
          <w:rFonts w:eastAsia="仿宋_GB2312"/>
          <w:szCs w:val="32"/>
        </w:rPr>
        <w:t xml:space="preserve"> </w:t>
      </w:r>
      <w:r>
        <w:rPr>
          <w:rFonts w:hint="eastAsia" w:eastAsia="仿宋_GB2312"/>
          <w:szCs w:val="32"/>
        </w:rPr>
        <w:t xml:space="preserve"> </w:t>
      </w:r>
      <w:r>
        <w:rPr>
          <w:rFonts w:eastAsia="仿宋_GB2312"/>
          <w:bCs/>
          <w:szCs w:val="32"/>
        </w:rPr>
        <w:t>对单个子基金</w:t>
      </w:r>
      <w:r>
        <w:rPr>
          <w:rFonts w:eastAsia="仿宋_GB2312"/>
          <w:szCs w:val="32"/>
        </w:rPr>
        <w:t>投资额度原则上不超母基金规模的20%，对于政府重点鼓励发展的产业，经批准可适当放宽比例，但最高不超过30%。</w:t>
      </w:r>
    </w:p>
    <w:p>
      <w:pPr>
        <w:spacing w:line="312" w:lineRule="auto"/>
        <w:rPr>
          <w:rFonts w:eastAsia="仿宋_GB2312"/>
          <w:szCs w:val="32"/>
        </w:rPr>
      </w:pPr>
      <w:r>
        <w:rPr>
          <w:rFonts w:eastAsia="仿宋_GB2312"/>
          <w:szCs w:val="32"/>
        </w:rPr>
        <w:t xml:space="preserve">    投委会表决实行多数原则</w:t>
      </w:r>
      <w:r>
        <w:rPr>
          <w:rFonts w:hint="eastAsia" w:eastAsia="仿宋_GB2312"/>
          <w:szCs w:val="32"/>
        </w:rPr>
        <w:t>。投委会</w:t>
      </w:r>
      <w:r>
        <w:rPr>
          <w:rFonts w:eastAsia="仿宋_GB2312"/>
          <w:szCs w:val="32"/>
        </w:rPr>
        <w:t>在</w:t>
      </w:r>
      <w:r>
        <w:rPr>
          <w:rFonts w:hint="eastAsia" w:eastAsia="仿宋_GB2312"/>
          <w:szCs w:val="32"/>
        </w:rPr>
        <w:t>表决</w:t>
      </w:r>
      <w:r>
        <w:rPr>
          <w:rFonts w:eastAsia="仿宋_GB2312"/>
          <w:szCs w:val="32"/>
        </w:rPr>
        <w:t>前，</w:t>
      </w:r>
      <w:r>
        <w:rPr>
          <w:rFonts w:hint="eastAsia" w:eastAsia="仿宋_GB2312"/>
          <w:szCs w:val="32"/>
        </w:rPr>
        <w:t>应</w:t>
      </w:r>
      <w:r>
        <w:rPr>
          <w:rFonts w:eastAsia="仿宋_GB2312"/>
          <w:szCs w:val="32"/>
        </w:rPr>
        <w:t>充分听取专家评审的意见；投委会有4人或以上的成员同意</w:t>
      </w:r>
      <w:r>
        <w:rPr>
          <w:rFonts w:hint="eastAsia" w:eastAsia="仿宋_GB2312"/>
          <w:szCs w:val="32"/>
        </w:rPr>
        <w:t>的</w:t>
      </w:r>
      <w:r>
        <w:rPr>
          <w:rFonts w:eastAsia="仿宋_GB2312"/>
          <w:szCs w:val="32"/>
        </w:rPr>
        <w:t>，</w:t>
      </w:r>
      <w:r>
        <w:rPr>
          <w:rFonts w:hint="eastAsia" w:eastAsia="仿宋_GB2312"/>
          <w:szCs w:val="32"/>
        </w:rPr>
        <w:t>审议事项方可</w:t>
      </w:r>
      <w:r>
        <w:rPr>
          <w:rFonts w:eastAsia="仿宋_GB2312"/>
          <w:szCs w:val="32"/>
        </w:rPr>
        <w:t>通过。</w:t>
      </w:r>
    </w:p>
    <w:p>
      <w:pPr>
        <w:spacing w:line="312" w:lineRule="auto"/>
        <w:rPr>
          <w:rFonts w:eastAsia="仿宋_GB2312"/>
          <w:szCs w:val="32"/>
        </w:rPr>
      </w:pPr>
      <w:r>
        <w:rPr>
          <w:rFonts w:eastAsia="仿宋_GB2312"/>
          <w:szCs w:val="32"/>
        </w:rPr>
        <w:t xml:space="preserve">    如果存在投委会成员自己组建和管理子基金、二级母基金</w:t>
      </w:r>
      <w:r>
        <w:rPr>
          <w:rFonts w:hint="eastAsia" w:eastAsia="仿宋_GB2312"/>
          <w:szCs w:val="32"/>
        </w:rPr>
        <w:t>等</w:t>
      </w:r>
      <w:r>
        <w:rPr>
          <w:rFonts w:eastAsia="仿宋_GB2312"/>
          <w:szCs w:val="32"/>
        </w:rPr>
        <w:t>关联交易情形的，关联方实行投票回避制度；如多人回避情况下，投票规则可以另行设定，由公有资产公司另外邀请有经验的区属总公司或其他有相关专业人员投票表决。</w:t>
      </w:r>
    </w:p>
    <w:p>
      <w:pPr>
        <w:spacing w:line="312" w:lineRule="auto"/>
        <w:rPr>
          <w:rFonts w:eastAsia="仿宋_GB2312"/>
          <w:szCs w:val="32"/>
        </w:rPr>
      </w:pPr>
      <w:r>
        <w:rPr>
          <w:rFonts w:eastAsia="仿宋_GB2312"/>
          <w:b/>
          <w:szCs w:val="32"/>
        </w:rPr>
        <w:t xml:space="preserve">    第</w:t>
      </w:r>
      <w:r>
        <w:rPr>
          <w:rFonts w:hint="eastAsia" w:eastAsia="仿宋_GB2312"/>
          <w:b/>
          <w:szCs w:val="32"/>
        </w:rPr>
        <w:t>七</w:t>
      </w:r>
      <w:r>
        <w:rPr>
          <w:rFonts w:eastAsia="仿宋_GB2312"/>
          <w:b/>
          <w:szCs w:val="32"/>
        </w:rPr>
        <w:t xml:space="preserve">条 </w:t>
      </w:r>
      <w:r>
        <w:rPr>
          <w:rFonts w:hint="eastAsia" w:eastAsia="仿宋_GB2312"/>
          <w:b/>
          <w:szCs w:val="32"/>
        </w:rPr>
        <w:t xml:space="preserve"> </w:t>
      </w:r>
      <w:r>
        <w:rPr>
          <w:rFonts w:eastAsia="仿宋_GB2312"/>
          <w:szCs w:val="32"/>
        </w:rPr>
        <w:t>投委会主要职责如下：</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（一）审议母基金的投资和退出；</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（二）审议母基金的相关管理制度；</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（三）审议母基金的年度运营情况报告和审计报告；</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（四）决定母基金有关的其他重大事项。</w:t>
      </w:r>
    </w:p>
    <w:p>
      <w:pPr>
        <w:spacing w:line="312" w:lineRule="auto"/>
        <w:rPr>
          <w:rFonts w:eastAsia="仿宋_GB2312"/>
          <w:szCs w:val="32"/>
        </w:rPr>
      </w:pPr>
      <w:r>
        <w:rPr>
          <w:rFonts w:eastAsia="仿宋_GB2312"/>
          <w:b/>
          <w:szCs w:val="32"/>
        </w:rPr>
        <w:t xml:space="preserve">    第</w:t>
      </w:r>
      <w:r>
        <w:rPr>
          <w:rFonts w:hint="eastAsia" w:eastAsia="仿宋_GB2312"/>
          <w:b/>
          <w:szCs w:val="32"/>
        </w:rPr>
        <w:t>八</w:t>
      </w:r>
      <w:r>
        <w:rPr>
          <w:rFonts w:eastAsia="仿宋_GB2312"/>
          <w:b/>
          <w:szCs w:val="32"/>
        </w:rPr>
        <w:t xml:space="preserve">条 </w:t>
      </w:r>
      <w:r>
        <w:rPr>
          <w:rFonts w:hint="eastAsia" w:eastAsia="仿宋_GB2312"/>
          <w:b/>
          <w:szCs w:val="32"/>
        </w:rPr>
        <w:t xml:space="preserve"> </w:t>
      </w:r>
      <w:r>
        <w:rPr>
          <w:rFonts w:hint="eastAsia" w:eastAsia="仿宋_GB2312"/>
          <w:szCs w:val="32"/>
        </w:rPr>
        <w:t>电子基金管理公司作为母基金的基金管理人，负责：</w:t>
      </w:r>
    </w:p>
    <w:p>
      <w:pPr>
        <w:spacing w:line="312" w:lineRule="auto"/>
        <w:rPr>
          <w:rFonts w:eastAsia="仿宋_GB2312"/>
          <w:szCs w:val="32"/>
        </w:rPr>
      </w:pPr>
      <w:r>
        <w:rPr>
          <w:rFonts w:hint="eastAsia" w:eastAsia="仿宋_GB2312"/>
          <w:szCs w:val="32"/>
        </w:rPr>
        <w:t xml:space="preserve">    （一）拟定母基金相关管理制度；</w:t>
      </w:r>
    </w:p>
    <w:p>
      <w:pPr>
        <w:spacing w:line="312" w:lineRule="auto"/>
        <w:rPr>
          <w:rFonts w:eastAsia="仿宋_GB2312"/>
          <w:szCs w:val="32"/>
        </w:rPr>
      </w:pPr>
      <w:r>
        <w:rPr>
          <w:rFonts w:hint="eastAsia" w:eastAsia="仿宋_GB2312"/>
          <w:szCs w:val="32"/>
        </w:rPr>
        <w:t xml:space="preserve">    （二）组建母基金投资评审专家库，制定母基金投资的专家评审方案，明确评审专家要求、评审体系等内容；</w:t>
      </w:r>
    </w:p>
    <w:p>
      <w:pPr>
        <w:spacing w:line="312" w:lineRule="auto"/>
        <w:rPr>
          <w:rFonts w:eastAsia="仿宋_GB2312"/>
          <w:szCs w:val="32"/>
        </w:rPr>
      </w:pPr>
      <w:r>
        <w:rPr>
          <w:rFonts w:hint="eastAsia" w:eastAsia="仿宋_GB2312"/>
          <w:szCs w:val="32"/>
        </w:rPr>
        <w:t xml:space="preserve">    （三）对拟投资的子基金、二级母基金或其它合作方进行审查、尽职调查、分析、前期投资谈判等，在审慎基础上提出初审投资方案及意见；</w:t>
      </w:r>
    </w:p>
    <w:p>
      <w:pPr>
        <w:spacing w:line="312" w:lineRule="auto"/>
        <w:rPr>
          <w:rFonts w:eastAsia="仿宋_GB2312"/>
          <w:szCs w:val="32"/>
        </w:rPr>
      </w:pPr>
      <w:r>
        <w:rPr>
          <w:rFonts w:hint="eastAsia" w:eastAsia="仿宋_GB2312"/>
          <w:szCs w:val="32"/>
        </w:rPr>
        <w:t xml:space="preserve">    （四）组织召开母基金投资决策会议，细化及实施母基金的具体投资方案及退出方案；</w:t>
      </w:r>
    </w:p>
    <w:p>
      <w:pPr>
        <w:spacing w:line="312" w:lineRule="auto"/>
        <w:rPr>
          <w:rFonts w:eastAsia="仿宋_GB2312"/>
          <w:szCs w:val="32"/>
        </w:rPr>
      </w:pPr>
      <w:r>
        <w:rPr>
          <w:rFonts w:hint="eastAsia" w:eastAsia="仿宋_GB2312"/>
          <w:szCs w:val="32"/>
        </w:rPr>
        <w:t xml:space="preserve">    （五）管理母基金以出资额为限对参股投资基金承担有限责任，代表母基金对参股投资基金行使出资人权利，监督、指导其投资运作及运营管理；</w:t>
      </w:r>
    </w:p>
    <w:p>
      <w:pPr>
        <w:spacing w:line="312" w:lineRule="auto"/>
        <w:rPr>
          <w:rFonts w:eastAsia="仿宋_GB2312"/>
          <w:szCs w:val="32"/>
        </w:rPr>
      </w:pPr>
      <w:r>
        <w:rPr>
          <w:rFonts w:hint="eastAsia" w:eastAsia="仿宋_GB2312"/>
          <w:szCs w:val="32"/>
        </w:rPr>
        <w:t xml:space="preserve">    （六）报告母基金、二级母基金及参股投资子基金的投资运作情况及其他重大事项，每年度对母基金的运营管理情况做出自评报告，接受政府主管部门的监督；</w:t>
      </w:r>
    </w:p>
    <w:p>
      <w:pPr>
        <w:spacing w:line="312" w:lineRule="auto"/>
        <w:rPr>
          <w:rFonts w:eastAsia="仿宋_GB2312"/>
          <w:b/>
          <w:szCs w:val="32"/>
        </w:rPr>
      </w:pPr>
      <w:r>
        <w:rPr>
          <w:rFonts w:hint="eastAsia" w:eastAsia="仿宋_GB2312"/>
          <w:szCs w:val="32"/>
        </w:rPr>
        <w:t xml:space="preserve">    （七）相关法律法规规定的其它职责。</w:t>
      </w:r>
    </w:p>
    <w:p>
      <w:pPr>
        <w:spacing w:line="312" w:lineRule="auto"/>
        <w:rPr>
          <w:rFonts w:eastAsia="仿宋_GB2312"/>
          <w:szCs w:val="32"/>
        </w:rPr>
      </w:pPr>
      <w:r>
        <w:rPr>
          <w:rFonts w:eastAsia="仿宋_GB2312"/>
          <w:b/>
          <w:szCs w:val="32"/>
        </w:rPr>
        <w:t xml:space="preserve">    第</w:t>
      </w:r>
      <w:r>
        <w:rPr>
          <w:rFonts w:hint="eastAsia" w:eastAsia="仿宋_GB2312"/>
          <w:b/>
          <w:szCs w:val="32"/>
        </w:rPr>
        <w:t>九</w:t>
      </w:r>
      <w:r>
        <w:rPr>
          <w:rFonts w:eastAsia="仿宋_GB2312"/>
          <w:b/>
          <w:szCs w:val="32"/>
        </w:rPr>
        <w:t xml:space="preserve">条 </w:t>
      </w:r>
      <w:r>
        <w:rPr>
          <w:rFonts w:hint="eastAsia" w:eastAsia="仿宋_GB2312"/>
          <w:b/>
          <w:szCs w:val="32"/>
        </w:rPr>
        <w:t xml:space="preserve"> </w:t>
      </w:r>
      <w:r>
        <w:rPr>
          <w:rFonts w:eastAsia="仿宋_GB2312"/>
          <w:szCs w:val="32"/>
        </w:rPr>
        <w:t>公有资产公司受区管委会委托作为母基金出资人，设立银行专用账户，实行专款专用。</w:t>
      </w:r>
    </w:p>
    <w:p>
      <w:pPr>
        <w:spacing w:line="312" w:lineRule="auto"/>
      </w:pPr>
      <w:r>
        <w:rPr>
          <w:rFonts w:eastAsia="仿宋_GB2312"/>
          <w:b/>
          <w:szCs w:val="32"/>
        </w:rPr>
        <w:t xml:space="preserve">    </w:t>
      </w:r>
    </w:p>
    <w:p>
      <w:pPr>
        <w:pStyle w:val="15"/>
        <w:spacing w:before="0" w:beforeAutospacing="0" w:after="0" w:afterAutospacing="0" w:line="312"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第三章 运作方式</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    第十条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母基金按照“政府引导、市场运作、科学决策、防范风险”的原则进行投资运作。</w:t>
      </w:r>
    </w:p>
    <w:p>
      <w:pPr>
        <w:pStyle w:val="15"/>
        <w:spacing w:before="0" w:beforeAutospacing="0" w:after="0" w:afterAutospacing="0" w:line="312" w:lineRule="auto"/>
        <w:jc w:val="both"/>
        <w:rPr>
          <w:rFonts w:ascii="Times New Roman" w:hAnsi="Times New Roman" w:eastAsia="仿宋_GB2312" w:cs="Times New Roman"/>
          <w:sz w:val="32"/>
          <w:szCs w:val="32"/>
          <w:highlight w:val="yellow"/>
        </w:rPr>
      </w:pPr>
      <w:r>
        <w:rPr>
          <w:rFonts w:ascii="Times New Roman" w:hAnsi="Times New Roman" w:eastAsia="仿宋_GB2312" w:cs="Times New Roman"/>
          <w:b/>
          <w:sz w:val="32"/>
          <w:szCs w:val="32"/>
        </w:rPr>
        <w:t xml:space="preserve">    第十一条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母基金主要采取参股投资的方式运作，主要用于参股投资子基金，</w:t>
      </w:r>
      <w:r>
        <w:rPr>
          <w:rFonts w:hint="eastAsia" w:ascii="Times New Roman" w:hAnsi="Times New Roman" w:eastAsia="仿宋_GB2312" w:cs="Times New Roman"/>
          <w:sz w:val="32"/>
          <w:szCs w:val="32"/>
        </w:rPr>
        <w:t>也可根据情况投资设立二级母基金，可以通过母基金或二级母基金投资设立子基金对外进行投资，投资设立的子基金分为市场化运作的股权投资基金、行业并购基金以及政策性的种子基金、天使投资基金等。</w:t>
      </w:r>
      <w:r>
        <w:rPr>
          <w:rFonts w:ascii="Times New Roman" w:hAnsi="Times New Roman" w:eastAsia="仿宋_GB2312" w:cs="Times New Roman"/>
          <w:sz w:val="32"/>
          <w:szCs w:val="32"/>
        </w:rPr>
        <w:t>二级母基金可适用本管理办法中母基金的资金来源、运作方式等相关规定和政策，二级母基金投资设立的子基金可适用本管理办法中母基金投资设立的子基金的相关规定和政策。</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    第十二条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母基金对参股投资基金的具体要求如下：</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（一）投资规模。母基金的参股比例原则上不超过参股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基金注册资本或实际出资额的20％，且不得成为</w:t>
      </w:r>
      <w:r>
        <w:rPr>
          <w:rFonts w:hint="eastAsia" w:ascii="Times New Roman" w:hAnsi="Times New Roman" w:eastAsia="仿宋_GB2312" w:cs="Times New Roman"/>
          <w:sz w:val="32"/>
          <w:szCs w:val="32"/>
        </w:rPr>
        <w:t>参股投资基金</w:t>
      </w:r>
      <w:r>
        <w:rPr>
          <w:rFonts w:ascii="Times New Roman" w:hAnsi="Times New Roman" w:eastAsia="仿宋_GB2312" w:cs="Times New Roman"/>
          <w:sz w:val="32"/>
          <w:szCs w:val="32"/>
        </w:rPr>
        <w:t>的第一大出资人，投资设立二级母基金的除外；</w:t>
      </w:r>
      <w:r>
        <w:rPr>
          <w:rFonts w:hint="eastAsia" w:ascii="Times New Roman" w:hAnsi="Times New Roman" w:eastAsia="仿宋_GB2312" w:cs="Times New Roman"/>
          <w:sz w:val="32"/>
          <w:szCs w:val="32"/>
        </w:rPr>
        <w:t>对于投资领域为政府鼓励发展的产业、或基金管理机构过往业绩较好、或返投能力强的，经批准可适当放宽参股比例，但最高不超40%。</w:t>
      </w:r>
    </w:p>
    <w:p>
      <w:pPr>
        <w:spacing w:line="312" w:lineRule="auto"/>
        <w:ind w:firstLine="690"/>
        <w:rPr>
          <w:rFonts w:eastAsia="仿宋_GB2312"/>
          <w:kern w:val="0"/>
          <w:szCs w:val="32"/>
        </w:rPr>
      </w:pPr>
      <w:r>
        <w:rPr>
          <w:rFonts w:eastAsia="仿宋_GB2312"/>
          <w:kern w:val="0"/>
          <w:szCs w:val="32"/>
        </w:rPr>
        <w:t>（二）基金投向。参股投资基金应重点投资于符合我区、乃至我市产业发展规划的企业。</w:t>
      </w:r>
      <w:r>
        <w:rPr>
          <w:rFonts w:hint="eastAsia" w:eastAsia="仿宋_GB2312"/>
          <w:szCs w:val="32"/>
        </w:rPr>
        <w:t>对于注册在火炬开发区的参股投资基金，</w:t>
      </w:r>
      <w:r>
        <w:rPr>
          <w:rFonts w:hint="eastAsia" w:eastAsia="仿宋_GB2312"/>
          <w:kern w:val="0"/>
          <w:szCs w:val="32"/>
        </w:rPr>
        <w:t>其存续期内，如投资于中山市的资金总额的计算主体及范围包括下述第1-3项的，其投资于中山市的资金总额不低于母基金实缴出资额的1倍；如投资于中山市的资金总额的计算主体及范围包括下述第1-4项的，其投资于中山市的资金总额不低于母基金实缴出资额的1.5倍。</w:t>
      </w:r>
      <w:r>
        <w:rPr>
          <w:rFonts w:hint="eastAsia" w:eastAsia="仿宋_GB2312"/>
          <w:szCs w:val="32"/>
        </w:rPr>
        <w:t>对于注册在火炬开发区外的参股投资基金，</w:t>
      </w:r>
      <w:r>
        <w:rPr>
          <w:rFonts w:hint="eastAsia" w:eastAsia="仿宋_GB2312"/>
          <w:kern w:val="0"/>
          <w:szCs w:val="32"/>
        </w:rPr>
        <w:t>其存续期内，投资于中山市的资金总额不低于母基金实缴出资额的2倍</w:t>
      </w:r>
      <w:r>
        <w:rPr>
          <w:rFonts w:eastAsia="仿宋_GB2312"/>
          <w:kern w:val="0"/>
          <w:szCs w:val="32"/>
        </w:rPr>
        <w:t>。</w:t>
      </w:r>
    </w:p>
    <w:p>
      <w:pPr>
        <w:spacing w:line="312" w:lineRule="auto"/>
        <w:ind w:firstLine="664" w:firstLineChars="200"/>
        <w:rPr>
          <w:rFonts w:eastAsia="仿宋_GB2312"/>
          <w:kern w:val="0"/>
          <w:szCs w:val="32"/>
        </w:rPr>
      </w:pPr>
      <w:r>
        <w:rPr>
          <w:rFonts w:eastAsia="仿宋_GB2312"/>
          <w:kern w:val="0"/>
          <w:szCs w:val="32"/>
        </w:rPr>
        <w:t>上述投资于中山</w:t>
      </w:r>
      <w:r>
        <w:rPr>
          <w:rFonts w:hint="eastAsia" w:eastAsia="仿宋_GB2312"/>
          <w:kern w:val="0"/>
          <w:szCs w:val="32"/>
        </w:rPr>
        <w:t>市</w:t>
      </w:r>
      <w:r>
        <w:rPr>
          <w:rFonts w:eastAsia="仿宋_GB2312"/>
          <w:kern w:val="0"/>
          <w:szCs w:val="32"/>
        </w:rPr>
        <w:t>的资金总额</w:t>
      </w:r>
      <w:r>
        <w:rPr>
          <w:rFonts w:hint="eastAsia" w:eastAsia="仿宋_GB2312"/>
          <w:kern w:val="0"/>
          <w:szCs w:val="32"/>
        </w:rPr>
        <w:t>的计算主体及范围</w:t>
      </w:r>
      <w:r>
        <w:rPr>
          <w:rFonts w:eastAsia="仿宋_GB2312"/>
          <w:kern w:val="0"/>
          <w:szCs w:val="32"/>
        </w:rPr>
        <w:t>包括：</w:t>
      </w:r>
    </w:p>
    <w:p>
      <w:pPr>
        <w:spacing w:line="312" w:lineRule="auto"/>
        <w:rPr>
          <w:rFonts w:eastAsia="仿宋_GB2312"/>
          <w:kern w:val="0"/>
          <w:szCs w:val="32"/>
        </w:rPr>
      </w:pPr>
      <w:r>
        <w:rPr>
          <w:rFonts w:eastAsia="仿宋_GB2312"/>
          <w:kern w:val="0"/>
          <w:szCs w:val="32"/>
        </w:rPr>
        <w:t xml:space="preserve">    1．该</w:t>
      </w:r>
      <w:r>
        <w:rPr>
          <w:rFonts w:hint="eastAsia" w:eastAsia="仿宋_GB2312"/>
          <w:kern w:val="0"/>
          <w:szCs w:val="32"/>
        </w:rPr>
        <w:t>参股投资</w:t>
      </w:r>
      <w:r>
        <w:rPr>
          <w:rFonts w:eastAsia="仿宋_GB2312"/>
          <w:kern w:val="0"/>
          <w:szCs w:val="32"/>
        </w:rPr>
        <w:t>基金设立后对中山</w:t>
      </w:r>
      <w:r>
        <w:rPr>
          <w:rFonts w:hint="eastAsia" w:eastAsia="仿宋_GB2312"/>
          <w:kern w:val="0"/>
          <w:szCs w:val="32"/>
        </w:rPr>
        <w:t>市实际缴付</w:t>
      </w:r>
      <w:r>
        <w:rPr>
          <w:rFonts w:eastAsia="仿宋_GB2312"/>
          <w:kern w:val="0"/>
          <w:szCs w:val="32"/>
        </w:rPr>
        <w:t>的投资</w:t>
      </w:r>
      <w:r>
        <w:rPr>
          <w:rFonts w:hint="eastAsia" w:eastAsia="仿宋_GB2312"/>
          <w:kern w:val="0"/>
          <w:szCs w:val="32"/>
        </w:rPr>
        <w:t>金</w:t>
      </w:r>
      <w:r>
        <w:rPr>
          <w:rFonts w:eastAsia="仿宋_GB2312"/>
          <w:kern w:val="0"/>
          <w:szCs w:val="32"/>
        </w:rPr>
        <w:t>额；</w:t>
      </w:r>
    </w:p>
    <w:p>
      <w:pPr>
        <w:spacing w:line="312" w:lineRule="auto"/>
        <w:rPr>
          <w:rFonts w:eastAsia="仿宋_GB2312"/>
          <w:kern w:val="0"/>
          <w:szCs w:val="32"/>
        </w:rPr>
      </w:pPr>
      <w:r>
        <w:rPr>
          <w:rFonts w:eastAsia="仿宋_GB2312"/>
          <w:kern w:val="0"/>
          <w:szCs w:val="32"/>
        </w:rPr>
        <w:t xml:space="preserve">    2．</w:t>
      </w:r>
      <w:r>
        <w:rPr>
          <w:rFonts w:hint="eastAsia" w:eastAsia="仿宋_GB2312"/>
          <w:kern w:val="0"/>
          <w:szCs w:val="32"/>
        </w:rPr>
        <w:t>该</w:t>
      </w:r>
      <w:r>
        <w:rPr>
          <w:rFonts w:eastAsia="仿宋_GB2312"/>
          <w:kern w:val="0"/>
          <w:szCs w:val="32"/>
        </w:rPr>
        <w:t>基金管理机构发起或管理的其他基金，与该</w:t>
      </w:r>
      <w:r>
        <w:rPr>
          <w:rFonts w:hint="eastAsia" w:eastAsia="仿宋_GB2312"/>
          <w:kern w:val="0"/>
          <w:szCs w:val="32"/>
        </w:rPr>
        <w:t>参股投资</w:t>
      </w:r>
      <w:r>
        <w:rPr>
          <w:rFonts w:eastAsia="仿宋_GB2312"/>
          <w:kern w:val="0"/>
          <w:szCs w:val="32"/>
        </w:rPr>
        <w:t>基金对中山</w:t>
      </w:r>
      <w:r>
        <w:rPr>
          <w:rFonts w:hint="eastAsia" w:eastAsia="仿宋_GB2312"/>
          <w:kern w:val="0"/>
          <w:szCs w:val="32"/>
        </w:rPr>
        <w:t>市</w:t>
      </w:r>
      <w:r>
        <w:rPr>
          <w:rFonts w:eastAsia="仿宋_GB2312"/>
          <w:kern w:val="0"/>
          <w:szCs w:val="32"/>
        </w:rPr>
        <w:t>的联合投资</w:t>
      </w:r>
      <w:r>
        <w:rPr>
          <w:rFonts w:hint="eastAsia" w:eastAsia="仿宋_GB2312"/>
          <w:kern w:val="0"/>
          <w:szCs w:val="32"/>
        </w:rPr>
        <w:t>实际缴付的金</w:t>
      </w:r>
      <w:r>
        <w:rPr>
          <w:rFonts w:eastAsia="仿宋_GB2312"/>
          <w:kern w:val="0"/>
          <w:szCs w:val="32"/>
        </w:rPr>
        <w:t>额；</w:t>
      </w:r>
    </w:p>
    <w:p>
      <w:pPr>
        <w:spacing w:line="312" w:lineRule="auto"/>
        <w:ind w:firstLine="675"/>
        <w:rPr>
          <w:rFonts w:eastAsia="仿宋_GB2312"/>
          <w:kern w:val="0"/>
          <w:szCs w:val="32"/>
        </w:rPr>
      </w:pPr>
      <w:r>
        <w:rPr>
          <w:rFonts w:eastAsia="仿宋_GB2312"/>
          <w:kern w:val="0"/>
          <w:szCs w:val="32"/>
        </w:rPr>
        <w:t>3．</w:t>
      </w:r>
      <w:r>
        <w:rPr>
          <w:rFonts w:hint="eastAsia" w:eastAsia="仿宋_GB2312"/>
          <w:kern w:val="0"/>
          <w:szCs w:val="32"/>
        </w:rPr>
        <w:t>该</w:t>
      </w:r>
      <w:r>
        <w:rPr>
          <w:rFonts w:eastAsia="仿宋_GB2312"/>
          <w:kern w:val="0"/>
          <w:szCs w:val="32"/>
        </w:rPr>
        <w:t>基金管理机构的关联机构，与该</w:t>
      </w:r>
      <w:r>
        <w:rPr>
          <w:rFonts w:hint="eastAsia" w:eastAsia="仿宋_GB2312"/>
          <w:kern w:val="0"/>
          <w:szCs w:val="32"/>
        </w:rPr>
        <w:t>参股投资</w:t>
      </w:r>
      <w:r>
        <w:rPr>
          <w:rFonts w:eastAsia="仿宋_GB2312"/>
          <w:kern w:val="0"/>
          <w:szCs w:val="32"/>
        </w:rPr>
        <w:t>基金对中山</w:t>
      </w:r>
      <w:r>
        <w:rPr>
          <w:rFonts w:hint="eastAsia" w:eastAsia="仿宋_GB2312"/>
          <w:kern w:val="0"/>
          <w:szCs w:val="32"/>
        </w:rPr>
        <w:t>市</w:t>
      </w:r>
      <w:r>
        <w:rPr>
          <w:rFonts w:eastAsia="仿宋_GB2312"/>
          <w:kern w:val="0"/>
          <w:szCs w:val="32"/>
        </w:rPr>
        <w:t>的联合投资</w:t>
      </w:r>
      <w:r>
        <w:rPr>
          <w:rFonts w:hint="eastAsia" w:eastAsia="仿宋_GB2312"/>
          <w:kern w:val="0"/>
          <w:szCs w:val="32"/>
        </w:rPr>
        <w:t>实际缴付的金</w:t>
      </w:r>
      <w:r>
        <w:rPr>
          <w:rFonts w:eastAsia="仿宋_GB2312"/>
          <w:kern w:val="0"/>
          <w:szCs w:val="32"/>
        </w:rPr>
        <w:t>额。</w:t>
      </w:r>
    </w:p>
    <w:p>
      <w:pPr>
        <w:spacing w:line="312" w:lineRule="auto"/>
        <w:ind w:firstLine="675"/>
        <w:rPr>
          <w:rFonts w:eastAsia="仿宋_GB2312"/>
          <w:kern w:val="0"/>
          <w:szCs w:val="32"/>
        </w:rPr>
      </w:pPr>
      <w:r>
        <w:rPr>
          <w:rFonts w:hint="eastAsia" w:eastAsia="仿宋_GB2312"/>
          <w:kern w:val="0"/>
          <w:szCs w:val="32"/>
        </w:rPr>
        <w:t>4．在该参股投资基金的申报机构向母基金管理人提出申报并立项通过后，经该基金管理机构、母基金管理人、企业方三方书面确认的，该基金管理机构推荐落地中山的企业的实际缴付的金额。</w:t>
      </w:r>
    </w:p>
    <w:p>
      <w:pPr>
        <w:spacing w:line="312" w:lineRule="auto"/>
        <w:ind w:firstLine="675"/>
        <w:rPr>
          <w:rFonts w:eastAsia="仿宋_GB2312"/>
          <w:kern w:val="0"/>
          <w:szCs w:val="32"/>
        </w:rPr>
      </w:pPr>
      <w:r>
        <w:rPr>
          <w:rFonts w:hint="eastAsia" w:eastAsia="仿宋_GB2312"/>
          <w:kern w:val="0"/>
          <w:szCs w:val="32"/>
        </w:rPr>
        <w:t>上述</w:t>
      </w:r>
      <w:r>
        <w:rPr>
          <w:rFonts w:eastAsia="仿宋_GB2312"/>
          <w:kern w:val="0"/>
          <w:szCs w:val="32"/>
        </w:rPr>
        <w:t>投资于中山</w:t>
      </w:r>
      <w:r>
        <w:rPr>
          <w:rFonts w:hint="eastAsia" w:eastAsia="仿宋_GB2312"/>
          <w:kern w:val="0"/>
          <w:szCs w:val="32"/>
        </w:rPr>
        <w:t>市</w:t>
      </w:r>
      <w:r>
        <w:rPr>
          <w:rFonts w:eastAsia="仿宋_GB2312"/>
          <w:kern w:val="0"/>
          <w:szCs w:val="32"/>
        </w:rPr>
        <w:t>的资金总额</w:t>
      </w:r>
      <w:r>
        <w:rPr>
          <w:rFonts w:hint="eastAsia" w:eastAsia="仿宋_GB2312"/>
          <w:kern w:val="0"/>
          <w:szCs w:val="32"/>
        </w:rPr>
        <w:t>的计算基数</w:t>
      </w:r>
      <w:r>
        <w:rPr>
          <w:rFonts w:eastAsia="仿宋_GB2312"/>
          <w:kern w:val="0"/>
          <w:szCs w:val="32"/>
        </w:rPr>
        <w:t>包括：</w:t>
      </w:r>
    </w:p>
    <w:p>
      <w:pPr>
        <w:spacing w:line="312" w:lineRule="auto"/>
        <w:ind w:firstLine="675"/>
        <w:rPr>
          <w:rFonts w:eastAsia="仿宋_GB2312"/>
          <w:kern w:val="0"/>
          <w:szCs w:val="32"/>
        </w:rPr>
      </w:pPr>
      <w:r>
        <w:rPr>
          <w:rFonts w:hint="eastAsia" w:eastAsia="仿宋_GB2312"/>
          <w:kern w:val="0"/>
          <w:szCs w:val="32"/>
        </w:rPr>
        <w:t>1</w:t>
      </w:r>
      <w:r>
        <w:rPr>
          <w:rFonts w:eastAsia="仿宋_GB2312"/>
          <w:kern w:val="0"/>
          <w:szCs w:val="32"/>
        </w:rPr>
        <w:t>.</w:t>
      </w:r>
      <w:r>
        <w:rPr>
          <w:rFonts w:hint="eastAsia" w:eastAsia="仿宋_GB2312"/>
          <w:kern w:val="0"/>
          <w:szCs w:val="32"/>
        </w:rPr>
        <w:t xml:space="preserve"> 上述第（二）项规定的计算主体所投资或联合投资的中山市企业的实际投资金额；</w:t>
      </w:r>
    </w:p>
    <w:p>
      <w:pPr>
        <w:spacing w:line="312" w:lineRule="auto"/>
        <w:ind w:firstLine="675"/>
        <w:rPr>
          <w:rFonts w:eastAsia="仿宋_GB2312"/>
          <w:kern w:val="0"/>
          <w:szCs w:val="32"/>
        </w:rPr>
      </w:pPr>
      <w:r>
        <w:rPr>
          <w:rFonts w:hint="eastAsia" w:eastAsia="仿宋_GB2312"/>
          <w:kern w:val="0"/>
          <w:szCs w:val="32"/>
        </w:rPr>
        <w:t>2</w:t>
      </w:r>
      <w:r>
        <w:rPr>
          <w:rFonts w:eastAsia="仿宋_GB2312"/>
          <w:kern w:val="0"/>
          <w:szCs w:val="32"/>
        </w:rPr>
        <w:t xml:space="preserve">. </w:t>
      </w:r>
      <w:r>
        <w:rPr>
          <w:rFonts w:hint="eastAsia" w:eastAsia="仿宋_GB2312"/>
          <w:kern w:val="0"/>
          <w:szCs w:val="32"/>
        </w:rPr>
        <w:t>上述第（二）项规定的计算主体所投资或联合投资或推荐的中山市外企业在中山设立子公司或迁址到中山市的，按该子公司或迁址到中山市的主体的实缴注册资本或在中山市的固定资产投资金额计算。</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（三）存续期限。参股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基金的存续期限原则上为5-10年，对以投资中后期拟IPO项目为主或者并购项目为主的子基金应适当缩短存续期限。</w:t>
      </w:r>
    </w:p>
    <w:p>
      <w:pPr>
        <w:pStyle w:val="5"/>
        <w:spacing w:line="312" w:lineRule="auto"/>
        <w:jc w:val="both"/>
        <w:rPr>
          <w:rFonts w:eastAsia="仿宋_GB2312"/>
          <w:szCs w:val="32"/>
        </w:rPr>
      </w:pPr>
      <w:r>
        <w:rPr>
          <w:rFonts w:eastAsia="仿宋_GB2312"/>
          <w:szCs w:val="32"/>
        </w:rPr>
        <w:t xml:space="preserve">    （四）委托管理。参股</w:t>
      </w:r>
      <w:r>
        <w:rPr>
          <w:rFonts w:hint="eastAsia" w:eastAsia="仿宋_GB2312"/>
          <w:szCs w:val="32"/>
        </w:rPr>
        <w:t>投资</w:t>
      </w:r>
      <w:r>
        <w:rPr>
          <w:rFonts w:eastAsia="仿宋_GB2312"/>
          <w:szCs w:val="32"/>
        </w:rPr>
        <w:t>基金</w:t>
      </w:r>
      <w:r>
        <w:rPr>
          <w:rFonts w:hint="eastAsia" w:eastAsia="仿宋_GB2312"/>
          <w:szCs w:val="32"/>
        </w:rPr>
        <w:t>的</w:t>
      </w:r>
      <w:r>
        <w:rPr>
          <w:rFonts w:eastAsia="仿宋_GB2312"/>
          <w:szCs w:val="32"/>
        </w:rPr>
        <w:t>法人治理结构必须符合法律</w:t>
      </w:r>
      <w:r>
        <w:rPr>
          <w:rFonts w:hint="eastAsia" w:eastAsia="仿宋_GB2312"/>
          <w:szCs w:val="32"/>
        </w:rPr>
        <w:t>、法规</w:t>
      </w:r>
      <w:r>
        <w:rPr>
          <w:rFonts w:eastAsia="仿宋_GB2312"/>
          <w:szCs w:val="32"/>
        </w:rPr>
        <w:t>要求</w:t>
      </w:r>
      <w:r>
        <w:rPr>
          <w:rFonts w:hint="eastAsia" w:eastAsia="仿宋_GB2312"/>
          <w:szCs w:val="32"/>
        </w:rPr>
        <w:t>；</w:t>
      </w:r>
      <w:r>
        <w:rPr>
          <w:rFonts w:eastAsia="仿宋_GB2312"/>
          <w:szCs w:val="32"/>
        </w:rPr>
        <w:t>委托专业基金管理机构负责参股</w:t>
      </w:r>
      <w:r>
        <w:rPr>
          <w:rFonts w:hint="eastAsia" w:eastAsia="仿宋_GB2312"/>
          <w:szCs w:val="32"/>
        </w:rPr>
        <w:t>投资</w:t>
      </w:r>
      <w:r>
        <w:rPr>
          <w:rFonts w:eastAsia="仿宋_GB2312"/>
          <w:szCs w:val="32"/>
        </w:rPr>
        <w:t>基金的日常投资和管理，并按发改委和基金业协会要求办理登记、备案</w:t>
      </w:r>
      <w:r>
        <w:rPr>
          <w:rFonts w:hint="eastAsia" w:eastAsia="仿宋_GB2312"/>
          <w:szCs w:val="32"/>
        </w:rPr>
        <w:t>；</w:t>
      </w:r>
      <w:r>
        <w:rPr>
          <w:rFonts w:eastAsia="仿宋_GB2312"/>
          <w:szCs w:val="32"/>
        </w:rPr>
        <w:t>年管理费不高于参股</w:t>
      </w:r>
      <w:r>
        <w:rPr>
          <w:rFonts w:hint="eastAsia" w:eastAsia="仿宋_GB2312"/>
          <w:szCs w:val="32"/>
        </w:rPr>
        <w:t>投资</w:t>
      </w:r>
      <w:r>
        <w:rPr>
          <w:rFonts w:eastAsia="仿宋_GB2312"/>
          <w:szCs w:val="32"/>
        </w:rPr>
        <w:t>基金实缴出资额的2%</w:t>
      </w:r>
      <w:r>
        <w:rPr>
          <w:rFonts w:hint="eastAsia" w:eastAsia="仿宋_GB2312"/>
          <w:szCs w:val="32"/>
        </w:rPr>
        <w:t>；</w:t>
      </w:r>
      <w:r>
        <w:rPr>
          <w:rFonts w:eastAsia="仿宋_GB2312"/>
          <w:szCs w:val="32"/>
        </w:rPr>
        <w:t>委托银行进行第三方托管。</w:t>
      </w:r>
    </w:p>
    <w:p>
      <w:pPr>
        <w:pStyle w:val="5"/>
        <w:spacing w:line="312" w:lineRule="auto"/>
        <w:jc w:val="both"/>
        <w:rPr>
          <w:rFonts w:eastAsia="仿宋_GB2312"/>
          <w:szCs w:val="32"/>
        </w:rPr>
      </w:pPr>
      <w:r>
        <w:rPr>
          <w:rFonts w:eastAsia="仿宋_GB2312"/>
          <w:szCs w:val="32"/>
        </w:rPr>
        <w:t xml:space="preserve">    （五）设立方式。参股</w:t>
      </w:r>
      <w:r>
        <w:rPr>
          <w:rFonts w:hint="eastAsia" w:eastAsia="仿宋_GB2312"/>
          <w:szCs w:val="32"/>
        </w:rPr>
        <w:t>投资</w:t>
      </w:r>
      <w:r>
        <w:rPr>
          <w:rFonts w:eastAsia="仿宋_GB2312"/>
          <w:szCs w:val="32"/>
        </w:rPr>
        <w:t>基金可以选择公司制或有限合伙制形式设立，严格遵照《中华人民共和国公司法》、《中华人民共和国合伙企业法》、《创业投资企业管理暂行办法》等有关法律、法规运作。</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    第十三条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基金应在完成工商登记或工商变更后3个月内，将包括但不限于基金</w:t>
      </w:r>
      <w:r>
        <w:rPr>
          <w:rFonts w:hint="eastAsia" w:ascii="Times New Roman" w:hAnsi="Times New Roman" w:eastAsia="仿宋_GB2312" w:cs="Times New Roman"/>
          <w:sz w:val="32"/>
          <w:szCs w:val="32"/>
        </w:rPr>
        <w:t>章程、股东会决议或</w:t>
      </w:r>
      <w:r>
        <w:rPr>
          <w:rFonts w:ascii="Times New Roman" w:hAnsi="Times New Roman" w:eastAsia="仿宋_GB2312" w:cs="Times New Roman"/>
          <w:sz w:val="32"/>
          <w:szCs w:val="32"/>
        </w:rPr>
        <w:t>合伙人协议、基金工商登记文件、银行托管协议、</w:t>
      </w:r>
      <w:r>
        <w:rPr>
          <w:rFonts w:hint="eastAsia" w:ascii="Times New Roman" w:hAnsi="Times New Roman" w:eastAsia="仿宋_GB2312" w:cs="Times New Roman"/>
          <w:sz w:val="32"/>
          <w:szCs w:val="32"/>
        </w:rPr>
        <w:t>股东或</w:t>
      </w:r>
      <w:r>
        <w:rPr>
          <w:rFonts w:ascii="Times New Roman" w:hAnsi="Times New Roman" w:eastAsia="仿宋_GB2312" w:cs="Times New Roman"/>
          <w:sz w:val="32"/>
          <w:szCs w:val="32"/>
        </w:rPr>
        <w:t>合伙人资金到账凭证等与基金设立相关的资料报送</w:t>
      </w:r>
      <w:r>
        <w:rPr>
          <w:rFonts w:hint="eastAsia" w:ascii="Times New Roman" w:hAnsi="Times New Roman" w:eastAsia="仿宋_GB2312" w:cs="Times New Roman"/>
          <w:sz w:val="32"/>
          <w:szCs w:val="32"/>
        </w:rPr>
        <w:t>母基金管理人</w:t>
      </w:r>
      <w:r>
        <w:rPr>
          <w:rFonts w:ascii="Times New Roman" w:hAnsi="Times New Roman" w:eastAsia="仿宋_GB2312" w:cs="Times New Roman"/>
          <w:sz w:val="32"/>
          <w:szCs w:val="32"/>
        </w:rPr>
        <w:t>，并按照行业管理要求接受监管。</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    第十四条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母基金应当与</w:t>
      </w:r>
      <w:r>
        <w:rPr>
          <w:rFonts w:hint="eastAsia" w:ascii="Times New Roman" w:hAnsi="Times New Roman" w:eastAsia="仿宋_GB2312" w:cs="Times New Roman"/>
          <w:sz w:val="32"/>
          <w:szCs w:val="32"/>
        </w:rPr>
        <w:t>参股投资</w:t>
      </w:r>
      <w:r>
        <w:rPr>
          <w:rFonts w:ascii="Times New Roman" w:hAnsi="Times New Roman" w:eastAsia="仿宋_GB2312" w:cs="Times New Roman"/>
          <w:sz w:val="32"/>
          <w:szCs w:val="32"/>
        </w:rPr>
        <w:t>基金的其他出资人在公司章程或合伙协议中约定，</w:t>
      </w:r>
      <w:r>
        <w:rPr>
          <w:rFonts w:hint="eastAsia" w:ascii="Times New Roman" w:hAnsi="Times New Roman" w:eastAsia="仿宋_GB2312" w:cs="Times New Roman"/>
          <w:sz w:val="32"/>
          <w:szCs w:val="32"/>
        </w:rPr>
        <w:t>参股投资</w:t>
      </w:r>
      <w:r>
        <w:rPr>
          <w:rFonts w:ascii="Times New Roman" w:hAnsi="Times New Roman" w:eastAsia="仿宋_GB2312" w:cs="Times New Roman"/>
          <w:sz w:val="32"/>
          <w:szCs w:val="32"/>
        </w:rPr>
        <w:t>基金应当将相关重大事项向母基金管理人书面报告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注：相关重大事项在投资管理协议中约定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二级母基金应当将其及其所参股子基金的相关重大事项向母基金管理人书面报告。</w:t>
      </w:r>
    </w:p>
    <w:p>
      <w:pPr>
        <w:pStyle w:val="5"/>
        <w:spacing w:line="312" w:lineRule="auto"/>
        <w:jc w:val="both"/>
        <w:rPr>
          <w:rFonts w:eastAsia="仿宋_GB2312"/>
          <w:szCs w:val="32"/>
        </w:rPr>
      </w:pPr>
      <w:r>
        <w:t xml:space="preserve">    </w:t>
      </w:r>
      <w:r>
        <w:rPr>
          <w:rFonts w:eastAsia="仿宋_GB2312"/>
          <w:szCs w:val="32"/>
        </w:rPr>
        <w:t>另按规定，政府出资产业投资基金的基金管理人应当于每个会计年度结束后四个月内，向国家发展改革委提交基金及基金管理人的年度报告，并及时报告投资运作过程中的重大事项。</w:t>
      </w:r>
    </w:p>
    <w:p>
      <w:pPr>
        <w:pStyle w:val="15"/>
        <w:spacing w:before="0" w:beforeAutospacing="0" w:after="0" w:afterAutospacing="0" w:line="312" w:lineRule="auto"/>
        <w:jc w:val="both"/>
        <w:rPr>
          <w:rFonts w:ascii="Times New Roman" w:hAnsi="Times New Roman" w:eastAsia="仿宋_GB2312" w:cs="Times New Roman"/>
          <w:sz w:val="32"/>
          <w:szCs w:val="32"/>
        </w:rPr>
      </w:pPr>
    </w:p>
    <w:p>
      <w:pPr>
        <w:pStyle w:val="15"/>
        <w:spacing w:before="0" w:beforeAutospacing="0" w:after="0" w:afterAutospacing="0" w:line="312"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第四章 申请程序及条件</w:t>
      </w:r>
    </w:p>
    <w:p>
      <w:pPr>
        <w:spacing w:line="312" w:lineRule="auto"/>
        <w:rPr>
          <w:rFonts w:eastAsia="仿宋_GB2312"/>
          <w:szCs w:val="32"/>
        </w:rPr>
      </w:pPr>
      <w:r>
        <w:rPr>
          <w:rFonts w:eastAsia="仿宋_GB2312"/>
          <w:b/>
          <w:szCs w:val="32"/>
        </w:rPr>
        <w:t xml:space="preserve">    第十五条  </w:t>
      </w:r>
      <w:r>
        <w:rPr>
          <w:rFonts w:eastAsia="仿宋_GB2312"/>
          <w:szCs w:val="32"/>
        </w:rPr>
        <w:t>申请母基金参股</w:t>
      </w:r>
      <w:r>
        <w:rPr>
          <w:rFonts w:eastAsia="仿宋_GB2312"/>
          <w:bCs/>
          <w:szCs w:val="32"/>
        </w:rPr>
        <w:t>投资</w:t>
      </w:r>
      <w:r>
        <w:rPr>
          <w:rFonts w:eastAsia="仿宋_GB2312"/>
          <w:szCs w:val="32"/>
        </w:rPr>
        <w:t>基金的运作程序如下：</w:t>
      </w:r>
    </w:p>
    <w:p>
      <w:pPr>
        <w:spacing w:line="312" w:lineRule="auto"/>
        <w:rPr>
          <w:rFonts w:eastAsia="仿宋_GB2312"/>
          <w:szCs w:val="32"/>
        </w:rPr>
      </w:pPr>
      <w:r>
        <w:rPr>
          <w:rFonts w:eastAsia="仿宋_GB2312"/>
          <w:szCs w:val="32"/>
        </w:rPr>
        <w:t xml:space="preserve">    （一）申报。按照投委会批准的母基金安排计划，</w:t>
      </w:r>
      <w:r>
        <w:rPr>
          <w:rFonts w:hint="eastAsia" w:eastAsia="仿宋_GB2312"/>
          <w:szCs w:val="32"/>
        </w:rPr>
        <w:t>有意向的申报机构向母基金管理人提出申请。</w:t>
      </w:r>
    </w:p>
    <w:p>
      <w:pPr>
        <w:spacing w:line="312" w:lineRule="auto"/>
        <w:rPr>
          <w:rFonts w:eastAsia="仿宋_GB2312"/>
          <w:szCs w:val="32"/>
        </w:rPr>
      </w:pPr>
      <w:r>
        <w:rPr>
          <w:rFonts w:eastAsia="仿宋_GB2312"/>
          <w:szCs w:val="32"/>
        </w:rPr>
        <w:t xml:space="preserve">    （二）投资初审。母基金管理人根据相关资料进行前期项目谈判并对</w:t>
      </w:r>
      <w:r>
        <w:rPr>
          <w:rFonts w:hint="eastAsia" w:eastAsia="仿宋_GB2312"/>
          <w:szCs w:val="32"/>
        </w:rPr>
        <w:t>拟参股投资</w:t>
      </w:r>
      <w:r>
        <w:rPr>
          <w:rFonts w:eastAsia="仿宋_GB2312"/>
          <w:szCs w:val="32"/>
        </w:rPr>
        <w:t>基金的投资方案进行初审，并向投委会提交尽职调查报告和初审意见。</w:t>
      </w:r>
    </w:p>
    <w:p>
      <w:pPr>
        <w:spacing w:line="312" w:lineRule="auto"/>
        <w:rPr>
          <w:rFonts w:eastAsia="仿宋_GB2312"/>
          <w:szCs w:val="32"/>
        </w:rPr>
      </w:pPr>
      <w:r>
        <w:rPr>
          <w:rFonts w:eastAsia="仿宋_GB2312"/>
          <w:szCs w:val="32"/>
        </w:rPr>
        <w:t xml:space="preserve">    初审包括形式审查和专家评审，其中：</w:t>
      </w:r>
    </w:p>
    <w:p>
      <w:pPr>
        <w:spacing w:line="312" w:lineRule="auto"/>
        <w:rPr>
          <w:rFonts w:eastAsia="仿宋_GB2312"/>
          <w:szCs w:val="32"/>
        </w:rPr>
      </w:pPr>
      <w:r>
        <w:rPr>
          <w:rFonts w:eastAsia="仿宋_GB2312"/>
          <w:szCs w:val="32"/>
        </w:rPr>
        <w:t xml:space="preserve">    1．形式审查</w:t>
      </w:r>
      <w:r>
        <w:rPr>
          <w:rFonts w:hint="eastAsia" w:eastAsia="仿宋_GB2312"/>
          <w:szCs w:val="32"/>
        </w:rPr>
        <w:t>。</w:t>
      </w:r>
      <w:r>
        <w:rPr>
          <w:rFonts w:eastAsia="仿宋_GB2312"/>
          <w:szCs w:val="32"/>
        </w:rPr>
        <w:t>由</w:t>
      </w:r>
      <w:r>
        <w:rPr>
          <w:rFonts w:hint="eastAsia" w:eastAsia="仿宋_GB2312"/>
          <w:szCs w:val="32"/>
        </w:rPr>
        <w:t>母</w:t>
      </w:r>
      <w:r>
        <w:rPr>
          <w:rFonts w:eastAsia="仿宋_GB2312"/>
          <w:szCs w:val="32"/>
        </w:rPr>
        <w:t>基金管理人对申报机构材料进行符合性审核，</w:t>
      </w:r>
      <w:r>
        <w:rPr>
          <w:rFonts w:hint="eastAsia" w:eastAsia="仿宋_GB2312"/>
          <w:szCs w:val="32"/>
        </w:rPr>
        <w:t>根据实际情况可</w:t>
      </w:r>
      <w:r>
        <w:rPr>
          <w:rFonts w:eastAsia="仿宋_GB2312"/>
          <w:szCs w:val="32"/>
        </w:rPr>
        <w:t>组织第三方机构对申报机构</w:t>
      </w:r>
      <w:r>
        <w:rPr>
          <w:rFonts w:hint="eastAsia" w:eastAsia="仿宋_GB2312"/>
          <w:szCs w:val="32"/>
        </w:rPr>
        <w:t>开展</w:t>
      </w:r>
      <w:r>
        <w:rPr>
          <w:rFonts w:eastAsia="仿宋_GB2312"/>
          <w:szCs w:val="32"/>
        </w:rPr>
        <w:t>尽职调查；</w:t>
      </w:r>
    </w:p>
    <w:p>
      <w:pPr>
        <w:spacing w:line="312" w:lineRule="auto"/>
        <w:rPr>
          <w:rFonts w:eastAsia="仿宋_GB2312"/>
          <w:szCs w:val="32"/>
        </w:rPr>
      </w:pPr>
      <w:r>
        <w:rPr>
          <w:rFonts w:eastAsia="仿宋_GB2312"/>
          <w:szCs w:val="32"/>
        </w:rPr>
        <w:t xml:space="preserve">    2．</w:t>
      </w:r>
      <w:r>
        <w:rPr>
          <w:rFonts w:hint="eastAsia" w:eastAsia="仿宋_GB2312"/>
          <w:szCs w:val="32"/>
        </w:rPr>
        <w:t>专家评审。母</w:t>
      </w:r>
      <w:r>
        <w:rPr>
          <w:rFonts w:eastAsia="仿宋_GB2312"/>
          <w:szCs w:val="32"/>
        </w:rPr>
        <w:t>基金管理人根据申报材料和尽职调查报告</w:t>
      </w:r>
      <w:r>
        <w:rPr>
          <w:rFonts w:hint="eastAsia" w:eastAsia="仿宋_GB2312"/>
          <w:szCs w:val="32"/>
        </w:rPr>
        <w:t>，</w:t>
      </w:r>
      <w:r>
        <w:rPr>
          <w:rFonts w:eastAsia="仿宋_GB2312"/>
          <w:szCs w:val="32"/>
        </w:rPr>
        <w:t>从专家库中抽选专家组成专家评审委员会进行专家评审</w:t>
      </w:r>
      <w:r>
        <w:rPr>
          <w:rFonts w:hint="eastAsia" w:eastAsia="仿宋_GB2312"/>
          <w:szCs w:val="32"/>
        </w:rPr>
        <w:t>。母基金管理人根据实际情况，可聘请专家库之外的专家参与评审。</w:t>
      </w:r>
    </w:p>
    <w:p>
      <w:pPr>
        <w:spacing w:line="312" w:lineRule="auto"/>
        <w:rPr>
          <w:rFonts w:eastAsia="仿宋_GB2312"/>
          <w:szCs w:val="32"/>
        </w:rPr>
      </w:pPr>
      <w:r>
        <w:rPr>
          <w:rFonts w:eastAsia="仿宋_GB2312"/>
          <w:szCs w:val="32"/>
        </w:rPr>
        <w:t xml:space="preserve">    （三）出资决策。根据尽职调查报告和初审意见对母基金拟投资方案进行决策。</w:t>
      </w:r>
    </w:p>
    <w:p>
      <w:pPr>
        <w:spacing w:line="312" w:lineRule="auto"/>
        <w:ind w:firstLine="675"/>
        <w:rPr>
          <w:rFonts w:eastAsia="仿宋_GB2312"/>
          <w:szCs w:val="32"/>
        </w:rPr>
      </w:pPr>
      <w:r>
        <w:rPr>
          <w:rFonts w:hint="eastAsia" w:eastAsia="仿宋_GB2312"/>
          <w:szCs w:val="32"/>
        </w:rPr>
        <w:t>1．当对单个参股投资基金的投资额在1000万元（不含）以下时，由投委会审议通过后，由母基金管理人报公有资产公司备案。</w:t>
      </w:r>
    </w:p>
    <w:p>
      <w:pPr>
        <w:spacing w:line="312" w:lineRule="auto"/>
        <w:ind w:firstLine="675"/>
        <w:rPr>
          <w:rFonts w:eastAsia="仿宋_GB2312"/>
          <w:szCs w:val="32"/>
        </w:rPr>
      </w:pPr>
      <w:r>
        <w:rPr>
          <w:rFonts w:hint="eastAsia" w:eastAsia="仿宋_GB2312"/>
          <w:szCs w:val="32"/>
        </w:rPr>
        <w:t>2．当对单个参股投资基金的投资额在1000万元（含）至3000万元（不含）之间时，由投委会审议通过后，由母基金管理人报上级主管部门审批。</w:t>
      </w:r>
    </w:p>
    <w:p>
      <w:pPr>
        <w:spacing w:line="312" w:lineRule="auto"/>
        <w:ind w:firstLine="675"/>
        <w:rPr>
          <w:rFonts w:eastAsia="仿宋_GB2312"/>
          <w:szCs w:val="32"/>
        </w:rPr>
      </w:pPr>
      <w:r>
        <w:rPr>
          <w:rFonts w:hint="eastAsia" w:eastAsia="仿宋_GB2312"/>
          <w:szCs w:val="32"/>
        </w:rPr>
        <w:t>3．当对单个参股投资基金的投资额在3000万元（含）至5000万元（不含）之间时，投委会审议通过后，提交区管委会审议。</w:t>
      </w:r>
    </w:p>
    <w:p>
      <w:pPr>
        <w:spacing w:line="312" w:lineRule="auto"/>
        <w:ind w:firstLine="675"/>
        <w:rPr>
          <w:rFonts w:eastAsia="仿宋_GB2312"/>
          <w:szCs w:val="32"/>
        </w:rPr>
      </w:pPr>
      <w:r>
        <w:rPr>
          <w:rFonts w:eastAsia="仿宋_GB2312"/>
          <w:szCs w:val="32"/>
        </w:rPr>
        <w:t>4</w:t>
      </w:r>
      <w:r>
        <w:rPr>
          <w:rFonts w:hint="eastAsia" w:eastAsia="仿宋_GB2312"/>
          <w:szCs w:val="32"/>
        </w:rPr>
        <w:t>．当对单个参股投资基金的投资额在</w:t>
      </w:r>
      <w:r>
        <w:rPr>
          <w:rFonts w:eastAsia="仿宋_GB2312"/>
          <w:szCs w:val="32"/>
        </w:rPr>
        <w:t>5000</w:t>
      </w:r>
      <w:r>
        <w:rPr>
          <w:rFonts w:hint="eastAsia" w:eastAsia="仿宋_GB2312"/>
          <w:szCs w:val="32"/>
        </w:rPr>
        <w:t>万元（含）以上时，投委会审议通过后，提交区管委会及区党工委会审议。</w:t>
      </w:r>
    </w:p>
    <w:p>
      <w:pPr>
        <w:spacing w:line="312" w:lineRule="auto"/>
        <w:ind w:firstLine="675"/>
        <w:rPr>
          <w:rFonts w:eastAsia="仿宋_GB2312"/>
          <w:szCs w:val="32"/>
        </w:rPr>
      </w:pPr>
      <w:r>
        <w:rPr>
          <w:rFonts w:hint="eastAsia" w:eastAsia="仿宋_GB2312"/>
          <w:szCs w:val="32"/>
        </w:rPr>
        <w:t>上述决策通过后，由公有资产公司对决策结果进行公示，公示期为5个工作日。</w:t>
      </w:r>
    </w:p>
    <w:p>
      <w:pPr>
        <w:spacing w:line="312" w:lineRule="auto"/>
        <w:ind w:firstLine="675"/>
        <w:rPr>
          <w:rFonts w:eastAsia="仿宋_GB2312"/>
          <w:szCs w:val="32"/>
        </w:rPr>
      </w:pPr>
      <w:r>
        <w:rPr>
          <w:rFonts w:hint="eastAsia" w:eastAsia="仿宋_GB2312"/>
          <w:szCs w:val="32"/>
        </w:rPr>
        <w:t>当决策通过的投资方案有以下变化时，需重新提交最终决策机构进行审议：1、提高母基金投资额或</w:t>
      </w:r>
      <w:r>
        <w:rPr>
          <w:rFonts w:eastAsia="仿宋_GB2312"/>
          <w:szCs w:val="32"/>
        </w:rPr>
        <w:t>参股比例</w:t>
      </w:r>
      <w:r>
        <w:rPr>
          <w:rFonts w:hint="eastAsia" w:eastAsia="仿宋_GB2312"/>
          <w:szCs w:val="32"/>
        </w:rPr>
        <w:t>；</w:t>
      </w:r>
      <w:r>
        <w:rPr>
          <w:rFonts w:eastAsia="仿宋_GB2312"/>
          <w:szCs w:val="32"/>
        </w:rPr>
        <w:t>2</w:t>
      </w:r>
      <w:r>
        <w:rPr>
          <w:rFonts w:hint="eastAsia" w:eastAsia="仿宋_GB2312"/>
          <w:szCs w:val="32"/>
        </w:rPr>
        <w:t>．收益分配方案发生变化。</w:t>
      </w:r>
    </w:p>
    <w:p>
      <w:pPr>
        <w:spacing w:line="312" w:lineRule="auto"/>
        <w:ind w:firstLine="690"/>
        <w:rPr>
          <w:rFonts w:eastAsia="仿宋_GB2312"/>
          <w:szCs w:val="32"/>
        </w:rPr>
      </w:pPr>
      <w:r>
        <w:rPr>
          <w:rFonts w:eastAsia="仿宋_GB2312"/>
          <w:szCs w:val="32"/>
        </w:rPr>
        <w:t>（四）方案实施。经决策通过并公示无异议的投资方案由母基金管理人组织实施。原则上母基金分期出资款项在</w:t>
      </w:r>
      <w:r>
        <w:rPr>
          <w:rFonts w:hint="eastAsia" w:eastAsia="仿宋_GB2312"/>
          <w:szCs w:val="32"/>
        </w:rPr>
        <w:t>参股投资基金的</w:t>
      </w:r>
      <w:r>
        <w:rPr>
          <w:rFonts w:eastAsia="仿宋_GB2312"/>
          <w:szCs w:val="32"/>
        </w:rPr>
        <w:t>其他出资人的分期出资款项</w:t>
      </w:r>
      <w:r>
        <w:rPr>
          <w:rFonts w:hint="eastAsia" w:eastAsia="仿宋_GB2312"/>
          <w:szCs w:val="32"/>
        </w:rPr>
        <w:t>实际缴付</w:t>
      </w:r>
      <w:r>
        <w:rPr>
          <w:rFonts w:eastAsia="仿宋_GB2312"/>
          <w:szCs w:val="32"/>
        </w:rPr>
        <w:t>后，由母基金管理人按程序拨付至参股</w:t>
      </w:r>
      <w:r>
        <w:rPr>
          <w:rFonts w:hint="eastAsia" w:eastAsia="仿宋_GB2312"/>
          <w:szCs w:val="32"/>
        </w:rPr>
        <w:t>投资</w:t>
      </w:r>
      <w:r>
        <w:rPr>
          <w:rFonts w:eastAsia="仿宋_GB2312"/>
          <w:szCs w:val="32"/>
        </w:rPr>
        <w:t>基金账户。</w:t>
      </w:r>
    </w:p>
    <w:p>
      <w:pPr>
        <w:spacing w:line="312" w:lineRule="auto"/>
        <w:rPr>
          <w:rFonts w:eastAsia="仿宋_GB2312"/>
          <w:szCs w:val="32"/>
        </w:rPr>
      </w:pPr>
      <w:r>
        <w:rPr>
          <w:rFonts w:eastAsia="仿宋_GB2312"/>
          <w:b/>
          <w:szCs w:val="32"/>
        </w:rPr>
        <w:t xml:space="preserve">    第十六条  </w:t>
      </w:r>
      <w:r>
        <w:rPr>
          <w:rFonts w:eastAsia="仿宋_GB2312"/>
          <w:szCs w:val="32"/>
        </w:rPr>
        <w:t>申请母基金参股投资</w:t>
      </w:r>
      <w:r>
        <w:rPr>
          <w:rFonts w:hint="eastAsia" w:eastAsia="仿宋_GB2312"/>
          <w:szCs w:val="32"/>
        </w:rPr>
        <w:t>基金</w:t>
      </w:r>
      <w:r>
        <w:rPr>
          <w:rFonts w:eastAsia="仿宋_GB2312"/>
          <w:szCs w:val="32"/>
        </w:rPr>
        <w:t>的基金管理机构应符合以下条件，具体条件由母基金管理人视基金具体情况进一步细化：</w:t>
      </w:r>
    </w:p>
    <w:p>
      <w:pPr>
        <w:pStyle w:val="5"/>
        <w:spacing w:line="312" w:lineRule="auto"/>
        <w:rPr>
          <w:rFonts w:eastAsia="仿宋_GB2312"/>
          <w:szCs w:val="32"/>
        </w:rPr>
      </w:pPr>
      <w:r>
        <w:rPr>
          <w:rFonts w:eastAsia="仿宋_GB2312"/>
          <w:szCs w:val="32"/>
        </w:rPr>
        <w:t xml:space="preserve">    （一）注册资本和实收资本应不低于1000万元人民币</w:t>
      </w:r>
      <w:r>
        <w:rPr>
          <w:rFonts w:hint="eastAsia" w:eastAsia="仿宋_GB2312"/>
          <w:szCs w:val="32"/>
        </w:rPr>
        <w:t>；</w:t>
      </w:r>
      <w:r>
        <w:rPr>
          <w:rFonts w:eastAsia="仿宋_GB2312"/>
          <w:szCs w:val="32"/>
        </w:rPr>
        <w:t>管理基金规模1亿元以上</w:t>
      </w:r>
      <w:r>
        <w:rPr>
          <w:rFonts w:hint="eastAsia" w:eastAsia="仿宋_GB2312"/>
          <w:szCs w:val="32"/>
        </w:rPr>
        <w:t>；</w:t>
      </w:r>
      <w:r>
        <w:rPr>
          <w:rFonts w:eastAsia="仿宋_GB2312"/>
          <w:szCs w:val="32"/>
        </w:rPr>
        <w:t>有符合要求的固定营业场所、安全防范设施和与基金管理业务有关的其他软硬件设施；有良好的内部治理结构和风险控制制度</w:t>
      </w:r>
      <w:r>
        <w:rPr>
          <w:rFonts w:hint="eastAsia" w:eastAsia="仿宋_GB2312"/>
          <w:szCs w:val="32"/>
        </w:rPr>
        <w:t>；</w:t>
      </w:r>
      <w:r>
        <w:rPr>
          <w:rFonts w:eastAsia="仿宋_GB2312"/>
          <w:szCs w:val="32"/>
        </w:rPr>
        <w:t>具备丰富的投资管理经验和良好的管理业绩</w:t>
      </w:r>
      <w:r>
        <w:rPr>
          <w:rFonts w:hint="eastAsia" w:eastAsia="仿宋_GB2312"/>
          <w:szCs w:val="32"/>
        </w:rPr>
        <w:t>；</w:t>
      </w:r>
      <w:r>
        <w:rPr>
          <w:rFonts w:eastAsia="仿宋_GB2312"/>
          <w:szCs w:val="32"/>
        </w:rPr>
        <w:t>健全的创业投资管理和风险控制流程以及规范的项目遴选机制和投资决策机制</w:t>
      </w:r>
      <w:r>
        <w:rPr>
          <w:rFonts w:hint="eastAsia" w:eastAsia="仿宋_GB2312"/>
          <w:szCs w:val="32"/>
        </w:rPr>
        <w:t>；</w:t>
      </w:r>
      <w:r>
        <w:rPr>
          <w:rFonts w:eastAsia="仿宋_GB2312"/>
          <w:szCs w:val="32"/>
        </w:rPr>
        <w:t>能够为被投资企业提供创业辅导、管理咨询等增值服务。</w:t>
      </w:r>
    </w:p>
    <w:p>
      <w:pPr>
        <w:spacing w:line="312" w:lineRule="auto"/>
        <w:rPr>
          <w:rFonts w:eastAsia="仿宋_GB2312"/>
          <w:szCs w:val="32"/>
        </w:rPr>
      </w:pPr>
      <w:r>
        <w:rPr>
          <w:rFonts w:eastAsia="仿宋_GB2312"/>
          <w:szCs w:val="32"/>
        </w:rPr>
        <w:t xml:space="preserve">    （二）具有3名具备3年以上股权投资或资产管理工作经验的高级管理人员，基金管理机构或其高级管理人员有3个或以上股权投资的成功投资案例。</w:t>
      </w:r>
    </w:p>
    <w:p>
      <w:pPr>
        <w:spacing w:line="312" w:lineRule="auto"/>
        <w:rPr>
          <w:rFonts w:eastAsia="仿宋_GB2312"/>
          <w:szCs w:val="32"/>
        </w:rPr>
      </w:pPr>
      <w:r>
        <w:rPr>
          <w:rFonts w:eastAsia="仿宋_GB2312"/>
          <w:szCs w:val="32"/>
        </w:rPr>
        <w:t xml:space="preserve">    </w:t>
      </w:r>
      <w:r>
        <w:rPr>
          <w:rFonts w:hint="eastAsia" w:eastAsia="仿宋_GB2312"/>
          <w:szCs w:val="32"/>
        </w:rPr>
        <w:t>（三）</w:t>
      </w:r>
      <w:r>
        <w:rPr>
          <w:rFonts w:eastAsia="仿宋_GB2312"/>
          <w:szCs w:val="32"/>
        </w:rPr>
        <w:t>参股</w:t>
      </w:r>
      <w:r>
        <w:rPr>
          <w:rFonts w:hint="eastAsia" w:eastAsia="仿宋_GB2312"/>
          <w:szCs w:val="32"/>
        </w:rPr>
        <w:t>投资基金的</w:t>
      </w:r>
      <w:r>
        <w:rPr>
          <w:rFonts w:eastAsia="仿宋_GB2312"/>
          <w:szCs w:val="32"/>
        </w:rPr>
        <w:t>基金管理</w:t>
      </w:r>
      <w:r>
        <w:rPr>
          <w:rFonts w:hint="eastAsia" w:eastAsia="仿宋_GB2312"/>
          <w:szCs w:val="32"/>
        </w:rPr>
        <w:t>机构</w:t>
      </w:r>
      <w:r>
        <w:rPr>
          <w:rFonts w:eastAsia="仿宋_GB2312"/>
          <w:szCs w:val="32"/>
        </w:rPr>
        <w:t>及其董事、监事、高级管理人员及其他从业人员在最近三年无重大违法行为。</w:t>
      </w:r>
    </w:p>
    <w:p>
      <w:pPr>
        <w:spacing w:line="312" w:lineRule="auto"/>
        <w:rPr>
          <w:rFonts w:eastAsia="仿宋_GB2312"/>
          <w:szCs w:val="32"/>
        </w:rPr>
      </w:pPr>
      <w:r>
        <w:rPr>
          <w:rFonts w:eastAsia="仿宋_GB2312"/>
          <w:szCs w:val="32"/>
        </w:rPr>
        <w:t xml:space="preserve">    </w:t>
      </w:r>
      <w:r>
        <w:rPr>
          <w:rFonts w:hint="eastAsia" w:eastAsia="仿宋_GB2312"/>
          <w:szCs w:val="32"/>
        </w:rPr>
        <w:t>（四）</w:t>
      </w:r>
      <w:r>
        <w:rPr>
          <w:rFonts w:eastAsia="仿宋_GB2312"/>
          <w:szCs w:val="32"/>
        </w:rPr>
        <w:t>必须在中国证券投资基金协会登记备案为私募基金管理机构。</w:t>
      </w:r>
    </w:p>
    <w:p>
      <w:pPr>
        <w:spacing w:line="312" w:lineRule="auto"/>
        <w:rPr>
          <w:rFonts w:eastAsia="仿宋_GB2312"/>
          <w:szCs w:val="32"/>
        </w:rPr>
      </w:pPr>
      <w:r>
        <w:rPr>
          <w:rFonts w:eastAsia="仿宋_GB2312"/>
          <w:szCs w:val="32"/>
        </w:rPr>
        <w:t xml:space="preserve">    （五）其他必要的条件。</w:t>
      </w:r>
    </w:p>
    <w:p>
      <w:pPr>
        <w:spacing w:line="312" w:lineRule="auto"/>
        <w:rPr>
          <w:rFonts w:eastAsia="仿宋_GB2312"/>
          <w:szCs w:val="32"/>
        </w:rPr>
      </w:pPr>
      <w:r>
        <w:rPr>
          <w:rFonts w:eastAsia="仿宋_GB2312"/>
          <w:b/>
          <w:szCs w:val="32"/>
        </w:rPr>
        <w:t xml:space="preserve">    第十七条  </w:t>
      </w:r>
      <w:r>
        <w:rPr>
          <w:rFonts w:eastAsia="仿宋_GB2312"/>
          <w:szCs w:val="32"/>
        </w:rPr>
        <w:t>符合上述第十六条要求的基金管理机构</w:t>
      </w:r>
      <w:r>
        <w:rPr>
          <w:rFonts w:hint="eastAsia" w:eastAsia="仿宋_GB2312"/>
          <w:szCs w:val="32"/>
        </w:rPr>
        <w:t>如</w:t>
      </w:r>
      <w:r>
        <w:rPr>
          <w:rFonts w:eastAsia="仿宋_GB2312"/>
          <w:szCs w:val="32"/>
        </w:rPr>
        <w:t>在中山新设基金管理人子机构，</w:t>
      </w:r>
      <w:r>
        <w:rPr>
          <w:rFonts w:hint="eastAsia" w:eastAsia="仿宋_GB2312"/>
          <w:szCs w:val="32"/>
        </w:rPr>
        <w:t>对其</w:t>
      </w:r>
      <w:r>
        <w:rPr>
          <w:rFonts w:eastAsia="仿宋_GB2312"/>
          <w:szCs w:val="32"/>
        </w:rPr>
        <w:t>在中山新设的基金管理人子机构无管理基金规模的要求。</w:t>
      </w:r>
    </w:p>
    <w:p>
      <w:pPr>
        <w:spacing w:line="312" w:lineRule="auto"/>
        <w:rPr>
          <w:rFonts w:eastAsia="仿宋_GB2312"/>
          <w:szCs w:val="32"/>
        </w:rPr>
      </w:pPr>
      <w:r>
        <w:rPr>
          <w:rFonts w:eastAsia="仿宋_GB2312"/>
          <w:b/>
          <w:szCs w:val="32"/>
        </w:rPr>
        <w:t xml:space="preserve">    第十八条  </w:t>
      </w:r>
      <w:r>
        <w:rPr>
          <w:rFonts w:eastAsia="仿宋_GB2312"/>
          <w:szCs w:val="32"/>
        </w:rPr>
        <w:t>申请母基金参股出资新设立基金，应符合以下条件：</w:t>
      </w:r>
    </w:p>
    <w:p>
      <w:pPr>
        <w:spacing w:line="312" w:lineRule="auto"/>
        <w:rPr>
          <w:rFonts w:eastAsia="仿宋_GB2312"/>
          <w:szCs w:val="32"/>
        </w:rPr>
      </w:pPr>
      <w:r>
        <w:rPr>
          <w:rFonts w:eastAsia="仿宋_GB2312"/>
          <w:szCs w:val="32"/>
        </w:rPr>
        <w:t xml:space="preserve">    （一）</w:t>
      </w:r>
      <w:r>
        <w:rPr>
          <w:rFonts w:hint="eastAsia" w:eastAsia="仿宋_GB2312"/>
          <w:szCs w:val="32"/>
        </w:rPr>
        <w:t>参股投资基金托管的银行必须是设立在火炬开发区的商业银行。</w:t>
      </w:r>
    </w:p>
    <w:p>
      <w:pPr>
        <w:spacing w:line="312" w:lineRule="auto"/>
        <w:rPr>
          <w:rFonts w:eastAsia="仿宋_GB2312"/>
          <w:szCs w:val="32"/>
        </w:rPr>
      </w:pPr>
      <w:r>
        <w:rPr>
          <w:rFonts w:eastAsia="仿宋_GB2312"/>
          <w:szCs w:val="32"/>
        </w:rPr>
        <w:t xml:space="preserve">    （二）每支参股</w:t>
      </w:r>
      <w:r>
        <w:rPr>
          <w:rFonts w:hint="eastAsia" w:eastAsia="仿宋_GB2312"/>
          <w:szCs w:val="32"/>
        </w:rPr>
        <w:t>投资</w:t>
      </w:r>
      <w:r>
        <w:rPr>
          <w:rFonts w:eastAsia="仿宋_GB2312"/>
          <w:szCs w:val="32"/>
        </w:rPr>
        <w:t>基金募集资金总额原则上不少于1亿元人民币，以投资初创期项目为主的天使基金可放宽至5000万元人民币。</w:t>
      </w:r>
    </w:p>
    <w:p>
      <w:pPr>
        <w:spacing w:line="312" w:lineRule="auto"/>
        <w:rPr>
          <w:rFonts w:eastAsia="仿宋_GB2312"/>
          <w:szCs w:val="32"/>
        </w:rPr>
      </w:pPr>
      <w:r>
        <w:rPr>
          <w:rFonts w:eastAsia="仿宋_GB2312"/>
          <w:szCs w:val="32"/>
        </w:rPr>
        <w:t xml:space="preserve">    （三）参股</w:t>
      </w:r>
      <w:r>
        <w:rPr>
          <w:rFonts w:hint="eastAsia" w:eastAsia="仿宋_GB2312"/>
          <w:szCs w:val="32"/>
        </w:rPr>
        <w:t>投资</w:t>
      </w:r>
      <w:r>
        <w:rPr>
          <w:rFonts w:eastAsia="仿宋_GB2312"/>
          <w:szCs w:val="32"/>
        </w:rPr>
        <w:t>基金所有出资人均以合法的自有货币资金认缴出资，参股</w:t>
      </w:r>
      <w:r>
        <w:rPr>
          <w:rFonts w:hint="eastAsia" w:eastAsia="仿宋_GB2312"/>
          <w:szCs w:val="32"/>
        </w:rPr>
        <w:t>投资</w:t>
      </w:r>
      <w:r>
        <w:rPr>
          <w:rFonts w:eastAsia="仿宋_GB2312"/>
          <w:szCs w:val="32"/>
        </w:rPr>
        <w:t>基金出资人数量符合相关法律规定。</w:t>
      </w:r>
    </w:p>
    <w:p>
      <w:pPr>
        <w:spacing w:line="312" w:lineRule="auto"/>
        <w:rPr>
          <w:rFonts w:eastAsia="仿宋_GB2312"/>
          <w:szCs w:val="32"/>
        </w:rPr>
      </w:pPr>
      <w:r>
        <w:rPr>
          <w:rFonts w:eastAsia="仿宋_GB2312"/>
          <w:szCs w:val="32"/>
        </w:rPr>
        <w:t xml:space="preserve">    （四）</w:t>
      </w:r>
      <w:r>
        <w:rPr>
          <w:rFonts w:hint="eastAsia" w:eastAsia="仿宋_GB2312"/>
          <w:szCs w:val="32"/>
        </w:rPr>
        <w:t>最大</w:t>
      </w:r>
      <w:r>
        <w:rPr>
          <w:rFonts w:eastAsia="仿宋_GB2312"/>
          <w:szCs w:val="32"/>
        </w:rPr>
        <w:t>出资人已落实并</w:t>
      </w:r>
      <w:r>
        <w:rPr>
          <w:rFonts w:hint="eastAsia" w:eastAsia="仿宋_GB2312"/>
          <w:szCs w:val="32"/>
        </w:rPr>
        <w:t>承诺</w:t>
      </w:r>
      <w:r>
        <w:rPr>
          <w:rFonts w:eastAsia="仿宋_GB2312"/>
          <w:szCs w:val="32"/>
        </w:rPr>
        <w:t>资金按约定及时足额到位。</w:t>
      </w:r>
    </w:p>
    <w:p>
      <w:pPr>
        <w:spacing w:line="312" w:lineRule="auto"/>
        <w:rPr>
          <w:rFonts w:eastAsia="仿宋_GB2312"/>
          <w:szCs w:val="32"/>
        </w:rPr>
      </w:pPr>
      <w:r>
        <w:rPr>
          <w:rFonts w:eastAsia="仿宋_GB2312"/>
          <w:szCs w:val="32"/>
        </w:rPr>
        <w:t xml:space="preserve">    （五）参股投资</w:t>
      </w:r>
      <w:r>
        <w:rPr>
          <w:rFonts w:hint="eastAsia" w:eastAsia="仿宋_GB2312"/>
          <w:szCs w:val="32"/>
        </w:rPr>
        <w:t>基金</w:t>
      </w:r>
      <w:r>
        <w:rPr>
          <w:rFonts w:eastAsia="仿宋_GB2312"/>
          <w:szCs w:val="32"/>
        </w:rPr>
        <w:t>的基金管理机构或与其有股权关联的普通合伙人须对</w:t>
      </w:r>
      <w:r>
        <w:rPr>
          <w:rFonts w:hint="eastAsia" w:eastAsia="仿宋_GB2312"/>
          <w:szCs w:val="32"/>
        </w:rPr>
        <w:t>参股投资</w:t>
      </w:r>
      <w:r>
        <w:rPr>
          <w:rFonts w:eastAsia="仿宋_GB2312"/>
          <w:szCs w:val="32"/>
        </w:rPr>
        <w:t>基金实缴出资，具体出资比例在参股</w:t>
      </w:r>
      <w:r>
        <w:rPr>
          <w:rFonts w:hint="eastAsia" w:eastAsia="仿宋_GB2312"/>
          <w:szCs w:val="32"/>
        </w:rPr>
        <w:t>投资</w:t>
      </w:r>
      <w:r>
        <w:rPr>
          <w:rFonts w:eastAsia="仿宋_GB2312"/>
          <w:szCs w:val="32"/>
        </w:rPr>
        <w:t>基金章程或合伙协议中约定且不低于1%。</w:t>
      </w:r>
    </w:p>
    <w:p>
      <w:pPr>
        <w:spacing w:line="312" w:lineRule="auto"/>
        <w:rPr>
          <w:rFonts w:eastAsia="仿宋_GB2312"/>
          <w:szCs w:val="32"/>
        </w:rPr>
      </w:pPr>
      <w:r>
        <w:rPr>
          <w:rFonts w:eastAsia="仿宋_GB2312"/>
          <w:szCs w:val="32"/>
        </w:rPr>
        <w:t xml:space="preserve">    （六）参股投资</w:t>
      </w:r>
      <w:r>
        <w:rPr>
          <w:rFonts w:hint="eastAsia" w:eastAsia="仿宋_GB2312"/>
          <w:szCs w:val="32"/>
        </w:rPr>
        <w:t>基金</w:t>
      </w:r>
      <w:r>
        <w:rPr>
          <w:rFonts w:eastAsia="仿宋_GB2312"/>
          <w:szCs w:val="32"/>
        </w:rPr>
        <w:t>的基金管理机构已经具有50%投资额的项目储备并制定第一阶段的投资计划。</w:t>
      </w:r>
    </w:p>
    <w:p>
      <w:pPr>
        <w:spacing w:line="312" w:lineRule="auto"/>
        <w:rPr>
          <w:rFonts w:eastAsia="仿宋_GB2312"/>
          <w:szCs w:val="32"/>
        </w:rPr>
      </w:pPr>
      <w:r>
        <w:rPr>
          <w:rFonts w:eastAsia="仿宋_GB2312"/>
          <w:b/>
          <w:szCs w:val="32"/>
        </w:rPr>
        <w:t xml:space="preserve">    第十九条  </w:t>
      </w:r>
      <w:r>
        <w:rPr>
          <w:rFonts w:eastAsia="仿宋_GB2312"/>
          <w:szCs w:val="32"/>
        </w:rPr>
        <w:t>申请母基金对现有基金进行增资的，除需符合新设立参股</w:t>
      </w:r>
      <w:r>
        <w:rPr>
          <w:rFonts w:hint="eastAsia" w:eastAsia="仿宋_GB2312"/>
          <w:szCs w:val="32"/>
        </w:rPr>
        <w:t>投资</w:t>
      </w:r>
      <w:r>
        <w:rPr>
          <w:rFonts w:eastAsia="仿宋_GB2312"/>
          <w:szCs w:val="32"/>
        </w:rPr>
        <w:t>基金条件外，还应满足以下条件：</w:t>
      </w:r>
    </w:p>
    <w:p>
      <w:pPr>
        <w:spacing w:line="312" w:lineRule="auto"/>
        <w:ind w:firstLine="684"/>
        <w:rPr>
          <w:rFonts w:eastAsia="仿宋_GB2312"/>
          <w:szCs w:val="32"/>
        </w:rPr>
      </w:pPr>
      <w:r>
        <w:rPr>
          <w:rFonts w:eastAsia="仿宋_GB2312"/>
          <w:szCs w:val="32"/>
        </w:rPr>
        <w:t>（一）参股</w:t>
      </w:r>
      <w:r>
        <w:rPr>
          <w:rFonts w:hint="eastAsia" w:eastAsia="仿宋_GB2312"/>
          <w:szCs w:val="32"/>
        </w:rPr>
        <w:t>投资</w:t>
      </w:r>
      <w:r>
        <w:rPr>
          <w:rFonts w:eastAsia="仿宋_GB2312"/>
          <w:szCs w:val="32"/>
        </w:rPr>
        <w:t>基金已按有关法律法规设立并开始投资运作，设立时间不超过1年；</w:t>
      </w:r>
    </w:p>
    <w:p>
      <w:pPr>
        <w:spacing w:line="312" w:lineRule="auto"/>
        <w:ind w:firstLine="664" w:firstLineChars="200"/>
        <w:rPr>
          <w:rFonts w:eastAsia="仿宋_GB2312"/>
          <w:szCs w:val="32"/>
        </w:rPr>
      </w:pPr>
      <w:r>
        <w:rPr>
          <w:rFonts w:eastAsia="仿宋_GB2312"/>
          <w:szCs w:val="32"/>
        </w:rPr>
        <w:t>（二）参股</w:t>
      </w:r>
      <w:r>
        <w:rPr>
          <w:rFonts w:hint="eastAsia" w:eastAsia="仿宋_GB2312"/>
          <w:szCs w:val="32"/>
        </w:rPr>
        <w:t>投资</w:t>
      </w:r>
      <w:r>
        <w:rPr>
          <w:rFonts w:eastAsia="仿宋_GB2312"/>
          <w:szCs w:val="32"/>
        </w:rPr>
        <w:t>基金全体出资人首期出资或首期认缴出资已经实际缴纳，且不低于注册资本或承诺出资额的50％；</w:t>
      </w:r>
    </w:p>
    <w:p>
      <w:pPr>
        <w:spacing w:line="312" w:lineRule="auto"/>
        <w:ind w:firstLine="664" w:firstLineChars="200"/>
        <w:rPr>
          <w:rFonts w:eastAsia="仿宋_GB2312"/>
          <w:szCs w:val="32"/>
        </w:rPr>
      </w:pPr>
      <w:r>
        <w:rPr>
          <w:rFonts w:eastAsia="仿宋_GB2312"/>
          <w:szCs w:val="32"/>
        </w:rPr>
        <w:t>（三）参股</w:t>
      </w:r>
      <w:r>
        <w:rPr>
          <w:rFonts w:hint="eastAsia" w:eastAsia="仿宋_GB2312"/>
          <w:szCs w:val="32"/>
        </w:rPr>
        <w:t>投资</w:t>
      </w:r>
      <w:r>
        <w:rPr>
          <w:rFonts w:eastAsia="仿宋_GB2312"/>
          <w:szCs w:val="32"/>
        </w:rPr>
        <w:t>基金全体出资人同意母基金入股（入伙），增资价格参照具有资质的独立第三方机构评估价格确定。</w:t>
      </w:r>
    </w:p>
    <w:p>
      <w:pPr>
        <w:spacing w:line="312" w:lineRule="auto"/>
        <w:rPr>
          <w:rFonts w:eastAsia="仿宋_GB2312"/>
          <w:szCs w:val="32"/>
        </w:rPr>
      </w:pPr>
    </w:p>
    <w:p>
      <w:pPr>
        <w:spacing w:line="312" w:lineRule="auto"/>
        <w:jc w:val="center"/>
        <w:rPr>
          <w:rFonts w:eastAsia="黑体"/>
          <w:szCs w:val="32"/>
        </w:rPr>
      </w:pPr>
      <w:r>
        <w:rPr>
          <w:rFonts w:eastAsia="黑体"/>
          <w:szCs w:val="32"/>
        </w:rPr>
        <w:t>第五章 退出方式</w:t>
      </w:r>
    </w:p>
    <w:p>
      <w:pPr>
        <w:widowControl/>
        <w:spacing w:line="312" w:lineRule="auto"/>
        <w:ind w:firstLine="480"/>
        <w:rPr>
          <w:rFonts w:eastAsia="仿宋_GB2312"/>
          <w:kern w:val="0"/>
          <w:szCs w:val="32"/>
        </w:rPr>
      </w:pPr>
      <w:r>
        <w:rPr>
          <w:rFonts w:eastAsia="仿宋_GB2312"/>
          <w:b/>
          <w:szCs w:val="32"/>
        </w:rPr>
        <w:t>第二十</w:t>
      </w:r>
      <w:r>
        <w:rPr>
          <w:rFonts w:eastAsia="仿宋_GB2312"/>
          <w:b/>
          <w:bCs/>
          <w:kern w:val="0"/>
          <w:szCs w:val="32"/>
        </w:rPr>
        <w:t>条</w:t>
      </w:r>
      <w:bookmarkStart w:id="0" w:name="No110_Z6T22K1"/>
      <w:bookmarkEnd w:id="0"/>
      <w:r>
        <w:rPr>
          <w:rFonts w:eastAsia="仿宋_GB2312"/>
          <w:b/>
          <w:bCs/>
          <w:kern w:val="0"/>
          <w:szCs w:val="32"/>
        </w:rPr>
        <w:t xml:space="preserve"> </w:t>
      </w:r>
      <w:r>
        <w:rPr>
          <w:rFonts w:hint="eastAsia" w:eastAsia="仿宋_GB2312"/>
          <w:b/>
          <w:bCs/>
          <w:kern w:val="0"/>
          <w:szCs w:val="32"/>
        </w:rPr>
        <w:t xml:space="preserve"> </w:t>
      </w:r>
      <w:r>
        <w:rPr>
          <w:rFonts w:eastAsia="仿宋_GB2312"/>
          <w:kern w:val="0"/>
          <w:szCs w:val="32"/>
        </w:rPr>
        <w:t>母基金的退出方式包括：</w:t>
      </w:r>
    </w:p>
    <w:p>
      <w:pPr>
        <w:widowControl/>
        <w:spacing w:line="312" w:lineRule="auto"/>
        <w:ind w:firstLine="480"/>
        <w:rPr>
          <w:rFonts w:eastAsia="仿宋_GB2312"/>
          <w:kern w:val="0"/>
          <w:szCs w:val="32"/>
        </w:rPr>
      </w:pPr>
      <w:r>
        <w:rPr>
          <w:rFonts w:eastAsia="仿宋_GB2312"/>
          <w:kern w:val="0"/>
          <w:szCs w:val="32"/>
        </w:rPr>
        <w:t>（一）母基金</w:t>
      </w:r>
      <w:r>
        <w:rPr>
          <w:rFonts w:hint="eastAsia" w:eastAsia="仿宋_GB2312"/>
          <w:kern w:val="0"/>
          <w:szCs w:val="32"/>
        </w:rPr>
        <w:t>参股</w:t>
      </w:r>
      <w:r>
        <w:rPr>
          <w:rFonts w:eastAsia="仿宋_GB2312"/>
          <w:kern w:val="0"/>
          <w:szCs w:val="32"/>
        </w:rPr>
        <w:t>投资基金形成的股权或财产份额，可根据出资时协议的约定依法退出；</w:t>
      </w:r>
    </w:p>
    <w:p>
      <w:pPr>
        <w:widowControl/>
        <w:spacing w:line="312" w:lineRule="auto"/>
        <w:ind w:firstLine="480"/>
        <w:rPr>
          <w:rFonts w:eastAsia="仿宋_GB2312"/>
          <w:kern w:val="0"/>
          <w:szCs w:val="32"/>
        </w:rPr>
      </w:pPr>
      <w:r>
        <w:rPr>
          <w:rFonts w:eastAsia="仿宋_GB2312"/>
          <w:kern w:val="0"/>
          <w:szCs w:val="32"/>
        </w:rPr>
        <w:t>（二）母基金</w:t>
      </w:r>
      <w:r>
        <w:rPr>
          <w:rFonts w:hint="eastAsia" w:eastAsia="仿宋_GB2312"/>
          <w:kern w:val="0"/>
          <w:szCs w:val="32"/>
        </w:rPr>
        <w:t>参股</w:t>
      </w:r>
      <w:r>
        <w:rPr>
          <w:rFonts w:eastAsia="仿宋_GB2312"/>
          <w:kern w:val="0"/>
          <w:szCs w:val="32"/>
        </w:rPr>
        <w:t>投资基金形成的股权或财产份额，参照国有产权转让程序通过公开交易方式退出；</w:t>
      </w:r>
    </w:p>
    <w:p>
      <w:pPr>
        <w:widowControl/>
        <w:spacing w:line="312" w:lineRule="auto"/>
        <w:ind w:firstLine="480"/>
        <w:rPr>
          <w:rFonts w:eastAsia="仿宋_GB2312"/>
          <w:kern w:val="0"/>
          <w:szCs w:val="32"/>
        </w:rPr>
      </w:pPr>
      <w:r>
        <w:rPr>
          <w:rFonts w:eastAsia="仿宋_GB2312"/>
          <w:kern w:val="0"/>
          <w:szCs w:val="32"/>
        </w:rPr>
        <w:t>（三）母基金参股投资基金终止清算的，母基金以所持出资比例分配本金和收益；</w:t>
      </w:r>
      <w:r>
        <w:rPr>
          <w:rFonts w:hint="eastAsia" w:eastAsia="仿宋_GB2312"/>
          <w:kern w:val="0"/>
          <w:szCs w:val="32"/>
        </w:rPr>
        <w:t>参股</w:t>
      </w:r>
      <w:r>
        <w:rPr>
          <w:rFonts w:eastAsia="仿宋_GB2312"/>
          <w:kern w:val="0"/>
          <w:szCs w:val="32"/>
        </w:rPr>
        <w:t>投资基金发生破产清算，按照相关法律法规的规定及公司章程（或合伙协议）的约定执行；</w:t>
      </w:r>
    </w:p>
    <w:p>
      <w:pPr>
        <w:widowControl/>
        <w:spacing w:line="312" w:lineRule="auto"/>
        <w:ind w:firstLine="480"/>
        <w:rPr>
          <w:rFonts w:eastAsia="仿宋_GB2312"/>
          <w:kern w:val="0"/>
          <w:szCs w:val="32"/>
        </w:rPr>
      </w:pPr>
      <w:r>
        <w:rPr>
          <w:rFonts w:eastAsia="仿宋_GB2312"/>
          <w:kern w:val="0"/>
          <w:szCs w:val="32"/>
        </w:rPr>
        <w:t>（四）其他合法方式退出。</w:t>
      </w:r>
    </w:p>
    <w:p>
      <w:pPr>
        <w:widowControl/>
        <w:spacing w:line="312" w:lineRule="auto"/>
        <w:ind w:firstLine="667" w:firstLineChars="200"/>
        <w:rPr>
          <w:rFonts w:eastAsia="仿宋_GB2312"/>
          <w:bCs/>
          <w:kern w:val="0"/>
          <w:szCs w:val="32"/>
        </w:rPr>
      </w:pPr>
      <w:r>
        <w:rPr>
          <w:rFonts w:eastAsia="仿宋_GB2312"/>
          <w:b/>
          <w:kern w:val="0"/>
          <w:szCs w:val="32"/>
        </w:rPr>
        <w:t xml:space="preserve">第二十一条 </w:t>
      </w:r>
      <w:r>
        <w:rPr>
          <w:rFonts w:hint="eastAsia" w:eastAsia="仿宋_GB2312"/>
          <w:b/>
          <w:kern w:val="0"/>
          <w:szCs w:val="32"/>
        </w:rPr>
        <w:t xml:space="preserve"> </w:t>
      </w:r>
      <w:r>
        <w:rPr>
          <w:rFonts w:eastAsia="仿宋_GB2312"/>
          <w:kern w:val="0"/>
          <w:szCs w:val="32"/>
        </w:rPr>
        <w:t>母基金退出时应该按照章程约定的条件退出；章程中没有约定的，应聘请具备资质的资产评估机构对政府出资权益进行评估，作为确定退出价格的依据。</w:t>
      </w:r>
      <w:bookmarkStart w:id="1" w:name="No112_Z6T23K1"/>
      <w:bookmarkEnd w:id="1"/>
      <w:bookmarkStart w:id="2" w:name="No111_Z6T23"/>
      <w:bookmarkEnd w:id="2"/>
    </w:p>
    <w:p>
      <w:pPr>
        <w:pStyle w:val="15"/>
        <w:spacing w:before="0" w:beforeAutospacing="0" w:after="0" w:afterAutospacing="0" w:line="312" w:lineRule="auto"/>
        <w:ind w:firstLine="643" w:firstLineChars="200"/>
        <w:jc w:val="both"/>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 xml:space="preserve">条 </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Cs/>
          <w:sz w:val="32"/>
          <w:szCs w:val="32"/>
        </w:rPr>
        <w:t>有下述情况之一的，</w:t>
      </w:r>
      <w:r>
        <w:rPr>
          <w:rFonts w:ascii="Times New Roman" w:hAnsi="Times New Roman" w:eastAsia="仿宋_GB2312" w:cs="Times New Roman"/>
          <w:sz w:val="32"/>
          <w:szCs w:val="32"/>
        </w:rPr>
        <w:t>政府出资无需其他出资人同意，</w:t>
      </w:r>
      <w:r>
        <w:rPr>
          <w:rFonts w:ascii="Times New Roman" w:hAnsi="Times New Roman" w:eastAsia="仿宋_GB2312" w:cs="Times New Roman"/>
          <w:bCs/>
          <w:sz w:val="32"/>
          <w:szCs w:val="32"/>
        </w:rPr>
        <w:t>母基金可选择退出：</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（一）基金组建方案经批准后超过一年，参股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基金未按规定程序和时间要求完成设立或增资手续的</w:t>
      </w:r>
      <w:r>
        <w:rPr>
          <w:rFonts w:hint="eastAsia" w:ascii="Times New Roman" w:hAnsi="Times New Roman" w:eastAsia="仿宋_GB2312" w:cs="Times New Roman"/>
          <w:sz w:val="32"/>
          <w:szCs w:val="32"/>
        </w:rPr>
        <w:t>，即该批准有效期为一年，期满后自动失效</w:t>
      </w:r>
      <w:r>
        <w:rPr>
          <w:rFonts w:ascii="Times New Roman" w:hAnsi="Times New Roman" w:eastAsia="仿宋_GB2312" w:cs="Times New Roman"/>
          <w:sz w:val="32"/>
          <w:szCs w:val="32"/>
        </w:rPr>
        <w:t>；</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（二）母基金出资资金拨付基金账户超过</w:t>
      </w:r>
      <w:r>
        <w:rPr>
          <w:rFonts w:hint="eastAsia" w:ascii="Times New Roman" w:hAnsi="Times New Roman" w:eastAsia="仿宋_GB2312" w:cs="Times New Roman"/>
          <w:sz w:val="32"/>
          <w:szCs w:val="32"/>
        </w:rPr>
        <w:t>半</w:t>
      </w:r>
      <w:r>
        <w:rPr>
          <w:rFonts w:ascii="Times New Roman" w:hAnsi="Times New Roman" w:eastAsia="仿宋_GB2312" w:cs="Times New Roman"/>
          <w:sz w:val="32"/>
          <w:szCs w:val="32"/>
        </w:rPr>
        <w:t>年，参股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基金未按章程或协议开展投资业务的；</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（三）</w:t>
      </w:r>
      <w:r>
        <w:rPr>
          <w:rFonts w:hint="eastAsia" w:ascii="Times New Roman" w:hAnsi="Times New Roman" w:eastAsia="仿宋_GB2312" w:cs="Times New Roman"/>
          <w:sz w:val="32"/>
          <w:szCs w:val="32"/>
        </w:rPr>
        <w:t>参股投资</w:t>
      </w:r>
      <w:r>
        <w:rPr>
          <w:rFonts w:ascii="Times New Roman" w:hAnsi="Times New Roman" w:eastAsia="仿宋_GB2312" w:cs="Times New Roman"/>
          <w:sz w:val="32"/>
          <w:szCs w:val="32"/>
        </w:rPr>
        <w:t>基金未按照基金章程、合伙协议或其他约束性文件之约定出资或投资的；</w:t>
      </w:r>
    </w:p>
    <w:p>
      <w:pPr>
        <w:pStyle w:val="15"/>
        <w:spacing w:before="0" w:beforeAutospacing="0" w:after="0" w:afterAutospacing="0" w:line="312" w:lineRule="auto"/>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基金或基金管理机构发生实质性变化致使不符合本办法第十六条、第十八条及第十九条规定的。</w:t>
      </w:r>
    </w:p>
    <w:p>
      <w:pPr>
        <w:pStyle w:val="15"/>
        <w:spacing w:before="0" w:beforeAutospacing="0" w:after="0" w:afterAutospacing="0" w:line="312" w:lineRule="auto"/>
        <w:ind w:firstLine="640"/>
        <w:jc w:val="both"/>
        <w:rPr>
          <w:rFonts w:ascii="Times New Roman" w:hAnsi="Times New Roman" w:eastAsia="仿宋_GB2312" w:cs="Times New Roman"/>
          <w:sz w:val="32"/>
          <w:szCs w:val="32"/>
        </w:rPr>
      </w:pPr>
    </w:p>
    <w:p>
      <w:pPr>
        <w:spacing w:line="312" w:lineRule="auto"/>
        <w:jc w:val="center"/>
        <w:rPr>
          <w:rFonts w:eastAsia="黑体"/>
          <w:szCs w:val="32"/>
        </w:rPr>
      </w:pPr>
      <w:r>
        <w:rPr>
          <w:rFonts w:eastAsia="黑体"/>
          <w:szCs w:val="32"/>
        </w:rPr>
        <w:t>第六章 费用支出与收益分配</w:t>
      </w:r>
    </w:p>
    <w:p>
      <w:pPr>
        <w:spacing w:line="312" w:lineRule="auto"/>
        <w:ind w:firstLine="603" w:firstLineChars="181"/>
        <w:rPr>
          <w:rFonts w:eastAsia="仿宋_GB2312"/>
          <w:szCs w:val="32"/>
        </w:rPr>
      </w:pPr>
      <w:r>
        <w:rPr>
          <w:rFonts w:eastAsia="仿宋_GB2312"/>
          <w:b/>
          <w:bCs/>
          <w:szCs w:val="32"/>
        </w:rPr>
        <w:t>第二十</w:t>
      </w:r>
      <w:r>
        <w:rPr>
          <w:rFonts w:hint="eastAsia" w:eastAsia="仿宋_GB2312"/>
          <w:b/>
          <w:bCs/>
          <w:szCs w:val="32"/>
        </w:rPr>
        <w:t>三</w:t>
      </w:r>
      <w:r>
        <w:rPr>
          <w:rFonts w:eastAsia="仿宋_GB2312"/>
          <w:b/>
          <w:bCs/>
          <w:szCs w:val="32"/>
        </w:rPr>
        <w:t xml:space="preserve">条 </w:t>
      </w:r>
      <w:r>
        <w:rPr>
          <w:rFonts w:hint="eastAsia" w:eastAsia="仿宋_GB2312"/>
          <w:b/>
          <w:bCs/>
          <w:szCs w:val="32"/>
        </w:rPr>
        <w:t xml:space="preserve"> </w:t>
      </w:r>
      <w:r>
        <w:rPr>
          <w:rFonts w:eastAsia="仿宋_GB2312"/>
          <w:szCs w:val="32"/>
        </w:rPr>
        <w:t>母基金每年向母基金管理人支付委托管理费用，管理费费率为母基金实缴资金总额的1%，管理费每年在母基金中列支。二级母基金的管理费用为二级母基金实缴资金总额的1%且每年在二级母基金中列支。</w:t>
      </w:r>
    </w:p>
    <w:p>
      <w:pPr>
        <w:spacing w:line="312" w:lineRule="auto"/>
        <w:ind w:firstLine="600" w:firstLineChars="181"/>
        <w:rPr>
          <w:rFonts w:eastAsia="仿宋_GB2312"/>
          <w:szCs w:val="32"/>
        </w:rPr>
      </w:pPr>
      <w:r>
        <w:rPr>
          <w:rFonts w:eastAsia="仿宋_GB2312"/>
          <w:szCs w:val="32"/>
        </w:rPr>
        <w:t>区</w:t>
      </w:r>
      <w:r>
        <w:rPr>
          <w:rFonts w:hint="eastAsia" w:eastAsia="仿宋_GB2312"/>
          <w:szCs w:val="32"/>
        </w:rPr>
        <w:t>管委会</w:t>
      </w:r>
      <w:r>
        <w:rPr>
          <w:rFonts w:eastAsia="仿宋_GB2312"/>
          <w:szCs w:val="32"/>
        </w:rPr>
        <w:t>批准拨付的托管资金分期到位的，母基金、二级母基金按实际到位金额、时间和上述标准，根据资金到位时间至当年度12月31日期间按实计算，具体在资金实际到位后1个月内提取给基金管理人。此后，在每年度的第一季度前，按上述比例计提管理费给母基金、二级母基金管理人。</w:t>
      </w:r>
    </w:p>
    <w:p>
      <w:pPr>
        <w:spacing w:line="312" w:lineRule="auto"/>
        <w:ind w:firstLine="600" w:firstLineChars="181"/>
        <w:rPr>
          <w:rFonts w:eastAsia="仿宋_GB2312"/>
          <w:szCs w:val="32"/>
        </w:rPr>
      </w:pPr>
      <w:r>
        <w:rPr>
          <w:rFonts w:eastAsia="仿宋_GB2312"/>
          <w:szCs w:val="32"/>
        </w:rPr>
        <w:t>在子基金的存续期内，子基金以实缴资金为基数，按照不高于2%的管理费费率支付子基金管理机构的年度管理费，</w:t>
      </w:r>
      <w:r>
        <w:rPr>
          <w:rFonts w:hint="eastAsia" w:eastAsia="仿宋_GB2312"/>
          <w:szCs w:val="32"/>
        </w:rPr>
        <w:t>子基金的</w:t>
      </w:r>
      <w:r>
        <w:rPr>
          <w:rFonts w:eastAsia="仿宋_GB2312"/>
          <w:szCs w:val="32"/>
        </w:rPr>
        <w:t>存续期不得超过</w:t>
      </w:r>
      <w:r>
        <w:rPr>
          <w:rFonts w:hint="eastAsia" w:eastAsia="仿宋_GB2312"/>
          <w:szCs w:val="32"/>
        </w:rPr>
        <w:t>母基金存续期限</w:t>
      </w:r>
      <w:r>
        <w:rPr>
          <w:rFonts w:eastAsia="仿宋_GB2312"/>
          <w:szCs w:val="32"/>
        </w:rPr>
        <w:t>。</w:t>
      </w:r>
    </w:p>
    <w:p>
      <w:pPr>
        <w:spacing w:line="312" w:lineRule="auto"/>
        <w:ind w:firstLine="667" w:firstLineChars="200"/>
        <w:rPr>
          <w:rFonts w:eastAsia="仿宋_GB2312"/>
          <w:b/>
          <w:bCs/>
          <w:szCs w:val="32"/>
        </w:rPr>
      </w:pPr>
      <w:r>
        <w:rPr>
          <w:rFonts w:eastAsia="仿宋_GB2312"/>
          <w:b/>
          <w:bCs/>
          <w:szCs w:val="32"/>
        </w:rPr>
        <w:t>第二十</w:t>
      </w:r>
      <w:r>
        <w:rPr>
          <w:rFonts w:hint="eastAsia" w:eastAsia="仿宋_GB2312"/>
          <w:b/>
          <w:bCs/>
          <w:szCs w:val="32"/>
        </w:rPr>
        <w:t>四</w:t>
      </w:r>
      <w:r>
        <w:rPr>
          <w:rFonts w:eastAsia="仿宋_GB2312"/>
          <w:b/>
          <w:bCs/>
          <w:szCs w:val="32"/>
        </w:rPr>
        <w:t>条</w:t>
      </w:r>
      <w:r>
        <w:rPr>
          <w:rFonts w:hint="eastAsia" w:eastAsia="仿宋_GB2312"/>
          <w:b/>
          <w:bCs/>
          <w:szCs w:val="32"/>
        </w:rPr>
        <w:t xml:space="preserve">  </w:t>
      </w:r>
      <w:r>
        <w:rPr>
          <w:rFonts w:eastAsia="仿宋_GB2312"/>
          <w:szCs w:val="32"/>
        </w:rPr>
        <w:t>母基金收益让渡</w:t>
      </w:r>
    </w:p>
    <w:p>
      <w:pPr>
        <w:spacing w:line="312" w:lineRule="auto"/>
        <w:ind w:firstLine="664" w:firstLineChars="200"/>
        <w:rPr>
          <w:rFonts w:eastAsia="仿宋_GB2312"/>
          <w:szCs w:val="32"/>
        </w:rPr>
      </w:pPr>
      <w:r>
        <w:rPr>
          <w:rFonts w:eastAsia="仿宋_GB2312"/>
          <w:szCs w:val="32"/>
        </w:rPr>
        <w:t>为体现母基金的引导作用，</w:t>
      </w:r>
      <w:r>
        <w:rPr>
          <w:rFonts w:hint="eastAsia" w:eastAsia="仿宋_GB2312"/>
          <w:szCs w:val="32"/>
        </w:rPr>
        <w:t>对于注册在火炬开发区的参股投资子基金，</w:t>
      </w:r>
      <w:r>
        <w:rPr>
          <w:rFonts w:eastAsia="仿宋_GB2312"/>
          <w:szCs w:val="32"/>
        </w:rPr>
        <w:t>当母基金享有超额收益</w:t>
      </w:r>
      <w:r>
        <w:rPr>
          <w:rFonts w:hint="eastAsia" w:eastAsia="仿宋_GB2312"/>
          <w:szCs w:val="32"/>
        </w:rPr>
        <w:t>（</w:t>
      </w:r>
      <w:r>
        <w:rPr>
          <w:rFonts w:eastAsia="仿宋_GB2312"/>
          <w:szCs w:val="32"/>
        </w:rPr>
        <w:t>收益超过母基金年化收益率6%</w:t>
      </w:r>
      <w:r>
        <w:rPr>
          <w:rFonts w:hint="eastAsia" w:eastAsia="仿宋_GB2312"/>
          <w:szCs w:val="32"/>
        </w:rPr>
        <w:t>（单利）</w:t>
      </w:r>
      <w:r>
        <w:rPr>
          <w:rFonts w:eastAsia="仿宋_GB2312"/>
          <w:szCs w:val="32"/>
        </w:rPr>
        <w:t>部分，下同</w:t>
      </w:r>
      <w:r>
        <w:rPr>
          <w:rFonts w:hint="eastAsia" w:eastAsia="仿宋_GB2312"/>
          <w:szCs w:val="32"/>
        </w:rPr>
        <w:t>）</w:t>
      </w:r>
      <w:r>
        <w:rPr>
          <w:rFonts w:eastAsia="仿宋_GB2312"/>
          <w:szCs w:val="32"/>
        </w:rPr>
        <w:t>时，母基金在子基金按照</w:t>
      </w:r>
      <w:r>
        <w:rPr>
          <w:rFonts w:hint="eastAsia" w:eastAsia="仿宋_GB2312"/>
          <w:szCs w:val="32"/>
        </w:rPr>
        <w:t>实缴</w:t>
      </w:r>
      <w:r>
        <w:rPr>
          <w:rFonts w:eastAsia="仿宋_GB2312"/>
          <w:szCs w:val="32"/>
        </w:rPr>
        <w:t>出资比例所享有的超额收益进行适当让渡，</w:t>
      </w:r>
      <w:r>
        <w:rPr>
          <w:rFonts w:hint="eastAsia" w:eastAsia="仿宋_GB2312"/>
          <w:szCs w:val="32"/>
        </w:rPr>
        <w:t>让渡方式</w:t>
      </w:r>
      <w:r>
        <w:rPr>
          <w:rFonts w:eastAsia="仿宋_GB2312"/>
          <w:szCs w:val="32"/>
        </w:rPr>
        <w:t>按照子基金收益投资</w:t>
      </w:r>
      <w:r>
        <w:rPr>
          <w:rFonts w:hint="eastAsia" w:eastAsia="仿宋_GB2312"/>
          <w:szCs w:val="32"/>
        </w:rPr>
        <w:t>来源</w:t>
      </w:r>
      <w:r>
        <w:rPr>
          <w:rFonts w:eastAsia="仿宋_GB2312"/>
          <w:szCs w:val="32"/>
        </w:rPr>
        <w:t>地域划分为中山市火炬开发区</w:t>
      </w:r>
      <w:r>
        <w:rPr>
          <w:rFonts w:hint="eastAsia" w:eastAsia="仿宋_GB2312"/>
          <w:szCs w:val="32"/>
        </w:rPr>
        <w:t>及南朗镇</w:t>
      </w:r>
      <w:r>
        <w:rPr>
          <w:rFonts w:eastAsia="仿宋_GB2312"/>
          <w:szCs w:val="32"/>
        </w:rPr>
        <w:t>和中山市火炬开发区</w:t>
      </w:r>
      <w:r>
        <w:rPr>
          <w:rFonts w:hint="eastAsia" w:eastAsia="仿宋_GB2312"/>
          <w:szCs w:val="32"/>
        </w:rPr>
        <w:t>及南朗镇</w:t>
      </w:r>
      <w:r>
        <w:rPr>
          <w:rFonts w:eastAsia="仿宋_GB2312"/>
          <w:szCs w:val="32"/>
        </w:rPr>
        <w:t>以外两种情况：</w:t>
      </w:r>
    </w:p>
    <w:p>
      <w:pPr>
        <w:spacing w:line="312" w:lineRule="auto"/>
        <w:ind w:firstLine="664" w:firstLineChars="200"/>
        <w:rPr>
          <w:rFonts w:eastAsia="仿宋_GB2312"/>
          <w:szCs w:val="32"/>
        </w:rPr>
      </w:pPr>
      <w:r>
        <w:rPr>
          <w:rFonts w:eastAsia="仿宋_GB2312"/>
          <w:szCs w:val="32"/>
        </w:rPr>
        <w:t>1</w:t>
      </w:r>
      <w:r>
        <w:rPr>
          <w:rFonts w:hint="eastAsia" w:eastAsia="仿宋_GB2312"/>
          <w:szCs w:val="32"/>
        </w:rPr>
        <w:t>．满</w:t>
      </w:r>
      <w:r>
        <w:rPr>
          <w:rFonts w:eastAsia="仿宋_GB2312"/>
          <w:szCs w:val="32"/>
        </w:rPr>
        <w:t>足子基金及其关联企业投资</w:t>
      </w:r>
      <w:r>
        <w:rPr>
          <w:rFonts w:hint="eastAsia" w:eastAsia="仿宋_GB2312"/>
          <w:szCs w:val="32"/>
        </w:rPr>
        <w:t>于</w:t>
      </w:r>
      <w:r>
        <w:rPr>
          <w:rFonts w:eastAsia="仿宋_GB2312"/>
          <w:szCs w:val="32"/>
        </w:rPr>
        <w:t>中山</w:t>
      </w:r>
      <w:r>
        <w:rPr>
          <w:rFonts w:hint="eastAsia" w:eastAsia="仿宋_GB2312"/>
          <w:szCs w:val="32"/>
        </w:rPr>
        <w:t>市</w:t>
      </w:r>
      <w:r>
        <w:rPr>
          <w:rFonts w:eastAsia="仿宋_GB2312"/>
          <w:szCs w:val="32"/>
        </w:rPr>
        <w:t>的资金</w:t>
      </w:r>
      <w:r>
        <w:rPr>
          <w:rFonts w:hint="eastAsia" w:eastAsia="仿宋_GB2312"/>
          <w:szCs w:val="32"/>
        </w:rPr>
        <w:t>总额</w:t>
      </w:r>
      <w:r>
        <w:rPr>
          <w:rFonts w:eastAsia="仿宋_GB2312"/>
          <w:szCs w:val="32"/>
        </w:rPr>
        <w:t>不低于</w:t>
      </w:r>
      <w:r>
        <w:rPr>
          <w:rFonts w:hint="eastAsia" w:eastAsia="仿宋_GB2312"/>
          <w:szCs w:val="32"/>
        </w:rPr>
        <w:t>母基金实缴出资额的</w:t>
      </w:r>
      <w:r>
        <w:rPr>
          <w:rFonts w:eastAsia="仿宋_GB2312"/>
          <w:szCs w:val="32"/>
        </w:rPr>
        <w:t>2</w:t>
      </w:r>
      <w:r>
        <w:rPr>
          <w:rFonts w:hint="eastAsia" w:eastAsia="仿宋_GB2312"/>
          <w:szCs w:val="32"/>
        </w:rPr>
        <w:t>倍时</w:t>
      </w:r>
      <w:r>
        <w:rPr>
          <w:rFonts w:eastAsia="仿宋_GB2312"/>
          <w:szCs w:val="32"/>
        </w:rPr>
        <w:t>，子基金投资中山</w:t>
      </w:r>
      <w:r>
        <w:rPr>
          <w:rFonts w:hint="eastAsia" w:eastAsia="仿宋_GB2312"/>
          <w:szCs w:val="32"/>
        </w:rPr>
        <w:t>市火炬开发区及南朗镇内</w:t>
      </w:r>
      <w:r>
        <w:rPr>
          <w:rFonts w:eastAsia="仿宋_GB2312"/>
          <w:szCs w:val="32"/>
        </w:rPr>
        <w:t>企业形成的利润，其扣除子基金业绩奖励后归属母基金超额收益的</w:t>
      </w:r>
      <w:r>
        <w:rPr>
          <w:rFonts w:hint="eastAsia" w:eastAsia="仿宋_GB2312"/>
          <w:szCs w:val="32"/>
        </w:rPr>
        <w:t>6</w:t>
      </w:r>
      <w:r>
        <w:rPr>
          <w:rFonts w:eastAsia="仿宋_GB2312"/>
          <w:szCs w:val="32"/>
        </w:rPr>
        <w:t>0%让渡给二级母基金管理公司</w:t>
      </w:r>
      <w:r>
        <w:rPr>
          <w:rFonts w:hint="eastAsia" w:eastAsia="仿宋_GB2312"/>
          <w:szCs w:val="32"/>
        </w:rPr>
        <w:t>、</w:t>
      </w:r>
      <w:r>
        <w:rPr>
          <w:rFonts w:eastAsia="仿宋_GB2312"/>
          <w:szCs w:val="32"/>
        </w:rPr>
        <w:t>子基金的其他</w:t>
      </w:r>
      <w:r>
        <w:rPr>
          <w:rFonts w:hint="eastAsia" w:eastAsia="仿宋_GB2312"/>
          <w:szCs w:val="32"/>
        </w:rPr>
        <w:t>出资人</w:t>
      </w:r>
      <w:r>
        <w:rPr>
          <w:rFonts w:eastAsia="仿宋_GB2312"/>
          <w:szCs w:val="32"/>
        </w:rPr>
        <w:t>、子基金管理机构</w:t>
      </w:r>
      <w:r>
        <w:rPr>
          <w:rFonts w:hint="eastAsia" w:eastAsia="仿宋_GB2312"/>
          <w:szCs w:val="32"/>
        </w:rPr>
        <w:t>（</w:t>
      </w:r>
      <w:r>
        <w:rPr>
          <w:rFonts w:eastAsia="仿宋_GB2312"/>
          <w:szCs w:val="32"/>
        </w:rPr>
        <w:t>二级母基金管理公司、子基金管理机构和其他</w:t>
      </w:r>
      <w:r>
        <w:rPr>
          <w:rFonts w:hint="eastAsia" w:eastAsia="仿宋_GB2312"/>
          <w:szCs w:val="32"/>
        </w:rPr>
        <w:t>出资人</w:t>
      </w:r>
      <w:r>
        <w:rPr>
          <w:rFonts w:eastAsia="仿宋_GB2312"/>
          <w:szCs w:val="32"/>
        </w:rPr>
        <w:t>具体的分配比例由其三方协商</w:t>
      </w:r>
      <w:r>
        <w:rPr>
          <w:rFonts w:hint="eastAsia" w:eastAsia="仿宋_GB2312"/>
          <w:szCs w:val="32"/>
        </w:rPr>
        <w:t>），</w:t>
      </w:r>
      <w:r>
        <w:rPr>
          <w:rFonts w:eastAsia="仿宋_GB2312"/>
          <w:szCs w:val="32"/>
        </w:rPr>
        <w:t>15</w:t>
      </w:r>
      <w:r>
        <w:rPr>
          <w:rFonts w:hint="eastAsia" w:eastAsia="仿宋_GB2312"/>
          <w:szCs w:val="32"/>
        </w:rPr>
        <w:t>%奖励母基金管理公司或二级母基金管理公司，剩余</w:t>
      </w:r>
      <w:r>
        <w:rPr>
          <w:rFonts w:eastAsia="仿宋_GB2312"/>
          <w:szCs w:val="32"/>
        </w:rPr>
        <w:t>25</w:t>
      </w:r>
      <w:r>
        <w:rPr>
          <w:rFonts w:hint="eastAsia" w:eastAsia="仿宋_GB2312"/>
          <w:szCs w:val="32"/>
        </w:rPr>
        <w:t xml:space="preserve">%归母基金所有。 </w:t>
      </w:r>
    </w:p>
    <w:p>
      <w:pPr>
        <w:spacing w:line="312" w:lineRule="auto"/>
        <w:ind w:firstLine="664" w:firstLineChars="200"/>
        <w:rPr>
          <w:rFonts w:eastAsia="仿宋_GB2312"/>
          <w:szCs w:val="32"/>
        </w:rPr>
      </w:pPr>
      <w:r>
        <w:rPr>
          <w:rFonts w:hint="eastAsia" w:eastAsia="仿宋_GB2312"/>
          <w:szCs w:val="32"/>
        </w:rPr>
        <w:t>满足子基金及其关联企业投资于中山市的资金总额不低于母基金实缴出资额的2.5倍时，子基金投资中山市火炬开发区及南朗镇内企业形成的利润，其扣除子基金业绩奖励后归属母基金超额收益的80%让渡给二级母基金管理公司、子基金的其他出资人、子基金管理机构（二级母基金管理公司、子基金管理机构和其他出资人具体的分配比例由其三方协商）,</w:t>
      </w:r>
      <w:r>
        <w:rPr>
          <w:rFonts w:eastAsia="仿宋_GB2312"/>
          <w:szCs w:val="32"/>
        </w:rPr>
        <w:t xml:space="preserve"> 20</w:t>
      </w:r>
      <w:r>
        <w:rPr>
          <w:rFonts w:hint="eastAsia" w:eastAsia="仿宋_GB2312"/>
          <w:szCs w:val="32"/>
        </w:rPr>
        <w:t>%奖励母基金管理公司或二级母基金管理公司。</w:t>
      </w:r>
    </w:p>
    <w:p>
      <w:pPr>
        <w:spacing w:line="312" w:lineRule="auto"/>
        <w:ind w:firstLine="664" w:firstLineChars="200"/>
        <w:rPr>
          <w:rFonts w:eastAsia="仿宋_GB2312"/>
          <w:szCs w:val="32"/>
        </w:rPr>
      </w:pPr>
      <w:r>
        <w:rPr>
          <w:rFonts w:eastAsia="仿宋_GB2312"/>
          <w:szCs w:val="32"/>
        </w:rPr>
        <w:t>2</w:t>
      </w:r>
      <w:r>
        <w:rPr>
          <w:rFonts w:hint="eastAsia" w:eastAsia="仿宋_GB2312"/>
          <w:szCs w:val="32"/>
        </w:rPr>
        <w:t>．</w:t>
      </w:r>
      <w:r>
        <w:rPr>
          <w:rFonts w:eastAsia="仿宋_GB2312"/>
          <w:szCs w:val="32"/>
        </w:rPr>
        <w:t>子基金投资于中山市火炬开发区</w:t>
      </w:r>
      <w:r>
        <w:rPr>
          <w:rFonts w:hint="eastAsia" w:eastAsia="仿宋_GB2312"/>
          <w:szCs w:val="32"/>
        </w:rPr>
        <w:t>及南朗镇</w:t>
      </w:r>
      <w:r>
        <w:rPr>
          <w:rFonts w:eastAsia="仿宋_GB2312"/>
          <w:szCs w:val="32"/>
        </w:rPr>
        <w:t>以外其他区域形成的利润，归属母基金超额收益按子基金相关章程或合伙协议，按出资比例分配，其中扣除子基金业绩奖励后归属母基金超额收益的20%奖励给母基金</w:t>
      </w:r>
      <w:r>
        <w:rPr>
          <w:rFonts w:hint="eastAsia" w:eastAsia="仿宋_GB2312"/>
          <w:szCs w:val="32"/>
        </w:rPr>
        <w:t>管理公司</w:t>
      </w:r>
      <w:r>
        <w:rPr>
          <w:rFonts w:eastAsia="仿宋_GB2312"/>
          <w:szCs w:val="32"/>
        </w:rPr>
        <w:t>、二级母基金管理公司</w:t>
      </w:r>
      <w:r>
        <w:rPr>
          <w:rFonts w:hint="eastAsia" w:eastAsia="仿宋_GB2312"/>
          <w:szCs w:val="32"/>
        </w:rPr>
        <w:t>；</w:t>
      </w:r>
      <w:r>
        <w:rPr>
          <w:rFonts w:eastAsia="仿宋_GB2312"/>
          <w:szCs w:val="32"/>
        </w:rPr>
        <w:t>剩余的80%收益归母基金所有。</w:t>
      </w:r>
    </w:p>
    <w:p>
      <w:pPr>
        <w:spacing w:line="312" w:lineRule="auto"/>
        <w:ind w:firstLine="603" w:firstLineChars="181"/>
        <w:rPr>
          <w:rFonts w:eastAsia="仿宋_GB2312"/>
          <w:szCs w:val="32"/>
        </w:rPr>
      </w:pPr>
      <w:r>
        <w:rPr>
          <w:rFonts w:eastAsia="仿宋_GB2312"/>
          <w:b/>
          <w:bCs/>
          <w:szCs w:val="32"/>
        </w:rPr>
        <w:t>第二十</w:t>
      </w:r>
      <w:r>
        <w:rPr>
          <w:rFonts w:hint="eastAsia" w:eastAsia="仿宋_GB2312"/>
          <w:b/>
          <w:bCs/>
          <w:szCs w:val="32"/>
        </w:rPr>
        <w:t>五</w:t>
      </w:r>
      <w:r>
        <w:rPr>
          <w:rFonts w:eastAsia="仿宋_GB2312"/>
          <w:b/>
          <w:bCs/>
          <w:szCs w:val="32"/>
        </w:rPr>
        <w:t xml:space="preserve">条 </w:t>
      </w:r>
      <w:r>
        <w:rPr>
          <w:rFonts w:hint="eastAsia" w:eastAsia="仿宋_GB2312"/>
          <w:b/>
          <w:bCs/>
          <w:szCs w:val="32"/>
        </w:rPr>
        <w:t xml:space="preserve"> </w:t>
      </w:r>
      <w:r>
        <w:rPr>
          <w:rFonts w:eastAsia="仿宋_GB2312"/>
          <w:szCs w:val="32"/>
        </w:rPr>
        <w:t>区</w:t>
      </w:r>
      <w:r>
        <w:rPr>
          <w:rFonts w:hint="eastAsia" w:eastAsia="仿宋_GB2312"/>
          <w:szCs w:val="32"/>
        </w:rPr>
        <w:t>管委会</w:t>
      </w:r>
      <w:r>
        <w:rPr>
          <w:rFonts w:eastAsia="仿宋_GB2312"/>
          <w:szCs w:val="32"/>
        </w:rPr>
        <w:t>可以对</w:t>
      </w:r>
      <w:r>
        <w:rPr>
          <w:rFonts w:hint="eastAsia" w:eastAsia="仿宋_GB2312"/>
          <w:szCs w:val="32"/>
        </w:rPr>
        <w:t>参股投资</w:t>
      </w:r>
      <w:r>
        <w:rPr>
          <w:rFonts w:eastAsia="仿宋_GB2312"/>
          <w:szCs w:val="32"/>
        </w:rPr>
        <w:t>基金制定相关扶持</w:t>
      </w:r>
      <w:r>
        <w:rPr>
          <w:rFonts w:hint="eastAsia" w:eastAsia="仿宋_GB2312"/>
          <w:szCs w:val="32"/>
        </w:rPr>
        <w:t>或奖惩</w:t>
      </w:r>
      <w:r>
        <w:rPr>
          <w:rFonts w:eastAsia="仿宋_GB2312"/>
          <w:szCs w:val="32"/>
        </w:rPr>
        <w:t>政策。如果</w:t>
      </w:r>
      <w:r>
        <w:rPr>
          <w:rFonts w:hint="eastAsia" w:eastAsia="仿宋_GB2312"/>
          <w:szCs w:val="32"/>
        </w:rPr>
        <w:t>参股投资</w:t>
      </w:r>
      <w:r>
        <w:rPr>
          <w:rFonts w:eastAsia="仿宋_GB2312"/>
          <w:szCs w:val="32"/>
        </w:rPr>
        <w:t>基金在管理过程中，未实现本办法对参股投资基金的各项要求或</w:t>
      </w:r>
      <w:r>
        <w:rPr>
          <w:rFonts w:hint="eastAsia" w:eastAsia="仿宋_GB2312"/>
          <w:szCs w:val="32"/>
        </w:rPr>
        <w:t>参股投资</w:t>
      </w:r>
      <w:r>
        <w:rPr>
          <w:rFonts w:eastAsia="仿宋_GB2312"/>
          <w:szCs w:val="32"/>
        </w:rPr>
        <w:t>基金的相关承诺的，按照具体情况，有权按母基金出资部分的比例扣罚对</w:t>
      </w:r>
      <w:r>
        <w:rPr>
          <w:rFonts w:hint="eastAsia" w:eastAsia="仿宋_GB2312"/>
          <w:szCs w:val="32"/>
        </w:rPr>
        <w:t>参股投资</w:t>
      </w:r>
      <w:r>
        <w:rPr>
          <w:rFonts w:eastAsia="仿宋_GB2312"/>
          <w:szCs w:val="32"/>
        </w:rPr>
        <w:t>基金管理</w:t>
      </w:r>
      <w:r>
        <w:rPr>
          <w:rFonts w:hint="eastAsia" w:eastAsia="仿宋_GB2312"/>
          <w:szCs w:val="32"/>
        </w:rPr>
        <w:t>机构</w:t>
      </w:r>
      <w:r>
        <w:rPr>
          <w:rFonts w:eastAsia="仿宋_GB2312"/>
          <w:szCs w:val="32"/>
        </w:rPr>
        <w:t>的管理费及超额奖励。</w:t>
      </w:r>
    </w:p>
    <w:p>
      <w:pPr>
        <w:spacing w:line="312" w:lineRule="auto"/>
        <w:ind w:firstLine="603" w:firstLineChars="181"/>
        <w:rPr>
          <w:rFonts w:eastAsia="仿宋_GB2312"/>
          <w:szCs w:val="32"/>
        </w:rPr>
      </w:pPr>
      <w:r>
        <w:rPr>
          <w:rFonts w:eastAsia="仿宋_GB2312"/>
          <w:b/>
          <w:szCs w:val="32"/>
        </w:rPr>
        <w:t>第二十</w:t>
      </w:r>
      <w:r>
        <w:rPr>
          <w:rFonts w:hint="eastAsia" w:eastAsia="仿宋_GB2312"/>
          <w:b/>
          <w:szCs w:val="32"/>
        </w:rPr>
        <w:t>六</w:t>
      </w:r>
      <w:r>
        <w:rPr>
          <w:rFonts w:eastAsia="仿宋_GB2312"/>
          <w:b/>
          <w:szCs w:val="32"/>
        </w:rPr>
        <w:t>条</w:t>
      </w:r>
      <w:r>
        <w:rPr>
          <w:rFonts w:eastAsia="仿宋_GB2312"/>
          <w:szCs w:val="32"/>
        </w:rPr>
        <w:t xml:space="preserve"> </w:t>
      </w:r>
      <w:r>
        <w:rPr>
          <w:rFonts w:hint="eastAsia" w:eastAsia="仿宋_GB2312"/>
          <w:szCs w:val="32"/>
        </w:rPr>
        <w:t xml:space="preserve"> </w:t>
      </w:r>
      <w:r>
        <w:rPr>
          <w:rFonts w:eastAsia="仿宋_GB2312"/>
          <w:szCs w:val="32"/>
        </w:rPr>
        <w:t>为鼓励基金管理人及相关人员的积极性，培养人员对母基金的忠诚度，鼓励基金管理层及相关项目组成人员跟投。</w:t>
      </w:r>
      <w:r>
        <w:rPr>
          <w:rFonts w:hint="eastAsia" w:eastAsia="仿宋_GB2312"/>
          <w:szCs w:val="32"/>
        </w:rPr>
        <w:t>依法制定</w:t>
      </w:r>
      <w:r>
        <w:rPr>
          <w:rFonts w:eastAsia="仿宋_GB2312"/>
          <w:szCs w:val="32"/>
        </w:rPr>
        <w:t>跟投制度具体实施细则</w:t>
      </w:r>
      <w:r>
        <w:rPr>
          <w:rFonts w:hint="eastAsia" w:eastAsia="仿宋_GB2312"/>
          <w:szCs w:val="32"/>
        </w:rPr>
        <w:t>，并报区主任办公会议备案。</w:t>
      </w:r>
    </w:p>
    <w:p>
      <w:pPr>
        <w:spacing w:line="312" w:lineRule="auto"/>
        <w:ind w:firstLine="600" w:firstLineChars="181"/>
        <w:rPr>
          <w:rFonts w:eastAsia="仿宋_GB2312"/>
          <w:szCs w:val="32"/>
        </w:rPr>
      </w:pPr>
    </w:p>
    <w:p>
      <w:pPr>
        <w:spacing w:line="312" w:lineRule="auto"/>
        <w:jc w:val="center"/>
        <w:rPr>
          <w:rFonts w:eastAsia="黑体"/>
          <w:szCs w:val="32"/>
        </w:rPr>
      </w:pPr>
      <w:r>
        <w:rPr>
          <w:rFonts w:eastAsia="黑体"/>
          <w:szCs w:val="32"/>
        </w:rPr>
        <w:t>第七章 风险控制与监管</w:t>
      </w:r>
    </w:p>
    <w:p>
      <w:pPr>
        <w:spacing w:line="312" w:lineRule="auto"/>
        <w:ind w:firstLine="667" w:firstLineChars="200"/>
        <w:rPr>
          <w:rFonts w:eastAsia="仿宋_GB2312"/>
          <w:szCs w:val="32"/>
        </w:rPr>
      </w:pPr>
      <w:r>
        <w:rPr>
          <w:rFonts w:eastAsia="仿宋_GB2312"/>
          <w:b/>
          <w:szCs w:val="32"/>
        </w:rPr>
        <w:t>第二十</w:t>
      </w:r>
      <w:r>
        <w:rPr>
          <w:rFonts w:hint="eastAsia" w:eastAsia="仿宋_GB2312"/>
          <w:b/>
          <w:szCs w:val="32"/>
        </w:rPr>
        <w:t>七</w:t>
      </w:r>
      <w:r>
        <w:rPr>
          <w:rFonts w:eastAsia="仿宋_GB2312"/>
          <w:b/>
          <w:szCs w:val="32"/>
        </w:rPr>
        <w:t xml:space="preserve">条 </w:t>
      </w:r>
      <w:r>
        <w:rPr>
          <w:rFonts w:hint="eastAsia" w:eastAsia="仿宋_GB2312"/>
          <w:b/>
          <w:szCs w:val="32"/>
        </w:rPr>
        <w:t xml:space="preserve"> </w:t>
      </w:r>
      <w:r>
        <w:rPr>
          <w:rFonts w:eastAsia="仿宋_GB2312"/>
          <w:szCs w:val="32"/>
        </w:rPr>
        <w:t>母基金必须选择具有相关经验的商业银行进行托管，托管银行负责母基金的资金保管、拨付、结算及监管工作。母基金的基金托管人需履行下列职责：</w:t>
      </w:r>
    </w:p>
    <w:p>
      <w:pPr>
        <w:spacing w:line="312" w:lineRule="auto"/>
        <w:ind w:firstLine="664" w:firstLineChars="200"/>
        <w:rPr>
          <w:rFonts w:eastAsia="仿宋_GB2312"/>
          <w:szCs w:val="32"/>
        </w:rPr>
      </w:pPr>
      <w:r>
        <w:rPr>
          <w:rFonts w:eastAsia="仿宋_GB2312"/>
          <w:szCs w:val="32"/>
        </w:rPr>
        <w:t>（一）安全保管所托管基金的全部资产；</w:t>
      </w:r>
    </w:p>
    <w:p>
      <w:pPr>
        <w:spacing w:line="312" w:lineRule="auto"/>
        <w:ind w:firstLine="664" w:firstLineChars="200"/>
        <w:rPr>
          <w:rFonts w:eastAsia="仿宋_GB2312"/>
          <w:szCs w:val="32"/>
        </w:rPr>
      </w:pPr>
      <w:r>
        <w:rPr>
          <w:rFonts w:eastAsia="仿宋_GB2312"/>
          <w:szCs w:val="32"/>
        </w:rPr>
        <w:t>（二）执行基金管理人发出的投资指令，负责基金名下的资金往来；</w:t>
      </w:r>
    </w:p>
    <w:p>
      <w:pPr>
        <w:spacing w:line="312" w:lineRule="auto"/>
        <w:ind w:firstLine="664" w:firstLineChars="200"/>
        <w:rPr>
          <w:rFonts w:eastAsia="仿宋_GB2312"/>
          <w:szCs w:val="32"/>
        </w:rPr>
      </w:pPr>
      <w:r>
        <w:rPr>
          <w:rFonts w:eastAsia="仿宋_GB2312"/>
          <w:szCs w:val="32"/>
        </w:rPr>
        <w:t>（三）依据托管协议，发现基金管理人违反国家法律法规、基金公司章程</w:t>
      </w:r>
      <w:r>
        <w:rPr>
          <w:rFonts w:hint="eastAsia" w:eastAsia="仿宋_GB2312"/>
          <w:szCs w:val="32"/>
        </w:rPr>
        <w:t>（合伙协议）</w:t>
      </w:r>
      <w:r>
        <w:rPr>
          <w:rFonts w:eastAsia="仿宋_GB2312"/>
          <w:szCs w:val="32"/>
        </w:rPr>
        <w:t>或基金董事会（持有人大会）决议的，不予执行；</w:t>
      </w:r>
    </w:p>
    <w:p>
      <w:pPr>
        <w:spacing w:line="312" w:lineRule="auto"/>
        <w:ind w:firstLine="664" w:firstLineChars="200"/>
        <w:rPr>
          <w:rFonts w:eastAsia="仿宋_GB2312"/>
          <w:szCs w:val="32"/>
        </w:rPr>
      </w:pPr>
      <w:r>
        <w:rPr>
          <w:rFonts w:eastAsia="仿宋_GB2312"/>
          <w:szCs w:val="32"/>
        </w:rPr>
        <w:t>（四）出具基金托管报告，向基金董事会（持有人大会）报告并向主管部门提交年度报告；</w:t>
      </w:r>
    </w:p>
    <w:p>
      <w:pPr>
        <w:spacing w:line="312" w:lineRule="auto"/>
        <w:ind w:firstLine="664" w:firstLineChars="200"/>
        <w:rPr>
          <w:rFonts w:eastAsia="仿宋_GB2312"/>
          <w:szCs w:val="32"/>
        </w:rPr>
      </w:pPr>
      <w:r>
        <w:rPr>
          <w:rFonts w:eastAsia="仿宋_GB2312"/>
          <w:szCs w:val="32"/>
        </w:rPr>
        <w:t>（五）基金公司章程</w:t>
      </w:r>
      <w:r>
        <w:rPr>
          <w:rFonts w:hint="eastAsia" w:eastAsia="仿宋_GB2312"/>
          <w:szCs w:val="32"/>
        </w:rPr>
        <w:t>（合伙协议）</w:t>
      </w:r>
      <w:r>
        <w:rPr>
          <w:rFonts w:eastAsia="仿宋_GB2312"/>
          <w:szCs w:val="32"/>
        </w:rPr>
        <w:t>、基金托管协议中规定的其他职责。</w:t>
      </w:r>
    </w:p>
    <w:p>
      <w:pPr>
        <w:spacing w:line="312" w:lineRule="auto"/>
        <w:ind w:firstLine="667" w:firstLineChars="200"/>
        <w:rPr>
          <w:rFonts w:eastAsia="仿宋_GB2312"/>
          <w:szCs w:val="32"/>
        </w:rPr>
      </w:pPr>
      <w:r>
        <w:rPr>
          <w:rFonts w:eastAsia="仿宋_GB2312"/>
          <w:b/>
          <w:szCs w:val="32"/>
        </w:rPr>
        <w:t>第</w:t>
      </w:r>
      <w:r>
        <w:rPr>
          <w:rFonts w:hint="eastAsia" w:eastAsia="仿宋_GB2312"/>
          <w:b/>
          <w:szCs w:val="32"/>
        </w:rPr>
        <w:t>二十八</w:t>
      </w:r>
      <w:r>
        <w:rPr>
          <w:rFonts w:eastAsia="仿宋_GB2312"/>
          <w:b/>
          <w:szCs w:val="32"/>
        </w:rPr>
        <w:t xml:space="preserve">条 </w:t>
      </w:r>
      <w:r>
        <w:rPr>
          <w:rFonts w:hint="eastAsia" w:eastAsia="仿宋_GB2312"/>
          <w:b/>
          <w:szCs w:val="32"/>
        </w:rPr>
        <w:t xml:space="preserve"> </w:t>
      </w:r>
      <w:r>
        <w:rPr>
          <w:rFonts w:eastAsia="仿宋_GB2312"/>
          <w:bCs/>
          <w:szCs w:val="32"/>
        </w:rPr>
        <w:t>参股</w:t>
      </w:r>
      <w:r>
        <w:rPr>
          <w:rFonts w:hint="eastAsia" w:eastAsia="仿宋_GB2312"/>
          <w:bCs/>
          <w:szCs w:val="32"/>
        </w:rPr>
        <w:t>投资</w:t>
      </w:r>
      <w:r>
        <w:rPr>
          <w:rFonts w:eastAsia="仿宋_GB2312"/>
          <w:bCs/>
          <w:szCs w:val="32"/>
        </w:rPr>
        <w:t>基金应在章程、委托管理协议等法律文件中，明确基金的分配方式、业绩报酬、管理费用和托管费用标准。应在章程中明确规定加强被投资企业的资金使用监管，防范财务风险。</w:t>
      </w:r>
      <w:r>
        <w:rPr>
          <w:rFonts w:hint="eastAsia" w:eastAsia="仿宋_GB2312"/>
          <w:bCs/>
          <w:szCs w:val="32"/>
        </w:rPr>
        <w:t>在合作协议中明确所投基金未能完成投资计划的处理方法。</w:t>
      </w:r>
    </w:p>
    <w:p>
      <w:pPr>
        <w:spacing w:line="312" w:lineRule="auto"/>
        <w:ind w:firstLine="667" w:firstLineChars="200"/>
        <w:rPr>
          <w:rFonts w:eastAsia="仿宋_GB2312"/>
          <w:szCs w:val="32"/>
        </w:rPr>
      </w:pPr>
      <w:r>
        <w:rPr>
          <w:rFonts w:eastAsia="仿宋_GB2312"/>
          <w:b/>
          <w:szCs w:val="32"/>
        </w:rPr>
        <w:t>第</w:t>
      </w:r>
      <w:r>
        <w:rPr>
          <w:rFonts w:hint="eastAsia" w:eastAsia="仿宋_GB2312"/>
          <w:b/>
          <w:szCs w:val="32"/>
        </w:rPr>
        <w:t>二十九</w:t>
      </w:r>
      <w:r>
        <w:rPr>
          <w:rFonts w:eastAsia="仿宋_GB2312"/>
          <w:b/>
          <w:szCs w:val="32"/>
        </w:rPr>
        <w:t xml:space="preserve">条 </w:t>
      </w:r>
      <w:r>
        <w:rPr>
          <w:rFonts w:hint="eastAsia" w:eastAsia="仿宋_GB2312"/>
          <w:b/>
          <w:szCs w:val="32"/>
        </w:rPr>
        <w:t xml:space="preserve"> </w:t>
      </w:r>
      <w:r>
        <w:rPr>
          <w:rFonts w:eastAsia="仿宋_GB2312"/>
          <w:szCs w:val="32"/>
        </w:rPr>
        <w:t>参股</w:t>
      </w:r>
      <w:r>
        <w:rPr>
          <w:rFonts w:hint="eastAsia" w:eastAsia="仿宋_GB2312"/>
          <w:szCs w:val="32"/>
        </w:rPr>
        <w:t>投资</w:t>
      </w:r>
      <w:r>
        <w:rPr>
          <w:rFonts w:eastAsia="仿宋_GB2312"/>
          <w:szCs w:val="32"/>
        </w:rPr>
        <w:t>基金不得从事以下业务：</w:t>
      </w:r>
    </w:p>
    <w:p>
      <w:pPr>
        <w:spacing w:line="312" w:lineRule="auto"/>
        <w:ind w:firstLine="664" w:firstLineChars="200"/>
        <w:rPr>
          <w:rFonts w:eastAsia="仿宋_GB2312"/>
          <w:szCs w:val="32"/>
        </w:rPr>
      </w:pPr>
      <w:r>
        <w:rPr>
          <w:rFonts w:eastAsia="仿宋_GB2312"/>
          <w:szCs w:val="32"/>
        </w:rPr>
        <w:t>（一）从事融资担保以外的担保、抵押、委托贷款、房地产等业务，</w:t>
      </w:r>
      <w:r>
        <w:rPr>
          <w:rFonts w:eastAsia="仿宋_GB2312"/>
          <w:bCs/>
          <w:szCs w:val="32"/>
        </w:rPr>
        <w:t>但为被投资企业提供担保的除外</w:t>
      </w:r>
      <w:r>
        <w:rPr>
          <w:rFonts w:eastAsia="仿宋_GB2312"/>
          <w:szCs w:val="32"/>
        </w:rPr>
        <w:t>；</w:t>
      </w:r>
    </w:p>
    <w:p>
      <w:pPr>
        <w:pStyle w:val="15"/>
        <w:spacing w:before="0" w:beforeAutospacing="0" w:after="0" w:afterAutospacing="0" w:line="312" w:lineRule="auto"/>
        <w:ind w:firstLine="660"/>
        <w:jc w:val="both"/>
        <w:rPr>
          <w:rFonts w:ascii="Times New Roman" w:hAnsi="Times New Roman" w:eastAsia="仿宋_GB2312" w:cs="Times New Roman"/>
          <w:bCs/>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bCs/>
          <w:sz w:val="32"/>
          <w:szCs w:val="32"/>
        </w:rPr>
        <w:t>公开交易类股票投资，包括但不限于</w:t>
      </w:r>
      <w:r>
        <w:rPr>
          <w:rFonts w:ascii="Times New Roman" w:hAnsi="Times New Roman" w:eastAsia="仿宋_GB2312" w:cs="Times New Roman"/>
          <w:sz w:val="32"/>
          <w:szCs w:val="32"/>
        </w:rPr>
        <w:t>投资于二级市场股票</w:t>
      </w:r>
      <w:r>
        <w:rPr>
          <w:rFonts w:ascii="Times New Roman" w:hAnsi="Times New Roman" w:eastAsia="仿宋_GB2312" w:cs="Times New Roman"/>
          <w:bCs/>
          <w:sz w:val="32"/>
          <w:szCs w:val="32"/>
        </w:rPr>
        <w:t>，但以并购重组为目的的除外；</w:t>
      </w:r>
    </w:p>
    <w:p>
      <w:pPr>
        <w:pStyle w:val="15"/>
        <w:spacing w:before="0" w:beforeAutospacing="0" w:after="0" w:afterAutospacing="0" w:line="312" w:lineRule="auto"/>
        <w:ind w:firstLine="6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bCs/>
          <w:sz w:val="32"/>
          <w:szCs w:val="32"/>
        </w:rPr>
        <w:t>直接或间接从事</w:t>
      </w:r>
      <w:r>
        <w:rPr>
          <w:rFonts w:ascii="Times New Roman" w:hAnsi="Times New Roman" w:eastAsia="仿宋_GB2312" w:cs="Times New Roman"/>
          <w:sz w:val="32"/>
          <w:szCs w:val="32"/>
        </w:rPr>
        <w:t>期货、证券投资基金、评级AAA以下的企业债券、信托产品、非保本型理财产品、保险计划及其他金融衍生品交易</w:t>
      </w:r>
      <w:r>
        <w:rPr>
          <w:rFonts w:ascii="Times New Roman" w:hAnsi="Times New Roman" w:eastAsia="仿宋_GB2312" w:cs="Times New Roman"/>
          <w:bCs/>
          <w:sz w:val="32"/>
          <w:szCs w:val="32"/>
        </w:rPr>
        <w:t>；</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（四）向任何第三人提供赞助、捐赠（经批准的公益性捐赠除外）等；</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（五）吸收或变相吸收存款，或向第三方提供贷款和资金拆借；</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（六）进行承担无限连带责任的对外投资；</w:t>
      </w:r>
    </w:p>
    <w:p>
      <w:pPr>
        <w:pStyle w:val="15"/>
        <w:spacing w:before="0" w:beforeAutospacing="0" w:after="0" w:afterAutospacing="0" w:line="312" w:lineRule="auto"/>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（七）发行信托或集合理财产品募集资金；</w:t>
      </w:r>
    </w:p>
    <w:p>
      <w:pPr>
        <w:pStyle w:val="15"/>
        <w:spacing w:before="0" w:beforeAutospacing="0" w:after="0" w:afterAutospacing="0" w:line="312" w:lineRule="auto"/>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（八）其他国家法律法规禁止从事的业务。</w:t>
      </w:r>
    </w:p>
    <w:p>
      <w:pPr>
        <w:pStyle w:val="15"/>
        <w:spacing w:before="0" w:beforeAutospacing="0" w:after="0" w:afterAutospacing="0" w:line="312" w:lineRule="auto"/>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母基金参与投资二级母基金或者子基金的，应当与其他出资人在基金公司章程或合伙协议中明确约定，母基金所投入到基金的资金不得被用于上述禁止从事的业务。</w:t>
      </w:r>
    </w:p>
    <w:p>
      <w:pPr>
        <w:pStyle w:val="15"/>
        <w:spacing w:before="0" w:beforeAutospacing="0" w:after="0" w:afterAutospacing="0" w:line="312" w:lineRule="auto"/>
        <w:ind w:firstLine="581" w:firstLineChars="181"/>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第三十条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bCs/>
          <w:sz w:val="32"/>
          <w:szCs w:val="32"/>
        </w:rPr>
        <w:t>母基金管理人应与其他出资人在参股</w:t>
      </w:r>
      <w:r>
        <w:rPr>
          <w:rFonts w:hint="eastAsia" w:ascii="Times New Roman" w:hAnsi="Times New Roman" w:eastAsia="仿宋_GB2312" w:cs="Times New Roman"/>
          <w:bCs/>
          <w:sz w:val="32"/>
          <w:szCs w:val="32"/>
        </w:rPr>
        <w:t>投资</w:t>
      </w:r>
      <w:r>
        <w:rPr>
          <w:rFonts w:ascii="Times New Roman" w:hAnsi="Times New Roman" w:eastAsia="仿宋_GB2312" w:cs="Times New Roman"/>
          <w:bCs/>
          <w:sz w:val="32"/>
          <w:szCs w:val="32"/>
        </w:rPr>
        <w:t>基金章程或合伙协议中约定，母基金以出资额为限对参股</w:t>
      </w:r>
      <w:r>
        <w:rPr>
          <w:rFonts w:hint="eastAsia" w:ascii="Times New Roman" w:hAnsi="Times New Roman" w:eastAsia="仿宋_GB2312" w:cs="Times New Roman"/>
          <w:bCs/>
          <w:sz w:val="32"/>
          <w:szCs w:val="32"/>
        </w:rPr>
        <w:t>投资</w:t>
      </w:r>
      <w:r>
        <w:rPr>
          <w:rFonts w:ascii="Times New Roman" w:hAnsi="Times New Roman" w:eastAsia="仿宋_GB2312" w:cs="Times New Roman"/>
          <w:bCs/>
          <w:sz w:val="32"/>
          <w:szCs w:val="32"/>
        </w:rPr>
        <w:t>基金债务承担责任。</w:t>
      </w:r>
    </w:p>
    <w:p>
      <w:pPr>
        <w:pStyle w:val="15"/>
        <w:spacing w:before="0" w:beforeAutospacing="0" w:after="0" w:afterAutospacing="0" w:line="312" w:lineRule="auto"/>
        <w:ind w:firstLine="63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 xml:space="preserve">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母基金管理人原则上需委派代表担任参股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子基金投资决策委员会成员，享有投票表决、查阅基金档案文件、监督参股子基金按照相关协议及本办法规定的要求进行投资运作等权利，有权组织中介机构对参股</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子基金进行专项审计。</w:t>
      </w:r>
    </w:p>
    <w:p>
      <w:pPr>
        <w:pStyle w:val="15"/>
        <w:spacing w:before="0" w:beforeAutospacing="0" w:after="0" w:afterAutospacing="0" w:line="312" w:lineRule="auto"/>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 xml:space="preserve">条 </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母基金管理人应于每季度</w:t>
      </w:r>
      <w:r>
        <w:rPr>
          <w:rFonts w:hint="eastAsia" w:ascii="Times New Roman" w:hAnsi="Times New Roman" w:eastAsia="仿宋_GB2312" w:cs="Times New Roman"/>
          <w:sz w:val="32"/>
          <w:szCs w:val="32"/>
        </w:rPr>
        <w:t>结束</w:t>
      </w:r>
      <w:r>
        <w:rPr>
          <w:rFonts w:ascii="Times New Roman" w:hAnsi="Times New Roman" w:eastAsia="仿宋_GB2312" w:cs="Times New Roman"/>
          <w:sz w:val="32"/>
          <w:szCs w:val="32"/>
        </w:rPr>
        <w:t>向投委会报送</w:t>
      </w:r>
      <w:r>
        <w:rPr>
          <w:rFonts w:hint="eastAsia" w:ascii="Times New Roman" w:hAnsi="Times New Roman" w:eastAsia="仿宋_GB2312" w:cs="Times New Roman"/>
          <w:sz w:val="32"/>
          <w:szCs w:val="32"/>
        </w:rPr>
        <w:t>基金投资运作情况，</w:t>
      </w:r>
      <w:r>
        <w:rPr>
          <w:rFonts w:ascii="Times New Roman" w:hAnsi="Times New Roman" w:eastAsia="仿宋_GB2312" w:cs="Times New Roman"/>
          <w:sz w:val="32"/>
          <w:szCs w:val="32"/>
        </w:rPr>
        <w:t>每年度</w:t>
      </w:r>
      <w:r>
        <w:rPr>
          <w:rFonts w:hint="eastAsia" w:ascii="Times New Roman" w:hAnsi="Times New Roman" w:eastAsia="仿宋_GB2312" w:cs="Times New Roman"/>
          <w:sz w:val="32"/>
          <w:szCs w:val="32"/>
        </w:rPr>
        <w:t>结束</w:t>
      </w:r>
      <w:r>
        <w:rPr>
          <w:rFonts w:ascii="Times New Roman" w:hAnsi="Times New Roman" w:eastAsia="仿宋_GB2312" w:cs="Times New Roman"/>
          <w:sz w:val="32"/>
          <w:szCs w:val="32"/>
        </w:rPr>
        <w:t>向投委会报送基金年度报告。</w:t>
      </w:r>
    </w:p>
    <w:p>
      <w:pPr>
        <w:widowControl/>
        <w:spacing w:line="312" w:lineRule="auto"/>
        <w:ind w:firstLine="480"/>
        <w:rPr>
          <w:rFonts w:eastAsia="仿宋_GB2312"/>
          <w:kern w:val="0"/>
          <w:szCs w:val="32"/>
        </w:rPr>
      </w:pPr>
      <w:r>
        <w:rPr>
          <w:rFonts w:eastAsia="仿宋_GB2312"/>
          <w:b/>
          <w:bCs/>
          <w:kern w:val="0"/>
          <w:szCs w:val="32"/>
        </w:rPr>
        <w:t xml:space="preserve"> 第三十</w:t>
      </w:r>
      <w:r>
        <w:rPr>
          <w:rFonts w:hint="eastAsia" w:eastAsia="仿宋_GB2312"/>
          <w:b/>
          <w:bCs/>
          <w:kern w:val="0"/>
          <w:szCs w:val="32"/>
        </w:rPr>
        <w:t>三</w:t>
      </w:r>
      <w:r>
        <w:rPr>
          <w:rFonts w:eastAsia="仿宋_GB2312"/>
          <w:b/>
          <w:bCs/>
          <w:kern w:val="0"/>
          <w:szCs w:val="32"/>
        </w:rPr>
        <w:t>条</w:t>
      </w:r>
      <w:bookmarkStart w:id="3" w:name="No131_Z7T30K1"/>
      <w:bookmarkEnd w:id="3"/>
      <w:r>
        <w:rPr>
          <w:rFonts w:eastAsia="仿宋_GB2312"/>
          <w:b/>
          <w:bCs/>
          <w:kern w:val="0"/>
          <w:szCs w:val="32"/>
        </w:rPr>
        <w:t xml:space="preserve"> </w:t>
      </w:r>
      <w:r>
        <w:rPr>
          <w:rFonts w:hint="eastAsia" w:eastAsia="仿宋_GB2312"/>
          <w:b/>
          <w:bCs/>
          <w:kern w:val="0"/>
          <w:szCs w:val="32"/>
        </w:rPr>
        <w:t xml:space="preserve"> </w:t>
      </w:r>
      <w:r>
        <w:rPr>
          <w:rFonts w:hint="eastAsia" w:eastAsia="仿宋_GB2312"/>
          <w:kern w:val="0"/>
          <w:szCs w:val="32"/>
        </w:rPr>
        <w:t>对母基金运作中的各种违规行为以及创业投资企业弄虚作假骗取母基金或不按规定用途使用、截留挪用母基金等行为，建立责任追究制度。</w:t>
      </w:r>
    </w:p>
    <w:p>
      <w:pPr>
        <w:widowControl/>
        <w:spacing w:line="312" w:lineRule="auto"/>
        <w:ind w:firstLine="480"/>
      </w:pPr>
      <w:r>
        <w:rPr>
          <w:rFonts w:hint="eastAsia" w:eastAsia="仿宋_GB2312"/>
          <w:b/>
          <w:bCs/>
          <w:kern w:val="0"/>
          <w:szCs w:val="32"/>
        </w:rPr>
        <w:t>第三十四条</w:t>
      </w:r>
      <w:r>
        <w:rPr>
          <w:rFonts w:hint="eastAsia" w:eastAsia="仿宋_GB2312"/>
          <w:kern w:val="0"/>
          <w:szCs w:val="32"/>
        </w:rPr>
        <w:t xml:space="preserve">  母基金纳入公共财政考核评价体系。</w:t>
      </w:r>
    </w:p>
    <w:p>
      <w:pPr>
        <w:pStyle w:val="15"/>
        <w:spacing w:before="0" w:beforeAutospacing="0" w:after="0" w:afterAutospacing="0" w:line="312" w:lineRule="auto"/>
        <w:jc w:val="both"/>
        <w:rPr>
          <w:rFonts w:ascii="Times New Roman" w:hAnsi="Times New Roman" w:eastAsia="仿宋_GB2312" w:cs="Times New Roman"/>
          <w:sz w:val="32"/>
          <w:szCs w:val="32"/>
        </w:rPr>
      </w:pPr>
    </w:p>
    <w:p>
      <w:pPr>
        <w:pStyle w:val="15"/>
        <w:spacing w:before="0" w:beforeAutospacing="0" w:after="0" w:afterAutospacing="0" w:line="312" w:lineRule="auto"/>
        <w:jc w:val="center"/>
        <w:rPr>
          <w:rFonts w:ascii="Times New Roman" w:hAnsi="Times New Roman" w:cs="Times New Roman"/>
        </w:rPr>
      </w:pPr>
      <w:r>
        <w:rPr>
          <w:rFonts w:ascii="Times New Roman" w:hAnsi="Times New Roman" w:eastAsia="黑体" w:cs="Times New Roman"/>
          <w:sz w:val="32"/>
          <w:szCs w:val="32"/>
        </w:rPr>
        <w:t>第八章 附则</w:t>
      </w:r>
    </w:p>
    <w:p>
      <w:pPr>
        <w:widowControl/>
        <w:spacing w:line="312" w:lineRule="auto"/>
        <w:ind w:firstLine="684"/>
        <w:rPr>
          <w:rFonts w:eastAsia="仿宋_GB2312"/>
          <w:kern w:val="0"/>
          <w:szCs w:val="32"/>
        </w:rPr>
      </w:pPr>
      <w:r>
        <w:rPr>
          <w:rFonts w:eastAsia="仿宋_GB2312"/>
          <w:b/>
          <w:bCs/>
          <w:kern w:val="0"/>
          <w:szCs w:val="32"/>
        </w:rPr>
        <w:t>第三十</w:t>
      </w:r>
      <w:r>
        <w:rPr>
          <w:rFonts w:hint="eastAsia" w:eastAsia="仿宋_GB2312"/>
          <w:b/>
          <w:bCs/>
          <w:kern w:val="0"/>
          <w:szCs w:val="32"/>
        </w:rPr>
        <w:t>五</w:t>
      </w:r>
      <w:r>
        <w:rPr>
          <w:rFonts w:eastAsia="仿宋_GB2312"/>
          <w:b/>
          <w:bCs/>
          <w:kern w:val="0"/>
          <w:szCs w:val="32"/>
        </w:rPr>
        <w:t xml:space="preserve">条 </w:t>
      </w:r>
      <w:r>
        <w:rPr>
          <w:rFonts w:hint="eastAsia" w:eastAsia="仿宋_GB2312"/>
          <w:b/>
          <w:bCs/>
          <w:kern w:val="0"/>
          <w:szCs w:val="32"/>
        </w:rPr>
        <w:t xml:space="preserve"> </w:t>
      </w:r>
      <w:r>
        <w:rPr>
          <w:rFonts w:eastAsia="仿宋_GB2312"/>
          <w:kern w:val="0"/>
          <w:szCs w:val="32"/>
        </w:rPr>
        <w:t>本办法由</w:t>
      </w:r>
      <w:r>
        <w:rPr>
          <w:rFonts w:hint="eastAsia" w:eastAsia="仿宋_GB2312"/>
          <w:kern w:val="0"/>
          <w:szCs w:val="32"/>
        </w:rPr>
        <w:t>财政局、</w:t>
      </w:r>
      <w:r>
        <w:rPr>
          <w:rFonts w:hint="eastAsia" w:eastAsia="仿宋_GB2312"/>
          <w:bCs/>
          <w:szCs w:val="32"/>
        </w:rPr>
        <w:t>中山火炬公有资产经营有限公司</w:t>
      </w:r>
      <w:r>
        <w:rPr>
          <w:rFonts w:eastAsia="仿宋_GB2312"/>
          <w:kern w:val="0"/>
          <w:szCs w:val="32"/>
        </w:rPr>
        <w:t>负责解释。</w:t>
      </w:r>
    </w:p>
    <w:p>
      <w:pPr>
        <w:widowControl/>
        <w:spacing w:line="312" w:lineRule="auto"/>
        <w:ind w:firstLine="684"/>
        <w:rPr>
          <w:rFonts w:eastAsia="仿宋_GB2312"/>
          <w:kern w:val="0"/>
          <w:szCs w:val="32"/>
        </w:rPr>
      </w:pPr>
      <w:r>
        <w:rPr>
          <w:rFonts w:hint="eastAsia" w:eastAsia="仿宋_GB2312"/>
          <w:b/>
          <w:bCs/>
          <w:kern w:val="0"/>
          <w:szCs w:val="32"/>
        </w:rPr>
        <w:t>第三十六条</w:t>
      </w:r>
      <w:r>
        <w:rPr>
          <w:rFonts w:hint="eastAsia" w:eastAsia="仿宋_GB2312"/>
          <w:kern w:val="0"/>
          <w:szCs w:val="32"/>
        </w:rPr>
        <w:t xml:space="preserve">  除本办法另有特别明确规定外，本办法中所述的“以上”、“以下”均包括本数，“超过”则不包含本数。</w:t>
      </w:r>
    </w:p>
    <w:p>
      <w:pPr>
        <w:spacing w:line="312" w:lineRule="auto"/>
        <w:ind w:firstLine="690"/>
        <w:rPr>
          <w:rFonts w:eastAsia="仿宋_GB2312"/>
          <w:kern w:val="0"/>
          <w:szCs w:val="32"/>
        </w:rPr>
      </w:pPr>
      <w:r>
        <w:rPr>
          <w:rFonts w:eastAsia="仿宋_GB2312"/>
          <w:b/>
          <w:bCs/>
          <w:kern w:val="0"/>
          <w:szCs w:val="32"/>
        </w:rPr>
        <w:t>第三十</w:t>
      </w:r>
      <w:r>
        <w:rPr>
          <w:rFonts w:hint="eastAsia" w:eastAsia="仿宋_GB2312"/>
          <w:b/>
          <w:bCs/>
          <w:kern w:val="0"/>
          <w:szCs w:val="32"/>
        </w:rPr>
        <w:t>七</w:t>
      </w:r>
      <w:r>
        <w:rPr>
          <w:rFonts w:eastAsia="仿宋_GB2312"/>
          <w:b/>
          <w:bCs/>
          <w:kern w:val="0"/>
          <w:szCs w:val="32"/>
        </w:rPr>
        <w:t>条</w:t>
      </w:r>
      <w:r>
        <w:rPr>
          <w:rFonts w:eastAsia="仿宋_GB2312"/>
          <w:kern w:val="0"/>
          <w:szCs w:val="32"/>
        </w:rPr>
        <w:t xml:space="preserve"> </w:t>
      </w:r>
      <w:r>
        <w:rPr>
          <w:rFonts w:hint="eastAsia" w:eastAsia="仿宋_GB2312"/>
          <w:kern w:val="0"/>
          <w:szCs w:val="32"/>
        </w:rPr>
        <w:t xml:space="preserve"> </w:t>
      </w:r>
      <w:r>
        <w:rPr>
          <w:rFonts w:eastAsia="仿宋_GB2312"/>
          <w:kern w:val="0"/>
          <w:szCs w:val="32"/>
        </w:rPr>
        <w:t>本办法自印发之日起实施</w:t>
      </w:r>
      <w:r>
        <w:rPr>
          <w:rFonts w:hint="eastAsia" w:eastAsia="仿宋_GB2312"/>
          <w:kern w:val="0"/>
          <w:szCs w:val="32"/>
        </w:rPr>
        <w:t>，</w:t>
      </w:r>
      <w:r>
        <w:rPr>
          <w:rFonts w:eastAsia="仿宋_GB2312"/>
          <w:kern w:val="0"/>
          <w:szCs w:val="32"/>
        </w:rPr>
        <w:t>有效期5年。</w:t>
      </w:r>
      <w:r>
        <w:rPr>
          <w:rFonts w:hint="eastAsia" w:eastAsia="仿宋_GB2312"/>
          <w:kern w:val="0"/>
          <w:szCs w:val="32"/>
        </w:rPr>
        <w:t>本办法实施前已完成</w:t>
      </w:r>
      <w:r>
        <w:rPr>
          <w:rFonts w:eastAsia="仿宋_GB2312"/>
          <w:szCs w:val="32"/>
        </w:rPr>
        <w:t>设立或增资</w:t>
      </w:r>
      <w:r>
        <w:rPr>
          <w:rFonts w:hint="eastAsia" w:eastAsia="仿宋_GB2312"/>
          <w:szCs w:val="32"/>
        </w:rPr>
        <w:t>手续</w:t>
      </w:r>
      <w:r>
        <w:rPr>
          <w:rFonts w:eastAsia="仿宋_GB2312"/>
          <w:szCs w:val="32"/>
        </w:rPr>
        <w:t>的</w:t>
      </w:r>
      <w:r>
        <w:rPr>
          <w:rFonts w:hint="eastAsia" w:eastAsia="仿宋_GB2312"/>
          <w:szCs w:val="32"/>
        </w:rPr>
        <w:t>，按设立或增资的相关协议执行；本办法实施前</w:t>
      </w:r>
      <w:r>
        <w:rPr>
          <w:rFonts w:hint="eastAsia" w:eastAsia="仿宋_GB2312"/>
          <w:kern w:val="0"/>
          <w:szCs w:val="32"/>
        </w:rPr>
        <w:t>已获得</w:t>
      </w:r>
      <w:r>
        <w:rPr>
          <w:rFonts w:hint="eastAsia" w:eastAsia="仿宋_GB2312"/>
          <w:szCs w:val="32"/>
        </w:rPr>
        <w:t>区党工委会审议通过的，按《关于印发中山火炬开发区科创产业母基金管理办法的通知》（中开管[</w:t>
      </w:r>
      <w:r>
        <w:rPr>
          <w:rFonts w:eastAsia="仿宋_GB2312"/>
          <w:szCs w:val="32"/>
        </w:rPr>
        <w:t>2020]57</w:t>
      </w:r>
      <w:r>
        <w:rPr>
          <w:rFonts w:hint="eastAsia" w:eastAsia="仿宋_GB2312"/>
          <w:szCs w:val="32"/>
        </w:rPr>
        <w:t>号）规定执行。</w:t>
      </w:r>
    </w:p>
    <w:p>
      <w:pPr>
        <w:spacing w:line="312" w:lineRule="auto"/>
        <w:rPr>
          <w:rFonts w:eastAsia="仿宋_GB2312"/>
          <w:spacing w:val="17"/>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r>
        <w:rPr>
          <w:rFonts w:hint="eastAsia" w:eastAsia="仿宋_GB2312"/>
          <w:szCs w:val="32"/>
        </w:rPr>
        <w:t xml:space="preserve"> </w:t>
      </w: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spacing w:line="312" w:lineRule="auto"/>
        <w:rPr>
          <w:rFonts w:eastAsia="仿宋_GB2312"/>
          <w:szCs w:val="32"/>
        </w:rPr>
      </w:pPr>
    </w:p>
    <w:p>
      <w:pPr>
        <w:pBdr>
          <w:top w:val="single" w:color="auto" w:sz="4" w:space="1"/>
          <w:bottom w:val="single" w:color="auto" w:sz="4" w:space="1"/>
          <w:between w:val="single" w:color="auto" w:sz="4" w:space="1"/>
        </w:pBdr>
        <w:spacing w:line="312" w:lineRule="auto"/>
        <w:ind w:firstLine="156" w:firstLineChars="50"/>
        <w:rPr>
          <w:rFonts w:eastAsia="仿宋_GB2312"/>
          <w:color w:val="000000"/>
          <w:sz w:val="30"/>
          <w:szCs w:val="30"/>
        </w:rPr>
      </w:pPr>
      <w:r>
        <w:rPr>
          <w:rFonts w:eastAsia="仿宋_GB2312"/>
          <w:color w:val="000000"/>
          <w:sz w:val="30"/>
          <w:szCs w:val="30"/>
        </w:rPr>
        <w:t>中山火炬开发区党政办公室文秘科      202</w:t>
      </w:r>
      <w:ins w:id="0" w:author="T H" w:date="2021-06-08T17:35:00Z">
        <w:r>
          <w:rPr>
            <w:rFonts w:eastAsia="仿宋_GB2312"/>
            <w:color w:val="000000"/>
            <w:sz w:val="30"/>
            <w:szCs w:val="30"/>
          </w:rPr>
          <w:t>1</w:t>
        </w:r>
      </w:ins>
      <w:r>
        <w:rPr>
          <w:rFonts w:eastAsia="仿宋_GB2312"/>
          <w:color w:val="000000"/>
          <w:sz w:val="30"/>
          <w:szCs w:val="30"/>
        </w:rPr>
        <w:t>年月日印发</w:t>
      </w:r>
    </w:p>
    <w:p>
      <w:pPr>
        <w:spacing w:line="312" w:lineRule="auto"/>
        <w:jc w:val="right"/>
        <w:rPr>
          <w:rFonts w:eastAsia="仿宋_GB2312"/>
          <w:color w:val="000000"/>
          <w:szCs w:val="32"/>
        </w:rPr>
      </w:pPr>
      <w:r>
        <w:rPr>
          <w:rFonts w:eastAsia="仿宋_GB2312"/>
          <w:color w:val="000000"/>
          <w:sz w:val="30"/>
          <w:szCs w:val="30"/>
        </w:rPr>
        <w:t>（共印</w:t>
      </w:r>
      <w:ins w:id="1" w:author="Windows 用户" w:date="2021-06-11T13:32:00Z">
        <w:r>
          <w:rPr>
            <w:rFonts w:hint="eastAsia" w:eastAsia="仿宋_GB2312"/>
            <w:color w:val="000000"/>
            <w:sz w:val="30"/>
            <w:szCs w:val="30"/>
          </w:rPr>
          <w:t xml:space="preserve"> </w:t>
        </w:r>
      </w:ins>
      <w:r>
        <w:rPr>
          <w:rFonts w:eastAsia="仿宋_GB2312"/>
          <w:color w:val="000000"/>
          <w:sz w:val="30"/>
          <w:szCs w:val="30"/>
        </w:rPr>
        <w:t>份）</w:t>
      </w:r>
    </w:p>
    <w:sectPr>
      <w:footerReference r:id="rId5" w:type="default"/>
      <w:pgSz w:w="11906" w:h="16838"/>
      <w:pgMar w:top="2211" w:right="1531" w:bottom="1871" w:left="1531" w:header="850" w:footer="992" w:gutter="0"/>
      <w:cols w:space="720" w:num="1"/>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ZXBSJW--GB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b/>
        <w:sz w:val="30"/>
        <w:szCs w:val="30"/>
      </w:rPr>
    </w:pPr>
    <w:r>
      <w:rPr>
        <w:rStyle w:val="20"/>
        <w:rFonts w:hint="eastAsia"/>
        <w:b/>
        <w:sz w:val="30"/>
        <w:szCs w:val="30"/>
      </w:rPr>
      <w:t xml:space="preserve">— </w:t>
    </w:r>
    <w:r>
      <w:rPr>
        <w:sz w:val="30"/>
        <w:szCs w:val="30"/>
      </w:rPr>
      <w:fldChar w:fldCharType="begin"/>
    </w:r>
    <w:r>
      <w:rPr>
        <w:rStyle w:val="20"/>
        <w:sz w:val="30"/>
        <w:szCs w:val="30"/>
      </w:rPr>
      <w:instrText xml:space="preserve">PAGE  </w:instrText>
    </w:r>
    <w:r>
      <w:rPr>
        <w:sz w:val="30"/>
        <w:szCs w:val="30"/>
      </w:rPr>
      <w:fldChar w:fldCharType="separate"/>
    </w:r>
    <w:r>
      <w:rPr>
        <w:rStyle w:val="20"/>
        <w:sz w:val="30"/>
        <w:szCs w:val="30"/>
      </w:rPr>
      <w:t>1</w:t>
    </w:r>
    <w:r>
      <w:rPr>
        <w:sz w:val="30"/>
        <w:szCs w:val="30"/>
      </w:rPr>
      <w:fldChar w:fldCharType="end"/>
    </w:r>
    <w:r>
      <w:rPr>
        <w:rStyle w:val="20"/>
        <w:rFonts w:hint="eastAsia"/>
        <w:b/>
        <w:sz w:val="30"/>
        <w:szCs w:val="30"/>
      </w:rPr>
      <w:t xml:space="preserve"> —</w:t>
    </w:r>
  </w:p>
  <w:p>
    <w:pPr>
      <w:pStyle w:val="1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8F44C"/>
    <w:multiLevelType w:val="singleLevel"/>
    <w:tmpl w:val="5938F44C"/>
    <w:lvl w:ilvl="0" w:tentative="0">
      <w:start w:val="3"/>
      <w:numFmt w:val="chineseCounting"/>
      <w:suff w:val="nothing"/>
      <w:lvlText w:val="（%1）"/>
      <w:lvlJc w:val="left"/>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 H">
    <w15:presenceInfo w15:providerId="Windows Live" w15:userId="02d48a04b3d1be9e"/>
  </w15:person>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332"/>
  <w:drawingGridVerticalSpacing w:val="220"/>
  <w:displayVerticalDrawingGridEvery w:val="2"/>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DA"/>
    <w:rsid w:val="00001EE0"/>
    <w:rsid w:val="00004498"/>
    <w:rsid w:val="0001197B"/>
    <w:rsid w:val="00015F50"/>
    <w:rsid w:val="00016580"/>
    <w:rsid w:val="0002079A"/>
    <w:rsid w:val="000208DF"/>
    <w:rsid w:val="00023828"/>
    <w:rsid w:val="00025199"/>
    <w:rsid w:val="00025773"/>
    <w:rsid w:val="000277F8"/>
    <w:rsid w:val="00030742"/>
    <w:rsid w:val="00032301"/>
    <w:rsid w:val="00041354"/>
    <w:rsid w:val="000445D6"/>
    <w:rsid w:val="00044AB5"/>
    <w:rsid w:val="000472DE"/>
    <w:rsid w:val="00047B86"/>
    <w:rsid w:val="0005076A"/>
    <w:rsid w:val="00051470"/>
    <w:rsid w:val="00055DA3"/>
    <w:rsid w:val="00056764"/>
    <w:rsid w:val="00057249"/>
    <w:rsid w:val="00060817"/>
    <w:rsid w:val="00064081"/>
    <w:rsid w:val="00066FDE"/>
    <w:rsid w:val="000678A9"/>
    <w:rsid w:val="0007195E"/>
    <w:rsid w:val="000775C3"/>
    <w:rsid w:val="00083746"/>
    <w:rsid w:val="000853A1"/>
    <w:rsid w:val="00086B87"/>
    <w:rsid w:val="00086C02"/>
    <w:rsid w:val="00090134"/>
    <w:rsid w:val="00090FC8"/>
    <w:rsid w:val="0009725B"/>
    <w:rsid w:val="00097967"/>
    <w:rsid w:val="00097DEA"/>
    <w:rsid w:val="000A4034"/>
    <w:rsid w:val="000A41A6"/>
    <w:rsid w:val="000A5325"/>
    <w:rsid w:val="000A593D"/>
    <w:rsid w:val="000A5D7D"/>
    <w:rsid w:val="000B0B4B"/>
    <w:rsid w:val="000B12F5"/>
    <w:rsid w:val="000B24C4"/>
    <w:rsid w:val="000B5E6E"/>
    <w:rsid w:val="000C0564"/>
    <w:rsid w:val="000C3A75"/>
    <w:rsid w:val="000C5A4D"/>
    <w:rsid w:val="000C75C9"/>
    <w:rsid w:val="000D0ED0"/>
    <w:rsid w:val="000D151D"/>
    <w:rsid w:val="000D2A5D"/>
    <w:rsid w:val="000D4F7E"/>
    <w:rsid w:val="000D502E"/>
    <w:rsid w:val="000D57B6"/>
    <w:rsid w:val="000E02FB"/>
    <w:rsid w:val="000E3112"/>
    <w:rsid w:val="000E3138"/>
    <w:rsid w:val="000E31FA"/>
    <w:rsid w:val="000E6688"/>
    <w:rsid w:val="000F02C1"/>
    <w:rsid w:val="000F303C"/>
    <w:rsid w:val="000F4A5D"/>
    <w:rsid w:val="00100F68"/>
    <w:rsid w:val="00105C79"/>
    <w:rsid w:val="00106847"/>
    <w:rsid w:val="00113E8E"/>
    <w:rsid w:val="00115B52"/>
    <w:rsid w:val="001173E2"/>
    <w:rsid w:val="001174E8"/>
    <w:rsid w:val="00117A81"/>
    <w:rsid w:val="00123192"/>
    <w:rsid w:val="00130165"/>
    <w:rsid w:val="001302DB"/>
    <w:rsid w:val="001310D8"/>
    <w:rsid w:val="0013742B"/>
    <w:rsid w:val="00137BCD"/>
    <w:rsid w:val="001422DF"/>
    <w:rsid w:val="00142D74"/>
    <w:rsid w:val="00143206"/>
    <w:rsid w:val="001442E6"/>
    <w:rsid w:val="00144F30"/>
    <w:rsid w:val="001543FC"/>
    <w:rsid w:val="00160EC5"/>
    <w:rsid w:val="0016260F"/>
    <w:rsid w:val="00165DD7"/>
    <w:rsid w:val="00166673"/>
    <w:rsid w:val="0017366F"/>
    <w:rsid w:val="001773D7"/>
    <w:rsid w:val="00185174"/>
    <w:rsid w:val="0018535C"/>
    <w:rsid w:val="00190747"/>
    <w:rsid w:val="00192E11"/>
    <w:rsid w:val="001978AE"/>
    <w:rsid w:val="001A0B69"/>
    <w:rsid w:val="001A1343"/>
    <w:rsid w:val="001A1E29"/>
    <w:rsid w:val="001A1EC1"/>
    <w:rsid w:val="001A617D"/>
    <w:rsid w:val="001A68EC"/>
    <w:rsid w:val="001B2704"/>
    <w:rsid w:val="001B3597"/>
    <w:rsid w:val="001B5457"/>
    <w:rsid w:val="001B7450"/>
    <w:rsid w:val="001C4C2B"/>
    <w:rsid w:val="001C5F8E"/>
    <w:rsid w:val="001D08A8"/>
    <w:rsid w:val="001D5BEC"/>
    <w:rsid w:val="001D6B3E"/>
    <w:rsid w:val="001E012F"/>
    <w:rsid w:val="001E04B0"/>
    <w:rsid w:val="001E6698"/>
    <w:rsid w:val="001E6C92"/>
    <w:rsid w:val="001F0C0D"/>
    <w:rsid w:val="001F1C90"/>
    <w:rsid w:val="002006D7"/>
    <w:rsid w:val="00201550"/>
    <w:rsid w:val="00202BA1"/>
    <w:rsid w:val="00204287"/>
    <w:rsid w:val="00205884"/>
    <w:rsid w:val="002128B3"/>
    <w:rsid w:val="00212CBA"/>
    <w:rsid w:val="0021470E"/>
    <w:rsid w:val="00214EB8"/>
    <w:rsid w:val="00217246"/>
    <w:rsid w:val="00220130"/>
    <w:rsid w:val="00221961"/>
    <w:rsid w:val="00221FFF"/>
    <w:rsid w:val="002227AB"/>
    <w:rsid w:val="00227828"/>
    <w:rsid w:val="00231498"/>
    <w:rsid w:val="00237A58"/>
    <w:rsid w:val="00237EAC"/>
    <w:rsid w:val="00240F32"/>
    <w:rsid w:val="0024466D"/>
    <w:rsid w:val="00245122"/>
    <w:rsid w:val="00247D17"/>
    <w:rsid w:val="002550DC"/>
    <w:rsid w:val="00270730"/>
    <w:rsid w:val="00271AA7"/>
    <w:rsid w:val="0027243F"/>
    <w:rsid w:val="00280F1F"/>
    <w:rsid w:val="00281ACD"/>
    <w:rsid w:val="002843CF"/>
    <w:rsid w:val="00284D78"/>
    <w:rsid w:val="0028516D"/>
    <w:rsid w:val="002862C5"/>
    <w:rsid w:val="00287768"/>
    <w:rsid w:val="002909FA"/>
    <w:rsid w:val="00293DBA"/>
    <w:rsid w:val="002947CD"/>
    <w:rsid w:val="00296752"/>
    <w:rsid w:val="002968DA"/>
    <w:rsid w:val="002B0648"/>
    <w:rsid w:val="002B5EDF"/>
    <w:rsid w:val="002B5EF9"/>
    <w:rsid w:val="002B6B6C"/>
    <w:rsid w:val="002C155B"/>
    <w:rsid w:val="002C4FED"/>
    <w:rsid w:val="002C5872"/>
    <w:rsid w:val="002C71E9"/>
    <w:rsid w:val="002D4FDA"/>
    <w:rsid w:val="002D5D0F"/>
    <w:rsid w:val="002E5C38"/>
    <w:rsid w:val="002E5EA3"/>
    <w:rsid w:val="002F0107"/>
    <w:rsid w:val="002F3FE7"/>
    <w:rsid w:val="002F45E7"/>
    <w:rsid w:val="002F4B9E"/>
    <w:rsid w:val="002F7EAC"/>
    <w:rsid w:val="00301CEB"/>
    <w:rsid w:val="00304A26"/>
    <w:rsid w:val="00306066"/>
    <w:rsid w:val="003140F8"/>
    <w:rsid w:val="003178D1"/>
    <w:rsid w:val="00317C3A"/>
    <w:rsid w:val="003227EB"/>
    <w:rsid w:val="00322979"/>
    <w:rsid w:val="0032367B"/>
    <w:rsid w:val="003253A9"/>
    <w:rsid w:val="00325EE5"/>
    <w:rsid w:val="00326738"/>
    <w:rsid w:val="00327579"/>
    <w:rsid w:val="00331B47"/>
    <w:rsid w:val="00333930"/>
    <w:rsid w:val="003417BA"/>
    <w:rsid w:val="00343E04"/>
    <w:rsid w:val="003473C8"/>
    <w:rsid w:val="00351F8B"/>
    <w:rsid w:val="0035281E"/>
    <w:rsid w:val="00353809"/>
    <w:rsid w:val="003541BA"/>
    <w:rsid w:val="00354542"/>
    <w:rsid w:val="003548B6"/>
    <w:rsid w:val="00361702"/>
    <w:rsid w:val="003632DA"/>
    <w:rsid w:val="00363E32"/>
    <w:rsid w:val="003641F7"/>
    <w:rsid w:val="00373904"/>
    <w:rsid w:val="003806D3"/>
    <w:rsid w:val="0038629A"/>
    <w:rsid w:val="00386691"/>
    <w:rsid w:val="0039198C"/>
    <w:rsid w:val="00394A07"/>
    <w:rsid w:val="003958DC"/>
    <w:rsid w:val="003971EB"/>
    <w:rsid w:val="003A3321"/>
    <w:rsid w:val="003A5652"/>
    <w:rsid w:val="003A75ED"/>
    <w:rsid w:val="003B3F32"/>
    <w:rsid w:val="003C0EE2"/>
    <w:rsid w:val="003C180B"/>
    <w:rsid w:val="003C6CD9"/>
    <w:rsid w:val="003C7A2A"/>
    <w:rsid w:val="003D00A4"/>
    <w:rsid w:val="003D0C60"/>
    <w:rsid w:val="003D102D"/>
    <w:rsid w:val="003D2D1E"/>
    <w:rsid w:val="003D4DB1"/>
    <w:rsid w:val="003D5427"/>
    <w:rsid w:val="003D5584"/>
    <w:rsid w:val="003D5E6E"/>
    <w:rsid w:val="003D5EA5"/>
    <w:rsid w:val="003D6A51"/>
    <w:rsid w:val="003E1F57"/>
    <w:rsid w:val="003F038C"/>
    <w:rsid w:val="003F08A6"/>
    <w:rsid w:val="003F260B"/>
    <w:rsid w:val="003F5BD8"/>
    <w:rsid w:val="003F6B51"/>
    <w:rsid w:val="0040107B"/>
    <w:rsid w:val="00401A7C"/>
    <w:rsid w:val="00402390"/>
    <w:rsid w:val="00404187"/>
    <w:rsid w:val="004131A4"/>
    <w:rsid w:val="004137AC"/>
    <w:rsid w:val="00413F6F"/>
    <w:rsid w:val="004141BC"/>
    <w:rsid w:val="004173CD"/>
    <w:rsid w:val="00420D76"/>
    <w:rsid w:val="0042272E"/>
    <w:rsid w:val="00422D31"/>
    <w:rsid w:val="00426643"/>
    <w:rsid w:val="00426B94"/>
    <w:rsid w:val="00426D8D"/>
    <w:rsid w:val="00435B72"/>
    <w:rsid w:val="00436FDB"/>
    <w:rsid w:val="004377B1"/>
    <w:rsid w:val="00443A95"/>
    <w:rsid w:val="00443ADC"/>
    <w:rsid w:val="004474FA"/>
    <w:rsid w:val="00447604"/>
    <w:rsid w:val="00450492"/>
    <w:rsid w:val="00455522"/>
    <w:rsid w:val="00455D1A"/>
    <w:rsid w:val="0045705B"/>
    <w:rsid w:val="00457603"/>
    <w:rsid w:val="004604AB"/>
    <w:rsid w:val="00461EB9"/>
    <w:rsid w:val="00463B69"/>
    <w:rsid w:val="00466234"/>
    <w:rsid w:val="00472226"/>
    <w:rsid w:val="00475F7B"/>
    <w:rsid w:val="004802F2"/>
    <w:rsid w:val="00480B7A"/>
    <w:rsid w:val="00483B01"/>
    <w:rsid w:val="004866F0"/>
    <w:rsid w:val="004932B1"/>
    <w:rsid w:val="004A2B92"/>
    <w:rsid w:val="004A33CE"/>
    <w:rsid w:val="004A4A6D"/>
    <w:rsid w:val="004A5A03"/>
    <w:rsid w:val="004A5F68"/>
    <w:rsid w:val="004A6250"/>
    <w:rsid w:val="004A7FE5"/>
    <w:rsid w:val="004B0304"/>
    <w:rsid w:val="004B6085"/>
    <w:rsid w:val="004B65F8"/>
    <w:rsid w:val="004C43C7"/>
    <w:rsid w:val="004C6354"/>
    <w:rsid w:val="004D19ED"/>
    <w:rsid w:val="004D1EC0"/>
    <w:rsid w:val="004E1C74"/>
    <w:rsid w:val="004E5FE5"/>
    <w:rsid w:val="004E6958"/>
    <w:rsid w:val="004F05B7"/>
    <w:rsid w:val="004F660A"/>
    <w:rsid w:val="00500A85"/>
    <w:rsid w:val="005057B8"/>
    <w:rsid w:val="00506489"/>
    <w:rsid w:val="00506B43"/>
    <w:rsid w:val="00510AED"/>
    <w:rsid w:val="0051111E"/>
    <w:rsid w:val="00511226"/>
    <w:rsid w:val="005125DF"/>
    <w:rsid w:val="00513473"/>
    <w:rsid w:val="00515E0B"/>
    <w:rsid w:val="005229C4"/>
    <w:rsid w:val="00533BD0"/>
    <w:rsid w:val="005347AA"/>
    <w:rsid w:val="005360FD"/>
    <w:rsid w:val="0054091F"/>
    <w:rsid w:val="00541449"/>
    <w:rsid w:val="0054202A"/>
    <w:rsid w:val="005501FF"/>
    <w:rsid w:val="00553B4D"/>
    <w:rsid w:val="00554A31"/>
    <w:rsid w:val="00556C43"/>
    <w:rsid w:val="00557CD3"/>
    <w:rsid w:val="005608CC"/>
    <w:rsid w:val="00562082"/>
    <w:rsid w:val="00563152"/>
    <w:rsid w:val="0056317A"/>
    <w:rsid w:val="00563B8C"/>
    <w:rsid w:val="00567C75"/>
    <w:rsid w:val="0057093A"/>
    <w:rsid w:val="00572B30"/>
    <w:rsid w:val="00574B34"/>
    <w:rsid w:val="00575B8B"/>
    <w:rsid w:val="00582BC6"/>
    <w:rsid w:val="00594CE7"/>
    <w:rsid w:val="00595464"/>
    <w:rsid w:val="005A0CC0"/>
    <w:rsid w:val="005A21E2"/>
    <w:rsid w:val="005A3442"/>
    <w:rsid w:val="005A4C21"/>
    <w:rsid w:val="005A6C12"/>
    <w:rsid w:val="005A787D"/>
    <w:rsid w:val="005B62AD"/>
    <w:rsid w:val="005C0185"/>
    <w:rsid w:val="005C068B"/>
    <w:rsid w:val="005C3840"/>
    <w:rsid w:val="005C7B1E"/>
    <w:rsid w:val="005D1916"/>
    <w:rsid w:val="005D29D2"/>
    <w:rsid w:val="005D3091"/>
    <w:rsid w:val="005D4158"/>
    <w:rsid w:val="005D4BDF"/>
    <w:rsid w:val="005D79FE"/>
    <w:rsid w:val="005E078C"/>
    <w:rsid w:val="005E39DA"/>
    <w:rsid w:val="005E5A05"/>
    <w:rsid w:val="005F110D"/>
    <w:rsid w:val="005F12F9"/>
    <w:rsid w:val="005F3955"/>
    <w:rsid w:val="005F3D34"/>
    <w:rsid w:val="005F7609"/>
    <w:rsid w:val="00600967"/>
    <w:rsid w:val="00603D8B"/>
    <w:rsid w:val="00604494"/>
    <w:rsid w:val="00604CEC"/>
    <w:rsid w:val="0060506E"/>
    <w:rsid w:val="00605080"/>
    <w:rsid w:val="00610DAF"/>
    <w:rsid w:val="00612AEB"/>
    <w:rsid w:val="00613045"/>
    <w:rsid w:val="00614143"/>
    <w:rsid w:val="006219C3"/>
    <w:rsid w:val="00621A85"/>
    <w:rsid w:val="00630002"/>
    <w:rsid w:val="0063166E"/>
    <w:rsid w:val="00632912"/>
    <w:rsid w:val="0063766B"/>
    <w:rsid w:val="00640D05"/>
    <w:rsid w:val="00641188"/>
    <w:rsid w:val="00643A03"/>
    <w:rsid w:val="00645219"/>
    <w:rsid w:val="00645E14"/>
    <w:rsid w:val="00650E75"/>
    <w:rsid w:val="00654189"/>
    <w:rsid w:val="00656440"/>
    <w:rsid w:val="00660E40"/>
    <w:rsid w:val="00662764"/>
    <w:rsid w:val="00672C4B"/>
    <w:rsid w:val="00674077"/>
    <w:rsid w:val="006751AD"/>
    <w:rsid w:val="00677565"/>
    <w:rsid w:val="00680581"/>
    <w:rsid w:val="00682524"/>
    <w:rsid w:val="006835A8"/>
    <w:rsid w:val="00683BBC"/>
    <w:rsid w:val="0069477F"/>
    <w:rsid w:val="00695E22"/>
    <w:rsid w:val="00697936"/>
    <w:rsid w:val="006A0641"/>
    <w:rsid w:val="006A4EE1"/>
    <w:rsid w:val="006A5C4E"/>
    <w:rsid w:val="006B070C"/>
    <w:rsid w:val="006B5A4A"/>
    <w:rsid w:val="006C3FBD"/>
    <w:rsid w:val="006C43AB"/>
    <w:rsid w:val="006C731F"/>
    <w:rsid w:val="006C7AEC"/>
    <w:rsid w:val="006D0CF1"/>
    <w:rsid w:val="006D571F"/>
    <w:rsid w:val="006E0FCA"/>
    <w:rsid w:val="006E4027"/>
    <w:rsid w:val="006E5F60"/>
    <w:rsid w:val="006F79C0"/>
    <w:rsid w:val="007046B5"/>
    <w:rsid w:val="0070631C"/>
    <w:rsid w:val="00710A3C"/>
    <w:rsid w:val="007118F1"/>
    <w:rsid w:val="00716D2C"/>
    <w:rsid w:val="007201E1"/>
    <w:rsid w:val="00720355"/>
    <w:rsid w:val="00720ED3"/>
    <w:rsid w:val="00722308"/>
    <w:rsid w:val="007232E3"/>
    <w:rsid w:val="007319FA"/>
    <w:rsid w:val="0073202B"/>
    <w:rsid w:val="00732B49"/>
    <w:rsid w:val="0073337C"/>
    <w:rsid w:val="007335D2"/>
    <w:rsid w:val="00733E7C"/>
    <w:rsid w:val="00734317"/>
    <w:rsid w:val="00735663"/>
    <w:rsid w:val="007359DF"/>
    <w:rsid w:val="00756AB1"/>
    <w:rsid w:val="00763FC8"/>
    <w:rsid w:val="0076418E"/>
    <w:rsid w:val="0076501A"/>
    <w:rsid w:val="00767376"/>
    <w:rsid w:val="00767505"/>
    <w:rsid w:val="00773D15"/>
    <w:rsid w:val="00775AC6"/>
    <w:rsid w:val="00777BF1"/>
    <w:rsid w:val="0078162B"/>
    <w:rsid w:val="00782674"/>
    <w:rsid w:val="0078312F"/>
    <w:rsid w:val="00783F4E"/>
    <w:rsid w:val="0078697F"/>
    <w:rsid w:val="007908D3"/>
    <w:rsid w:val="00793CE1"/>
    <w:rsid w:val="0079581B"/>
    <w:rsid w:val="00796408"/>
    <w:rsid w:val="007A58CE"/>
    <w:rsid w:val="007A61AF"/>
    <w:rsid w:val="007B10E9"/>
    <w:rsid w:val="007B149D"/>
    <w:rsid w:val="007B1751"/>
    <w:rsid w:val="007B3E39"/>
    <w:rsid w:val="007B5342"/>
    <w:rsid w:val="007B6404"/>
    <w:rsid w:val="007C6344"/>
    <w:rsid w:val="007C665E"/>
    <w:rsid w:val="007D2E32"/>
    <w:rsid w:val="007D4E1C"/>
    <w:rsid w:val="007D5153"/>
    <w:rsid w:val="007D65A7"/>
    <w:rsid w:val="007D6803"/>
    <w:rsid w:val="007D774E"/>
    <w:rsid w:val="007E1EF2"/>
    <w:rsid w:val="007E2607"/>
    <w:rsid w:val="007E325A"/>
    <w:rsid w:val="007E70B9"/>
    <w:rsid w:val="007F35A0"/>
    <w:rsid w:val="008002CD"/>
    <w:rsid w:val="0080054D"/>
    <w:rsid w:val="00806BAE"/>
    <w:rsid w:val="00812A1F"/>
    <w:rsid w:val="0081469C"/>
    <w:rsid w:val="00814814"/>
    <w:rsid w:val="00815ABA"/>
    <w:rsid w:val="00816B46"/>
    <w:rsid w:val="00831441"/>
    <w:rsid w:val="00833537"/>
    <w:rsid w:val="008339FF"/>
    <w:rsid w:val="00835127"/>
    <w:rsid w:val="00851D9A"/>
    <w:rsid w:val="0085230F"/>
    <w:rsid w:val="0085323A"/>
    <w:rsid w:val="00855D66"/>
    <w:rsid w:val="0086078C"/>
    <w:rsid w:val="00860C46"/>
    <w:rsid w:val="008621BD"/>
    <w:rsid w:val="008621DD"/>
    <w:rsid w:val="0086533C"/>
    <w:rsid w:val="00865376"/>
    <w:rsid w:val="00872813"/>
    <w:rsid w:val="0088178A"/>
    <w:rsid w:val="008823DE"/>
    <w:rsid w:val="00885F62"/>
    <w:rsid w:val="00890343"/>
    <w:rsid w:val="008939BF"/>
    <w:rsid w:val="00895F1B"/>
    <w:rsid w:val="008965E1"/>
    <w:rsid w:val="008A0488"/>
    <w:rsid w:val="008A1E12"/>
    <w:rsid w:val="008A21F1"/>
    <w:rsid w:val="008A3CA4"/>
    <w:rsid w:val="008B06E4"/>
    <w:rsid w:val="008B1755"/>
    <w:rsid w:val="008B197B"/>
    <w:rsid w:val="008B23DC"/>
    <w:rsid w:val="008B6084"/>
    <w:rsid w:val="008B76AD"/>
    <w:rsid w:val="008C0286"/>
    <w:rsid w:val="008C09D9"/>
    <w:rsid w:val="008C3DEC"/>
    <w:rsid w:val="008D21A7"/>
    <w:rsid w:val="008D28CC"/>
    <w:rsid w:val="008D673B"/>
    <w:rsid w:val="008E0A08"/>
    <w:rsid w:val="008E103C"/>
    <w:rsid w:val="008E11D2"/>
    <w:rsid w:val="008E1D06"/>
    <w:rsid w:val="008E2CF1"/>
    <w:rsid w:val="008E2EB3"/>
    <w:rsid w:val="008E5A0F"/>
    <w:rsid w:val="008F027C"/>
    <w:rsid w:val="008F055D"/>
    <w:rsid w:val="008F08D8"/>
    <w:rsid w:val="008F0F32"/>
    <w:rsid w:val="008F5FE9"/>
    <w:rsid w:val="008F6BD8"/>
    <w:rsid w:val="008F6D5A"/>
    <w:rsid w:val="0090004B"/>
    <w:rsid w:val="00900F1D"/>
    <w:rsid w:val="009042CA"/>
    <w:rsid w:val="00906A34"/>
    <w:rsid w:val="00910DA1"/>
    <w:rsid w:val="009133AD"/>
    <w:rsid w:val="0091342E"/>
    <w:rsid w:val="00914E64"/>
    <w:rsid w:val="0092005B"/>
    <w:rsid w:val="00923104"/>
    <w:rsid w:val="00923C6B"/>
    <w:rsid w:val="009249AB"/>
    <w:rsid w:val="009334F0"/>
    <w:rsid w:val="0094564C"/>
    <w:rsid w:val="009457A9"/>
    <w:rsid w:val="009469FD"/>
    <w:rsid w:val="00947489"/>
    <w:rsid w:val="009503AB"/>
    <w:rsid w:val="00953DF7"/>
    <w:rsid w:val="00954025"/>
    <w:rsid w:val="0095696A"/>
    <w:rsid w:val="00960773"/>
    <w:rsid w:val="009630E6"/>
    <w:rsid w:val="00963C71"/>
    <w:rsid w:val="009654CC"/>
    <w:rsid w:val="0097342D"/>
    <w:rsid w:val="00973C58"/>
    <w:rsid w:val="00973EB7"/>
    <w:rsid w:val="00976C1A"/>
    <w:rsid w:val="00976DFB"/>
    <w:rsid w:val="00976E56"/>
    <w:rsid w:val="0097745F"/>
    <w:rsid w:val="009779E5"/>
    <w:rsid w:val="0098440C"/>
    <w:rsid w:val="00985167"/>
    <w:rsid w:val="00991423"/>
    <w:rsid w:val="00991CF6"/>
    <w:rsid w:val="00992146"/>
    <w:rsid w:val="00993565"/>
    <w:rsid w:val="00994FAB"/>
    <w:rsid w:val="009A2B45"/>
    <w:rsid w:val="009A51D0"/>
    <w:rsid w:val="009A5CFB"/>
    <w:rsid w:val="009A5EF6"/>
    <w:rsid w:val="009A6CD4"/>
    <w:rsid w:val="009C1178"/>
    <w:rsid w:val="009C14FF"/>
    <w:rsid w:val="009C1FE8"/>
    <w:rsid w:val="009C2302"/>
    <w:rsid w:val="009C2566"/>
    <w:rsid w:val="009C415E"/>
    <w:rsid w:val="009C6B2E"/>
    <w:rsid w:val="009D3B6B"/>
    <w:rsid w:val="009D61BD"/>
    <w:rsid w:val="009D6E71"/>
    <w:rsid w:val="009D7446"/>
    <w:rsid w:val="009D7573"/>
    <w:rsid w:val="009E5F37"/>
    <w:rsid w:val="009F1781"/>
    <w:rsid w:val="009F62AC"/>
    <w:rsid w:val="009F68C8"/>
    <w:rsid w:val="009F6932"/>
    <w:rsid w:val="00A12F45"/>
    <w:rsid w:val="00A2067D"/>
    <w:rsid w:val="00A23871"/>
    <w:rsid w:val="00A23E12"/>
    <w:rsid w:val="00A244DF"/>
    <w:rsid w:val="00A301E6"/>
    <w:rsid w:val="00A308BF"/>
    <w:rsid w:val="00A311AC"/>
    <w:rsid w:val="00A3185D"/>
    <w:rsid w:val="00A3430D"/>
    <w:rsid w:val="00A3449E"/>
    <w:rsid w:val="00A34C55"/>
    <w:rsid w:val="00A375A8"/>
    <w:rsid w:val="00A37A52"/>
    <w:rsid w:val="00A417D5"/>
    <w:rsid w:val="00A50BE1"/>
    <w:rsid w:val="00A52812"/>
    <w:rsid w:val="00A65238"/>
    <w:rsid w:val="00A6755D"/>
    <w:rsid w:val="00A7012D"/>
    <w:rsid w:val="00A733C0"/>
    <w:rsid w:val="00A74E28"/>
    <w:rsid w:val="00A80A2A"/>
    <w:rsid w:val="00A831B7"/>
    <w:rsid w:val="00A835C9"/>
    <w:rsid w:val="00A85396"/>
    <w:rsid w:val="00A85BC4"/>
    <w:rsid w:val="00A9300C"/>
    <w:rsid w:val="00A979DF"/>
    <w:rsid w:val="00AA165F"/>
    <w:rsid w:val="00AA60EC"/>
    <w:rsid w:val="00AB1FF2"/>
    <w:rsid w:val="00AB41F8"/>
    <w:rsid w:val="00AB5E50"/>
    <w:rsid w:val="00AC2CDE"/>
    <w:rsid w:val="00AC2E9B"/>
    <w:rsid w:val="00AC4B5C"/>
    <w:rsid w:val="00AC63F8"/>
    <w:rsid w:val="00AC7753"/>
    <w:rsid w:val="00AD2152"/>
    <w:rsid w:val="00AD38A6"/>
    <w:rsid w:val="00AD6C18"/>
    <w:rsid w:val="00AE16C0"/>
    <w:rsid w:val="00AE2A22"/>
    <w:rsid w:val="00AE522B"/>
    <w:rsid w:val="00AF062C"/>
    <w:rsid w:val="00AF1A6D"/>
    <w:rsid w:val="00AF1DB7"/>
    <w:rsid w:val="00AF5BA7"/>
    <w:rsid w:val="00AF6E1D"/>
    <w:rsid w:val="00B03AF0"/>
    <w:rsid w:val="00B04E31"/>
    <w:rsid w:val="00B0637E"/>
    <w:rsid w:val="00B10693"/>
    <w:rsid w:val="00B12193"/>
    <w:rsid w:val="00B1377E"/>
    <w:rsid w:val="00B14091"/>
    <w:rsid w:val="00B14EA9"/>
    <w:rsid w:val="00B163B2"/>
    <w:rsid w:val="00B1670B"/>
    <w:rsid w:val="00B20903"/>
    <w:rsid w:val="00B24FCC"/>
    <w:rsid w:val="00B3019C"/>
    <w:rsid w:val="00B32713"/>
    <w:rsid w:val="00B3366F"/>
    <w:rsid w:val="00B34770"/>
    <w:rsid w:val="00B3681E"/>
    <w:rsid w:val="00B36AD7"/>
    <w:rsid w:val="00B41E30"/>
    <w:rsid w:val="00B44BB3"/>
    <w:rsid w:val="00B46591"/>
    <w:rsid w:val="00B52F7B"/>
    <w:rsid w:val="00B53F8E"/>
    <w:rsid w:val="00B60496"/>
    <w:rsid w:val="00B6134D"/>
    <w:rsid w:val="00B66223"/>
    <w:rsid w:val="00B6736A"/>
    <w:rsid w:val="00B67CC6"/>
    <w:rsid w:val="00B712FB"/>
    <w:rsid w:val="00B718A0"/>
    <w:rsid w:val="00B71AE3"/>
    <w:rsid w:val="00B727C8"/>
    <w:rsid w:val="00B74250"/>
    <w:rsid w:val="00B76D98"/>
    <w:rsid w:val="00B77526"/>
    <w:rsid w:val="00B77FA3"/>
    <w:rsid w:val="00B80A4E"/>
    <w:rsid w:val="00B811B3"/>
    <w:rsid w:val="00B817D7"/>
    <w:rsid w:val="00B837A2"/>
    <w:rsid w:val="00B86784"/>
    <w:rsid w:val="00B86E1A"/>
    <w:rsid w:val="00B875D4"/>
    <w:rsid w:val="00B91198"/>
    <w:rsid w:val="00B9174F"/>
    <w:rsid w:val="00B931C4"/>
    <w:rsid w:val="00B93A75"/>
    <w:rsid w:val="00B9594B"/>
    <w:rsid w:val="00BA0D83"/>
    <w:rsid w:val="00BA45ED"/>
    <w:rsid w:val="00BA61F3"/>
    <w:rsid w:val="00BB1AB0"/>
    <w:rsid w:val="00BC01A1"/>
    <w:rsid w:val="00BC1DCC"/>
    <w:rsid w:val="00BC58B7"/>
    <w:rsid w:val="00BC5B1F"/>
    <w:rsid w:val="00BC6D3F"/>
    <w:rsid w:val="00BD05AA"/>
    <w:rsid w:val="00BD14B9"/>
    <w:rsid w:val="00BD2CDD"/>
    <w:rsid w:val="00BD7089"/>
    <w:rsid w:val="00BE2A30"/>
    <w:rsid w:val="00BE73AC"/>
    <w:rsid w:val="00BF2D8C"/>
    <w:rsid w:val="00BF47C5"/>
    <w:rsid w:val="00BF55A9"/>
    <w:rsid w:val="00BF6071"/>
    <w:rsid w:val="00BF77F9"/>
    <w:rsid w:val="00C02E09"/>
    <w:rsid w:val="00C048D5"/>
    <w:rsid w:val="00C05581"/>
    <w:rsid w:val="00C10124"/>
    <w:rsid w:val="00C16346"/>
    <w:rsid w:val="00C16BC0"/>
    <w:rsid w:val="00C20C19"/>
    <w:rsid w:val="00C21978"/>
    <w:rsid w:val="00C22FED"/>
    <w:rsid w:val="00C3038E"/>
    <w:rsid w:val="00C3345B"/>
    <w:rsid w:val="00C3428F"/>
    <w:rsid w:val="00C36FF2"/>
    <w:rsid w:val="00C408E6"/>
    <w:rsid w:val="00C41064"/>
    <w:rsid w:val="00C460A2"/>
    <w:rsid w:val="00C55163"/>
    <w:rsid w:val="00C56BE2"/>
    <w:rsid w:val="00C57C60"/>
    <w:rsid w:val="00C6044E"/>
    <w:rsid w:val="00C66ABA"/>
    <w:rsid w:val="00C6778C"/>
    <w:rsid w:val="00C73914"/>
    <w:rsid w:val="00C7586E"/>
    <w:rsid w:val="00C80952"/>
    <w:rsid w:val="00C94427"/>
    <w:rsid w:val="00CA21D8"/>
    <w:rsid w:val="00CA3F9E"/>
    <w:rsid w:val="00CA3FF2"/>
    <w:rsid w:val="00CA7C7F"/>
    <w:rsid w:val="00CB09CD"/>
    <w:rsid w:val="00CB366C"/>
    <w:rsid w:val="00CB49E3"/>
    <w:rsid w:val="00CB6892"/>
    <w:rsid w:val="00CC0A4F"/>
    <w:rsid w:val="00CC2565"/>
    <w:rsid w:val="00CD0216"/>
    <w:rsid w:val="00CD62D5"/>
    <w:rsid w:val="00CD7652"/>
    <w:rsid w:val="00CD7BC0"/>
    <w:rsid w:val="00CE3398"/>
    <w:rsid w:val="00CE4426"/>
    <w:rsid w:val="00CE44CA"/>
    <w:rsid w:val="00CE58D1"/>
    <w:rsid w:val="00CE6113"/>
    <w:rsid w:val="00CF0A87"/>
    <w:rsid w:val="00CF1FD3"/>
    <w:rsid w:val="00CF4485"/>
    <w:rsid w:val="00CF6D26"/>
    <w:rsid w:val="00CF788D"/>
    <w:rsid w:val="00D00F6D"/>
    <w:rsid w:val="00D10A34"/>
    <w:rsid w:val="00D17AD0"/>
    <w:rsid w:val="00D20306"/>
    <w:rsid w:val="00D20E24"/>
    <w:rsid w:val="00D23A1B"/>
    <w:rsid w:val="00D25C65"/>
    <w:rsid w:val="00D321B8"/>
    <w:rsid w:val="00D33C63"/>
    <w:rsid w:val="00D36F27"/>
    <w:rsid w:val="00D4073F"/>
    <w:rsid w:val="00D436DE"/>
    <w:rsid w:val="00D4598A"/>
    <w:rsid w:val="00D601CA"/>
    <w:rsid w:val="00D627C7"/>
    <w:rsid w:val="00D6584E"/>
    <w:rsid w:val="00D722F1"/>
    <w:rsid w:val="00D72A8B"/>
    <w:rsid w:val="00D730D8"/>
    <w:rsid w:val="00D76115"/>
    <w:rsid w:val="00D77926"/>
    <w:rsid w:val="00D832C1"/>
    <w:rsid w:val="00D83DD4"/>
    <w:rsid w:val="00D8405C"/>
    <w:rsid w:val="00D90A56"/>
    <w:rsid w:val="00D92915"/>
    <w:rsid w:val="00D94422"/>
    <w:rsid w:val="00D97EFD"/>
    <w:rsid w:val="00DA1B0F"/>
    <w:rsid w:val="00DA2B71"/>
    <w:rsid w:val="00DB0707"/>
    <w:rsid w:val="00DB20E2"/>
    <w:rsid w:val="00DB4406"/>
    <w:rsid w:val="00DB5B56"/>
    <w:rsid w:val="00DB6BDF"/>
    <w:rsid w:val="00DC333D"/>
    <w:rsid w:val="00DC5F97"/>
    <w:rsid w:val="00DD10E1"/>
    <w:rsid w:val="00DD46BE"/>
    <w:rsid w:val="00DD5748"/>
    <w:rsid w:val="00DD67EA"/>
    <w:rsid w:val="00DE2170"/>
    <w:rsid w:val="00DE4DE3"/>
    <w:rsid w:val="00DE56BA"/>
    <w:rsid w:val="00DE6DDB"/>
    <w:rsid w:val="00DF041C"/>
    <w:rsid w:val="00DF3524"/>
    <w:rsid w:val="00DF4231"/>
    <w:rsid w:val="00DF7F2F"/>
    <w:rsid w:val="00E03908"/>
    <w:rsid w:val="00E04119"/>
    <w:rsid w:val="00E054FC"/>
    <w:rsid w:val="00E06EA8"/>
    <w:rsid w:val="00E07BCD"/>
    <w:rsid w:val="00E1012A"/>
    <w:rsid w:val="00E17679"/>
    <w:rsid w:val="00E20310"/>
    <w:rsid w:val="00E211EB"/>
    <w:rsid w:val="00E21A57"/>
    <w:rsid w:val="00E21E5C"/>
    <w:rsid w:val="00E27050"/>
    <w:rsid w:val="00E32D27"/>
    <w:rsid w:val="00E33864"/>
    <w:rsid w:val="00E35031"/>
    <w:rsid w:val="00E36208"/>
    <w:rsid w:val="00E42343"/>
    <w:rsid w:val="00E46EE4"/>
    <w:rsid w:val="00E54B08"/>
    <w:rsid w:val="00E558D8"/>
    <w:rsid w:val="00E5728E"/>
    <w:rsid w:val="00E6121C"/>
    <w:rsid w:val="00E64CB5"/>
    <w:rsid w:val="00E67FF8"/>
    <w:rsid w:val="00E70667"/>
    <w:rsid w:val="00E7126F"/>
    <w:rsid w:val="00E72CC4"/>
    <w:rsid w:val="00E73C85"/>
    <w:rsid w:val="00E828D7"/>
    <w:rsid w:val="00E8428E"/>
    <w:rsid w:val="00E8499F"/>
    <w:rsid w:val="00E94105"/>
    <w:rsid w:val="00E94140"/>
    <w:rsid w:val="00E94159"/>
    <w:rsid w:val="00E9749E"/>
    <w:rsid w:val="00EA0CCF"/>
    <w:rsid w:val="00EA0E74"/>
    <w:rsid w:val="00EA1782"/>
    <w:rsid w:val="00EA3042"/>
    <w:rsid w:val="00EA660B"/>
    <w:rsid w:val="00EB046D"/>
    <w:rsid w:val="00EB08C2"/>
    <w:rsid w:val="00EB12D4"/>
    <w:rsid w:val="00EB59C3"/>
    <w:rsid w:val="00EB627A"/>
    <w:rsid w:val="00EB7F8E"/>
    <w:rsid w:val="00EC2508"/>
    <w:rsid w:val="00ED19EE"/>
    <w:rsid w:val="00ED3D39"/>
    <w:rsid w:val="00EE40B7"/>
    <w:rsid w:val="00EE50F2"/>
    <w:rsid w:val="00EE532A"/>
    <w:rsid w:val="00EE62D1"/>
    <w:rsid w:val="00EF359E"/>
    <w:rsid w:val="00EF4EA7"/>
    <w:rsid w:val="00EF59CA"/>
    <w:rsid w:val="00F01817"/>
    <w:rsid w:val="00F0482D"/>
    <w:rsid w:val="00F05590"/>
    <w:rsid w:val="00F06555"/>
    <w:rsid w:val="00F0796E"/>
    <w:rsid w:val="00F13E34"/>
    <w:rsid w:val="00F13E49"/>
    <w:rsid w:val="00F245AA"/>
    <w:rsid w:val="00F25745"/>
    <w:rsid w:val="00F26126"/>
    <w:rsid w:val="00F2622F"/>
    <w:rsid w:val="00F3303C"/>
    <w:rsid w:val="00F33B47"/>
    <w:rsid w:val="00F33E62"/>
    <w:rsid w:val="00F400A1"/>
    <w:rsid w:val="00F4149A"/>
    <w:rsid w:val="00F42AC9"/>
    <w:rsid w:val="00F43033"/>
    <w:rsid w:val="00F433C2"/>
    <w:rsid w:val="00F43DEB"/>
    <w:rsid w:val="00F50DB7"/>
    <w:rsid w:val="00F55FD7"/>
    <w:rsid w:val="00F608BD"/>
    <w:rsid w:val="00F6720B"/>
    <w:rsid w:val="00F675DA"/>
    <w:rsid w:val="00F70166"/>
    <w:rsid w:val="00F713DB"/>
    <w:rsid w:val="00F71842"/>
    <w:rsid w:val="00F75907"/>
    <w:rsid w:val="00F768ED"/>
    <w:rsid w:val="00F77E8D"/>
    <w:rsid w:val="00F813A3"/>
    <w:rsid w:val="00F81720"/>
    <w:rsid w:val="00F86D4E"/>
    <w:rsid w:val="00F86F66"/>
    <w:rsid w:val="00F8714B"/>
    <w:rsid w:val="00F874AA"/>
    <w:rsid w:val="00F91056"/>
    <w:rsid w:val="00F910A5"/>
    <w:rsid w:val="00F9195D"/>
    <w:rsid w:val="00FA0AA3"/>
    <w:rsid w:val="00FA3FC1"/>
    <w:rsid w:val="00FA5DCC"/>
    <w:rsid w:val="00FA61DF"/>
    <w:rsid w:val="00FB3510"/>
    <w:rsid w:val="00FB5ADD"/>
    <w:rsid w:val="00FB7976"/>
    <w:rsid w:val="00FB7F04"/>
    <w:rsid w:val="00FC18BE"/>
    <w:rsid w:val="00FC3FDF"/>
    <w:rsid w:val="00FC59FB"/>
    <w:rsid w:val="00FC5EE0"/>
    <w:rsid w:val="00FC65D9"/>
    <w:rsid w:val="00FD06EF"/>
    <w:rsid w:val="00FD2020"/>
    <w:rsid w:val="00FD41B7"/>
    <w:rsid w:val="00FE2CBA"/>
    <w:rsid w:val="00FE667B"/>
    <w:rsid w:val="00FF3F2B"/>
    <w:rsid w:val="00FF5465"/>
    <w:rsid w:val="00FF5E46"/>
    <w:rsid w:val="018079D7"/>
    <w:rsid w:val="01953DF8"/>
    <w:rsid w:val="01FF20A0"/>
    <w:rsid w:val="02E700A0"/>
    <w:rsid w:val="07D70E6B"/>
    <w:rsid w:val="08A1588F"/>
    <w:rsid w:val="08B54B22"/>
    <w:rsid w:val="08D87976"/>
    <w:rsid w:val="0AD53E21"/>
    <w:rsid w:val="0DD87E04"/>
    <w:rsid w:val="0FD47E2A"/>
    <w:rsid w:val="1316615B"/>
    <w:rsid w:val="16140940"/>
    <w:rsid w:val="178A6D48"/>
    <w:rsid w:val="1AB47C24"/>
    <w:rsid w:val="1B8C3F92"/>
    <w:rsid w:val="1B9F64FE"/>
    <w:rsid w:val="1C154720"/>
    <w:rsid w:val="1C5A7963"/>
    <w:rsid w:val="1C5B4956"/>
    <w:rsid w:val="1DA20CDE"/>
    <w:rsid w:val="1E7A535D"/>
    <w:rsid w:val="1E921015"/>
    <w:rsid w:val="1EEF3E44"/>
    <w:rsid w:val="1FA007A4"/>
    <w:rsid w:val="1FB14AB3"/>
    <w:rsid w:val="1FD94905"/>
    <w:rsid w:val="20D22DA0"/>
    <w:rsid w:val="21A416CF"/>
    <w:rsid w:val="236A4A10"/>
    <w:rsid w:val="23A212B7"/>
    <w:rsid w:val="261267C8"/>
    <w:rsid w:val="29806089"/>
    <w:rsid w:val="29E44207"/>
    <w:rsid w:val="2A3A3EDF"/>
    <w:rsid w:val="2BA624EB"/>
    <w:rsid w:val="2BD177AC"/>
    <w:rsid w:val="2BFD0696"/>
    <w:rsid w:val="2CF959D6"/>
    <w:rsid w:val="2EAB1B84"/>
    <w:rsid w:val="2F696055"/>
    <w:rsid w:val="30B937CF"/>
    <w:rsid w:val="344F5597"/>
    <w:rsid w:val="35E6697B"/>
    <w:rsid w:val="35ED7345"/>
    <w:rsid w:val="37097D75"/>
    <w:rsid w:val="3C3305EC"/>
    <w:rsid w:val="3CDA509D"/>
    <w:rsid w:val="3D0473D4"/>
    <w:rsid w:val="3D10456A"/>
    <w:rsid w:val="3DA62155"/>
    <w:rsid w:val="3E1E5FA0"/>
    <w:rsid w:val="3FB12D6E"/>
    <w:rsid w:val="401619B5"/>
    <w:rsid w:val="40526E01"/>
    <w:rsid w:val="40560F10"/>
    <w:rsid w:val="4216348D"/>
    <w:rsid w:val="437A114F"/>
    <w:rsid w:val="45234AC2"/>
    <w:rsid w:val="453E402E"/>
    <w:rsid w:val="47835B48"/>
    <w:rsid w:val="4BB622F0"/>
    <w:rsid w:val="4C733D5C"/>
    <w:rsid w:val="508C0290"/>
    <w:rsid w:val="51525D31"/>
    <w:rsid w:val="5224659F"/>
    <w:rsid w:val="52A72392"/>
    <w:rsid w:val="52D22E42"/>
    <w:rsid w:val="53F04E4A"/>
    <w:rsid w:val="53F820F9"/>
    <w:rsid w:val="55C30C45"/>
    <w:rsid w:val="567B5E44"/>
    <w:rsid w:val="5A6B3709"/>
    <w:rsid w:val="5AF76170"/>
    <w:rsid w:val="5B43357F"/>
    <w:rsid w:val="5B7C64E7"/>
    <w:rsid w:val="5C985369"/>
    <w:rsid w:val="603E3EEE"/>
    <w:rsid w:val="60B27536"/>
    <w:rsid w:val="621F33A8"/>
    <w:rsid w:val="62400C94"/>
    <w:rsid w:val="63981E85"/>
    <w:rsid w:val="63CA2CB0"/>
    <w:rsid w:val="64DC286B"/>
    <w:rsid w:val="6D6C4B12"/>
    <w:rsid w:val="6D8713C8"/>
    <w:rsid w:val="6DD77113"/>
    <w:rsid w:val="6FBE1721"/>
    <w:rsid w:val="6FE448E1"/>
    <w:rsid w:val="70F42F27"/>
    <w:rsid w:val="730721F7"/>
    <w:rsid w:val="73E3562C"/>
    <w:rsid w:val="745C5EAB"/>
    <w:rsid w:val="75793A22"/>
    <w:rsid w:val="75AC676F"/>
    <w:rsid w:val="7ADE7B36"/>
    <w:rsid w:val="7BAE613B"/>
    <w:rsid w:val="7BB304A1"/>
    <w:rsid w:val="7BEC6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300" w:lineRule="auto"/>
      <w:jc w:val="both"/>
    </w:pPr>
    <w:rPr>
      <w:rFonts w:ascii="Times New Roman" w:hAnsi="Times New Roman" w:eastAsia="方正仿宋简体" w:cs="Times New Roman"/>
      <w:snapToGrid w:val="0"/>
      <w:spacing w:val="6"/>
      <w:kern w:val="32"/>
      <w:sz w:val="32"/>
      <w:szCs w:val="24"/>
      <w:lang w:val="en-US" w:eastAsia="zh-CN" w:bidi="ar-SA"/>
    </w:rPr>
  </w:style>
  <w:style w:type="paragraph" w:styleId="2">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1"/>
    <w:qFormat/>
    <w:uiPriority w:val="0"/>
    <w:pPr>
      <w:keepNext/>
      <w:keepLines/>
      <w:autoSpaceDE/>
      <w:autoSpaceDN/>
      <w:adjustRightInd/>
      <w:snapToGrid/>
      <w:spacing w:before="260" w:after="260" w:line="416" w:lineRule="auto"/>
      <w:outlineLvl w:val="2"/>
    </w:pPr>
    <w:rPr>
      <w:rFonts w:ascii="Calibri" w:hAnsi="Calibri" w:eastAsia="宋体"/>
      <w:b/>
      <w:bCs/>
      <w:snapToGrid/>
      <w:spacing w:val="0"/>
      <w:kern w:val="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autoSpaceDE/>
      <w:autoSpaceDN/>
      <w:adjustRightInd/>
      <w:snapToGrid/>
      <w:spacing w:line="580" w:lineRule="exact"/>
      <w:ind w:firstLine="640" w:firstLineChars="200"/>
    </w:pPr>
    <w:rPr>
      <w:rFonts w:ascii="仿宋_GB2312" w:hAnsi="Calibri" w:eastAsia="仿宋_GB2312"/>
      <w:snapToGrid/>
      <w:spacing w:val="0"/>
      <w:kern w:val="2"/>
    </w:rPr>
  </w:style>
  <w:style w:type="paragraph" w:styleId="8">
    <w:name w:val="Plain Text"/>
    <w:basedOn w:val="1"/>
    <w:qFormat/>
    <w:uiPriority w:val="0"/>
    <w:pPr>
      <w:autoSpaceDE/>
      <w:autoSpaceDN/>
      <w:adjustRightInd/>
      <w:snapToGrid/>
      <w:spacing w:line="240" w:lineRule="auto"/>
    </w:pPr>
    <w:rPr>
      <w:rFonts w:hint="eastAsia" w:ascii="宋体" w:hAnsi="Courier New" w:eastAsia="宋体"/>
      <w:snapToGrid/>
      <w:spacing w:val="0"/>
      <w:kern w:val="2"/>
      <w:sz w:val="21"/>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qFormat/>
    <w:uiPriority w:val="0"/>
    <w:rPr>
      <w:kern w:val="18"/>
      <w:sz w:val="18"/>
      <w:szCs w:val="18"/>
    </w:rPr>
  </w:style>
  <w:style w:type="paragraph" w:styleId="13">
    <w:name w:val="header"/>
    <w:basedOn w:val="1"/>
    <w:qFormat/>
    <w:uiPriority w:val="0"/>
    <w:rPr>
      <w:sz w:val="18"/>
      <w:szCs w:val="18"/>
    </w:rPr>
  </w:style>
  <w:style w:type="paragraph" w:styleId="14">
    <w:name w:val="Body Text 2"/>
    <w:basedOn w:val="1"/>
    <w:qFormat/>
    <w:uiPriority w:val="0"/>
    <w:pPr>
      <w:spacing w:after="120" w:line="480" w:lineRule="auto"/>
    </w:pPr>
  </w:style>
  <w:style w:type="paragraph" w:styleId="15">
    <w:name w:val="Normal (Web)"/>
    <w:basedOn w:val="1"/>
    <w:qFormat/>
    <w:uiPriority w:val="0"/>
    <w:pPr>
      <w:widowControl/>
      <w:autoSpaceDE/>
      <w:autoSpaceDN/>
      <w:adjustRightInd/>
      <w:snapToGrid/>
      <w:spacing w:before="100" w:beforeAutospacing="1" w:after="100" w:afterAutospacing="1" w:line="240" w:lineRule="auto"/>
      <w:jc w:val="left"/>
    </w:pPr>
    <w:rPr>
      <w:rFonts w:ascii="宋体" w:hAnsi="宋体" w:eastAsia="宋体" w:cs="宋体"/>
      <w:snapToGrid/>
      <w:spacing w:val="0"/>
      <w:kern w:val="0"/>
      <w:sz w:val="24"/>
    </w:rPr>
  </w:style>
  <w:style w:type="paragraph" w:styleId="16">
    <w:name w:val="annotation subject"/>
    <w:basedOn w:val="5"/>
    <w:next w:val="5"/>
    <w:semiHidden/>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qFormat/>
    <w:uiPriority w:val="0"/>
    <w:rPr>
      <w:rFonts w:ascii="Times New Roman" w:hAnsi="Times New Roman" w:eastAsia="方正仿宋简体"/>
      <w:color w:val="auto"/>
      <w:spacing w:val="0"/>
      <w:w w:val="100"/>
      <w:kern w:val="28"/>
      <w:position w:val="0"/>
      <w:sz w:val="28"/>
      <w:u w:val="none"/>
      <w:vertAlign w:val="baseline"/>
      <w:lang w:val="en-US" w:eastAsia="zh-CN"/>
    </w:rPr>
  </w:style>
  <w:style w:type="character" w:styleId="21">
    <w:name w:val="Emphasis"/>
    <w:qFormat/>
    <w:uiPriority w:val="0"/>
    <w:rPr>
      <w:i/>
      <w:iCs/>
    </w:rPr>
  </w:style>
  <w:style w:type="character" w:styleId="22">
    <w:name w:val="annotation reference"/>
    <w:basedOn w:val="19"/>
    <w:semiHidden/>
    <w:qFormat/>
    <w:uiPriority w:val="0"/>
    <w:rPr>
      <w:sz w:val="21"/>
      <w:szCs w:val="21"/>
    </w:rPr>
  </w:style>
  <w:style w:type="character" w:customStyle="1" w:styleId="23">
    <w:name w:val="fontstyle11"/>
    <w:basedOn w:val="19"/>
    <w:qFormat/>
    <w:uiPriority w:val="0"/>
    <w:rPr>
      <w:rFonts w:ascii="仿宋_GB2312" w:hAnsi="仿宋_GB2312" w:eastAsia="仿宋_GB2312" w:cs="仿宋_GB2312"/>
      <w:color w:val="000000"/>
      <w:sz w:val="32"/>
      <w:szCs w:val="32"/>
    </w:rPr>
  </w:style>
  <w:style w:type="character" w:customStyle="1" w:styleId="24">
    <w:name w:val="fontstyle01"/>
    <w:basedOn w:val="19"/>
    <w:qFormat/>
    <w:uiPriority w:val="0"/>
    <w:rPr>
      <w:rFonts w:ascii="FZXBSJW--GB1-0" w:hAnsi="FZXBSJW--GB1-0" w:eastAsia="FZXBSJW--GB1-0" w:cs="FZXBSJW--GB1-0"/>
      <w:color w:val="000000"/>
      <w:sz w:val="44"/>
      <w:szCs w:val="44"/>
    </w:rPr>
  </w:style>
  <w:style w:type="paragraph" w:customStyle="1" w:styleId="25">
    <w:name w:val="p0"/>
    <w:basedOn w:val="1"/>
    <w:qFormat/>
    <w:uiPriority w:val="0"/>
    <w:pPr>
      <w:widowControl/>
      <w:autoSpaceDE/>
      <w:autoSpaceDN/>
      <w:adjustRightInd/>
      <w:snapToGrid/>
      <w:spacing w:before="100" w:beforeAutospacing="1" w:after="100" w:afterAutospacing="1" w:line="240" w:lineRule="auto"/>
      <w:jc w:val="left"/>
    </w:pPr>
    <w:rPr>
      <w:rFonts w:ascii="宋体" w:hAnsi="宋体" w:eastAsia="宋体" w:cs="宋体"/>
      <w:snapToGrid/>
      <w:spacing w:val="0"/>
      <w:kern w:val="0"/>
      <w:sz w:val="24"/>
    </w:rPr>
  </w:style>
  <w:style w:type="paragraph" w:customStyle="1" w:styleId="26">
    <w:name w:val="列出段落1"/>
    <w:basedOn w:val="1"/>
    <w:qFormat/>
    <w:uiPriority w:val="0"/>
    <w:pPr>
      <w:autoSpaceDE/>
      <w:autoSpaceDN/>
      <w:adjustRightInd/>
      <w:snapToGrid/>
      <w:spacing w:line="240" w:lineRule="auto"/>
      <w:ind w:firstLine="420" w:firstLineChars="200"/>
    </w:pPr>
    <w:rPr>
      <w:rFonts w:eastAsia="宋体"/>
      <w:snapToGrid/>
      <w:spacing w:val="0"/>
      <w:kern w:val="2"/>
      <w:sz w:val="21"/>
      <w:szCs w:val="21"/>
    </w:rPr>
  </w:style>
  <w:style w:type="paragraph" w:customStyle="1" w:styleId="27">
    <w:name w:val="Char"/>
    <w:basedOn w:val="1"/>
    <w:qFormat/>
    <w:uiPriority w:val="0"/>
    <w:pPr>
      <w:widowControl/>
      <w:autoSpaceDE/>
      <w:autoSpaceDN/>
      <w:adjustRightInd/>
      <w:snapToGrid/>
      <w:spacing w:after="160" w:line="240" w:lineRule="exact"/>
      <w:jc w:val="left"/>
    </w:pPr>
    <w:rPr>
      <w:rFonts w:eastAsia="宋体"/>
      <w:snapToGrid/>
      <w:spacing w:val="0"/>
      <w:kern w:val="2"/>
      <w:sz w:val="21"/>
      <w:szCs w:val="21"/>
    </w:rPr>
  </w:style>
  <w:style w:type="paragraph" w:customStyle="1" w:styleId="28">
    <w:name w:val="Char Char Char Char Char Char Char"/>
    <w:basedOn w:val="1"/>
    <w:qFormat/>
    <w:uiPriority w:val="0"/>
    <w:pPr>
      <w:autoSpaceDE/>
      <w:autoSpaceDN/>
      <w:adjustRightInd/>
      <w:snapToGrid/>
      <w:spacing w:line="240" w:lineRule="auto"/>
    </w:pPr>
    <w:rPr>
      <w:rFonts w:eastAsia="宋体"/>
      <w:snapToGrid/>
      <w:spacing w:val="0"/>
      <w:kern w:val="2"/>
      <w:sz w:val="21"/>
      <w:szCs w:val="20"/>
    </w:rPr>
  </w:style>
  <w:style w:type="paragraph" w:customStyle="1" w:styleId="29">
    <w:name w:val="_Style 6"/>
    <w:basedOn w:val="1"/>
    <w:qFormat/>
    <w:uiPriority w:val="0"/>
    <w:pPr>
      <w:autoSpaceDE/>
      <w:autoSpaceDN/>
      <w:adjustRightInd/>
      <w:snapToGrid/>
      <w:spacing w:line="240" w:lineRule="auto"/>
      <w:ind w:firstLine="420" w:firstLineChars="200"/>
    </w:pPr>
    <w:rPr>
      <w:rFonts w:ascii="Calibri" w:hAnsi="Calibri" w:eastAsia="宋体"/>
      <w:snapToGrid/>
      <w:spacing w:val="0"/>
      <w:kern w:val="2"/>
      <w:sz w:val="21"/>
      <w:szCs w:val="21"/>
    </w:rPr>
  </w:style>
  <w:style w:type="paragraph" w:customStyle="1" w:styleId="30">
    <w:name w:val="table of authorities1"/>
    <w:basedOn w:val="1"/>
    <w:next w:val="1"/>
    <w:qFormat/>
    <w:uiPriority w:val="0"/>
    <w:pPr>
      <w:autoSpaceDE/>
      <w:autoSpaceDN/>
      <w:adjustRightInd/>
      <w:snapToGrid/>
      <w:spacing w:line="240" w:lineRule="auto"/>
      <w:ind w:left="420" w:leftChars="200"/>
    </w:pPr>
    <w:rPr>
      <w:rFonts w:eastAsia="宋体"/>
      <w:snapToGrid/>
      <w:spacing w:val="0"/>
      <w:kern w:val="2"/>
      <w:sz w:val="30"/>
    </w:rPr>
  </w:style>
  <w:style w:type="paragraph" w:styleId="31">
    <w:name w:val="List Paragraph"/>
    <w:basedOn w:val="1"/>
    <w:qFormat/>
    <w:uiPriority w:val="99"/>
    <w:pPr>
      <w:ind w:firstLine="420" w:firstLineChars="200"/>
    </w:pPr>
  </w:style>
  <w:style w:type="paragraph" w:customStyle="1" w:styleId="32">
    <w:name w:val="Revision"/>
    <w:hidden/>
    <w:unhideWhenUsed/>
    <w:qFormat/>
    <w:uiPriority w:val="99"/>
    <w:rPr>
      <w:rFonts w:ascii="Times New Roman" w:hAnsi="Times New Roman" w:eastAsia="方正仿宋简体" w:cs="Times New Roman"/>
      <w:snapToGrid w:val="0"/>
      <w:spacing w:val="6"/>
      <w:kern w:val="3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12300;&#24320;&#22987;&#12301;&#33756;&#21333;\&#26032;A4&#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D7264-EA84-44F9-BE05-273D0775B28B}">
  <ds:schemaRefs/>
</ds:datastoreItem>
</file>

<file path=docProps/app.xml><?xml version="1.0" encoding="utf-8"?>
<Properties xmlns="http://schemas.openxmlformats.org/officeDocument/2006/extended-properties" xmlns:vt="http://schemas.openxmlformats.org/officeDocument/2006/docPropsVTypes">
  <Template>新A4版</Template>
  <Company>WYS</Company>
  <Pages>17</Pages>
  <Words>1244</Words>
  <Characters>7091</Characters>
  <Lines>59</Lines>
  <Paragraphs>16</Paragraphs>
  <TotalTime>1247</TotalTime>
  <ScaleCrop>false</ScaleCrop>
  <LinksUpToDate>false</LinksUpToDate>
  <CharactersWithSpaces>8319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2020-06-28T08:45:00Z</dcterms:created>
  <dc:creator>lee</dc:creator>
  <cp:lastModifiedBy>兽曦曦</cp:lastModifiedBy>
  <cp:lastPrinted>2021-06-29T00:59:00Z</cp:lastPrinted>
  <dcterms:modified xsi:type="dcterms:W3CDTF">2021-11-16T03:15:36Z</dcterms:modified>
  <dc:title>中国共产党中山市委员会</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80FB7ED4E219497686E4807FDD93440A</vt:lpwstr>
  </property>
</Properties>
</file>