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pacing w:val="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6"/>
          <w:kern w:val="0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default" w:ascii="Times New Roman" w:hAnsi="Times New Roman" w:eastAsia="黑体" w:cs="Times New Roman"/>
          <w:spacing w:val="6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6"/>
          <w:kern w:val="0"/>
          <w:sz w:val="44"/>
          <w:szCs w:val="44"/>
          <w:lang w:eastAsia="zh-CN"/>
        </w:rPr>
        <w:t>东区街道服务业企业</w:t>
      </w: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eastAsia="zh-CN"/>
        </w:rPr>
        <w:t>培育库入库标准</w:t>
      </w:r>
    </w:p>
    <w:p>
      <w:pPr>
        <w:widowControl/>
        <w:numPr>
          <w:ilvl w:val="0"/>
          <w:numId w:val="0"/>
        </w:numPr>
        <w:adjustRightInd w:val="0"/>
        <w:snapToGrid w:val="0"/>
        <w:spacing w:line="336" w:lineRule="auto"/>
        <w:rPr>
          <w:rFonts w:hint="default" w:ascii="Times New Roman" w:hAnsi="Times New Roman" w:eastAsia="黑体" w:cs="Times New Roman"/>
          <w:spacing w:val="6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eastAsia="黑体" w:cs="Times New Roman"/>
          <w:spacing w:val="6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6"/>
          <w:kern w:val="0"/>
          <w:sz w:val="32"/>
          <w:szCs w:val="32"/>
          <w:lang w:eastAsia="zh-CN"/>
        </w:rPr>
        <w:t>一、基本要求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cs="Times New Roman"/>
          <w:spacing w:val="6"/>
          <w:kern w:val="0"/>
          <w:sz w:val="24"/>
        </w:rPr>
      </w:pPr>
      <w:r>
        <w:rPr>
          <w:rFonts w:hint="default" w:ascii="Times New Roman" w:hAnsi="Times New Roman" w:cs="Times New Roman"/>
          <w:spacing w:val="6"/>
          <w:kern w:val="0"/>
          <w:sz w:val="32"/>
          <w:szCs w:val="32"/>
        </w:rPr>
        <w:t>  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东区街道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工商注册和税务登记，具有独立法人资格，实行统一核算的批发和零售业、住宿和餐饮业以及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互联网和相关技术、软件和信息技术服务业、租赁业、商务服务业、居民服务业、机动车、电子产品和日用品修理、其他服务业、新闻和出版业、广播、电视、电影和录音制作业、文化艺术业、体育和娱乐业等服务业企业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申报审核时已关闭或迁出的企业不在扶持范围。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eastAsia="黑体" w:cs="Times New Roman"/>
          <w:spacing w:val="6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6"/>
          <w:kern w:val="0"/>
          <w:sz w:val="32"/>
          <w:szCs w:val="32"/>
          <w:lang w:eastAsia="zh-CN"/>
        </w:rPr>
        <w:t>二、服务业企业培育库入库标准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eastAsia="楷体_GB2312" w:cs="Times New Roman"/>
          <w:spacing w:val="6"/>
          <w:kern w:val="0"/>
          <w:sz w:val="24"/>
        </w:rPr>
      </w:pPr>
      <w:r>
        <w:rPr>
          <w:rFonts w:hint="default" w:ascii="Times New Roman" w:hAnsi="Times New Roman" w:eastAsia="楷体_GB2312" w:cs="Times New Roman"/>
          <w:spacing w:val="6"/>
          <w:kern w:val="0"/>
          <w:sz w:val="32"/>
          <w:szCs w:val="32"/>
        </w:rPr>
        <w:t>（一）批零住餐业企业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cs="Times New Roman"/>
          <w:spacing w:val="6"/>
          <w:kern w:val="0"/>
          <w:sz w:val="24"/>
        </w:rPr>
      </w:pPr>
      <w:r>
        <w:rPr>
          <w:rFonts w:hint="default" w:ascii="Times New Roman" w:hAnsi="Times New Roman" w:cs="Times New Roman"/>
          <w:spacing w:val="6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批发业：全年主营业务收入达到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pacing w:val="6"/>
          <w:kern w:val="0"/>
          <w:sz w:val="32"/>
          <w:szCs w:val="32"/>
        </w:rPr>
        <w:t>000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万元及以上；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cs="Times New Roman"/>
          <w:spacing w:val="6"/>
          <w:kern w:val="0"/>
          <w:sz w:val="24"/>
        </w:rPr>
      </w:pPr>
      <w:r>
        <w:rPr>
          <w:rFonts w:hint="default" w:ascii="Times New Roman" w:hAnsi="Times New Roman" w:cs="Times New Roman"/>
          <w:spacing w:val="6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零售业：全年主营业务收入达到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cs="Times New Roman"/>
          <w:spacing w:val="6"/>
          <w:kern w:val="0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万元及以上；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cs="Times New Roman"/>
          <w:spacing w:val="6"/>
          <w:kern w:val="0"/>
          <w:sz w:val="24"/>
        </w:rPr>
      </w:pPr>
      <w:r>
        <w:rPr>
          <w:rFonts w:hint="default" w:ascii="Times New Roman" w:hAnsi="Times New Roman" w:cs="Times New Roman"/>
          <w:spacing w:val="6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住宿业：全年主营业务收入达到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pacing w:val="6"/>
          <w:kern w:val="0"/>
          <w:sz w:val="32"/>
          <w:szCs w:val="32"/>
        </w:rPr>
        <w:t>00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万元及以上；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cs="Times New Roman"/>
          <w:spacing w:val="6"/>
          <w:kern w:val="0"/>
          <w:sz w:val="24"/>
        </w:rPr>
      </w:pPr>
      <w:r>
        <w:rPr>
          <w:rFonts w:hint="default" w:ascii="Times New Roman" w:hAnsi="Times New Roman" w:cs="Times New Roman"/>
          <w:spacing w:val="6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餐饮业：全年主营业务收入达到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pacing w:val="6"/>
          <w:kern w:val="0"/>
          <w:sz w:val="32"/>
          <w:szCs w:val="32"/>
        </w:rPr>
        <w:t>00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</w:rPr>
        <w:t>万元及以上。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eastAsia="楷体_GB2312" w:cs="Times New Roman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6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spacing w:val="6"/>
          <w:kern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楷体_GB2312" w:cs="Times New Roman"/>
          <w:spacing w:val="6"/>
          <w:kern w:val="0"/>
          <w:sz w:val="32"/>
          <w:szCs w:val="32"/>
        </w:rPr>
        <w:t>服务业企业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pacing w:val="6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全年营业收入达到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1000万元及以上。行业范围：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信息传输、软件和信息技术服务业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交通运输、仓储和邮政业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，水利、环境和公共设施管理业，卫生行业。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全年营业收入达到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500万元及以上。行业范围：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租赁和商务服务业，科学研究和技术服务业，教育，物业管理、房地产中介服务、自有房地产经营活动和其他房地产业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水利、环境和公共设施管理业, 卫生和社会工作，以及等行业：年营业收入1000万元及以上，或年末从业人员50人及以上。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664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全年营业收入达到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250万元及以上。行业范围：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居民服务、修理和其他服务业，文化、体育和娱乐业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，社会工作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C4E7A"/>
    <w:rsid w:val="09F3313E"/>
    <w:rsid w:val="0B5C49AD"/>
    <w:rsid w:val="1EC30923"/>
    <w:rsid w:val="22C83A1F"/>
    <w:rsid w:val="250B3F85"/>
    <w:rsid w:val="27743357"/>
    <w:rsid w:val="29587D67"/>
    <w:rsid w:val="375F5434"/>
    <w:rsid w:val="3BD40C09"/>
    <w:rsid w:val="4044554F"/>
    <w:rsid w:val="46143B38"/>
    <w:rsid w:val="566E3D37"/>
    <w:rsid w:val="5AD86F01"/>
    <w:rsid w:val="5B5134E2"/>
    <w:rsid w:val="6063070E"/>
    <w:rsid w:val="66737EA5"/>
    <w:rsid w:val="66B36F64"/>
    <w:rsid w:val="69F816BA"/>
    <w:rsid w:val="72AF2723"/>
    <w:rsid w:val="767A192E"/>
    <w:rsid w:val="7B8C4E7A"/>
    <w:rsid w:val="7C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2021-09-08T02:55:00Z</dcterms:created>
  <dc:creator>Administrator</dc:creator>
  <cp:lastModifiedBy>东区党政综合办</cp:lastModifiedBy>
  <cp:lastPrinted>2021-10-21T03:24:00Z</cp:lastPrinted>
  <dcterms:modified xsi:type="dcterms:W3CDTF">2021-10-29T08:27:15Z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7E894E3A949443F19C36524994464DB4</vt:lpwstr>
  </property>
</Properties>
</file>