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default" w:ascii="Times New Roman" w:hAnsi="Times New Roman" w:eastAsia="黑体" w:cs="Times New Roman"/>
          <w:snapToGrid w:val="0"/>
          <w:spacing w:val="6"/>
          <w:kern w:val="0"/>
          <w:sz w:val="32"/>
          <w:szCs w:val="32"/>
          <w:lang w:val="en-US" w:eastAsia="zh-CN"/>
        </w:rPr>
      </w:pPr>
      <w:r>
        <w:rPr>
          <w:rFonts w:hint="default" w:ascii="Times New Roman" w:hAnsi="Times New Roman" w:eastAsia="黑体" w:cs="Times New Roman"/>
          <w:snapToGrid w:val="0"/>
          <w:spacing w:val="6"/>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default" w:ascii="Times New Roman" w:hAnsi="Times New Roman" w:eastAsia="黑体" w:cs="Times New Roman"/>
          <w:snapToGrid w:val="0"/>
          <w:spacing w:val="6"/>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方正小标宋简体" w:cs="Times New Roman"/>
          <w:snapToGrid w:val="0"/>
          <w:spacing w:val="6"/>
          <w:kern w:val="0"/>
          <w:sz w:val="44"/>
          <w:szCs w:val="44"/>
          <w:lang w:eastAsia="zh-CN"/>
        </w:rPr>
      </w:pPr>
      <w:r>
        <w:rPr>
          <w:rFonts w:hint="default" w:ascii="Times New Roman" w:hAnsi="Times New Roman" w:eastAsia="方正小标宋简体" w:cs="Times New Roman"/>
          <w:snapToGrid w:val="0"/>
          <w:spacing w:val="6"/>
          <w:kern w:val="0"/>
          <w:sz w:val="44"/>
          <w:szCs w:val="44"/>
          <w:lang w:eastAsia="zh-CN"/>
        </w:rPr>
        <w:t>东区街道总部企业认定办法</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336" w:lineRule="auto"/>
        <w:ind w:right="0" w:rightChars="0"/>
        <w:contextualSpacing/>
        <w:jc w:val="center"/>
        <w:textAlignment w:val="auto"/>
        <w:outlineLvl w:val="9"/>
        <w:rPr>
          <w:rFonts w:hint="default" w:ascii="Times New Roman" w:hAnsi="Times New Roman" w:eastAsia="黑体"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lang w:eastAsia="zh-CN"/>
        </w:rPr>
        <w:t>第一章</w:t>
      </w:r>
      <w:r>
        <w:rPr>
          <w:rFonts w:hint="default" w:ascii="Times New Roman" w:hAnsi="Times New Roman" w:eastAsia="黑体" w:cs="Times New Roman"/>
          <w:snapToGrid w:val="0"/>
          <w:spacing w:val="6"/>
          <w:kern w:val="0"/>
          <w:sz w:val="32"/>
          <w:szCs w:val="32"/>
          <w:lang w:val="en-US" w:eastAsia="zh-CN"/>
        </w:rPr>
        <w:t xml:space="preserve"> </w:t>
      </w:r>
      <w:r>
        <w:rPr>
          <w:rFonts w:hint="default" w:ascii="Times New Roman" w:hAnsi="Times New Roman" w:eastAsia="黑体" w:cs="Times New Roman"/>
          <w:snapToGrid w:val="0"/>
          <w:spacing w:val="6"/>
          <w:w w:val="100"/>
          <w:kern w:val="0"/>
          <w:sz w:val="32"/>
          <w:szCs w:val="32"/>
        </w:rPr>
        <w:t>总部企业认定条件</w:t>
      </w:r>
      <w:r>
        <w:rPr>
          <w:rFonts w:hint="default" w:ascii="Times New Roman" w:hAnsi="Times New Roman" w:eastAsia="黑体" w:cs="Times New Roman"/>
          <w:snapToGrid w:val="0"/>
          <w:spacing w:val="6"/>
          <w:w w:val="100"/>
          <w:kern w:val="0"/>
          <w:sz w:val="32"/>
          <w:szCs w:val="32"/>
          <w:lang w:eastAsia="zh-CN"/>
        </w:rPr>
        <w:t>及要求</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lang w:eastAsia="zh-CN"/>
        </w:rPr>
        <w:t xml:space="preserve">第一条 </w:t>
      </w:r>
      <w:r>
        <w:rPr>
          <w:rFonts w:hint="default" w:ascii="Times New Roman" w:hAnsi="Times New Roman" w:eastAsia="仿宋_GB2312" w:cs="Times New Roman"/>
          <w:snapToGrid w:val="0"/>
          <w:spacing w:val="6"/>
          <w:kern w:val="0"/>
          <w:sz w:val="32"/>
          <w:szCs w:val="32"/>
          <w:lang w:eastAsia="zh-CN"/>
        </w:rPr>
        <w:t>基本条件。</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Times New Roman" w:hAnsi="Times New Roman" w:eastAsia="仿宋_GB2312" w:cs="Times New Roman"/>
          <w:snapToGrid w:val="0"/>
          <w:spacing w:val="6"/>
          <w:kern w:val="0"/>
          <w:sz w:val="32"/>
          <w:szCs w:val="32"/>
          <w:lang w:eastAsia="zh-CN"/>
        </w:rPr>
        <w:t>在东区街道注册并具有独立主体资格，具有决策管理、行政管理、资产管理、资金结算管理、采购管理等总部职能，或经总公司（母公司）授权，承担总公司（母公司）区域（包括但不限于东区街道）销售、研发、运营、结算等部</w:t>
      </w:r>
      <w:r>
        <w:rPr>
          <w:rFonts w:hint="default" w:ascii="Times New Roman" w:hAnsi="Times New Roman" w:eastAsia="仿宋_GB2312" w:cs="Times New Roman"/>
          <w:snapToGrid w:val="0"/>
          <w:color w:val="auto"/>
          <w:spacing w:val="6"/>
          <w:kern w:val="0"/>
          <w:sz w:val="32"/>
          <w:szCs w:val="32"/>
          <w:lang w:eastAsia="zh-CN"/>
        </w:rPr>
        <w:t>分总部职能的公司、企业或组织机构，以及属于中山市级或三级及以上分支机构的银行、保险、证券机构。</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黑体" w:cs="Times New Roman"/>
          <w:snapToGrid w:val="0"/>
          <w:color w:val="auto"/>
          <w:spacing w:val="6"/>
          <w:kern w:val="0"/>
          <w:sz w:val="32"/>
          <w:szCs w:val="32"/>
          <w:lang w:eastAsia="zh-CN"/>
        </w:rPr>
      </w:pPr>
      <w:r>
        <w:rPr>
          <w:rFonts w:hint="default" w:ascii="Times New Roman" w:hAnsi="Times New Roman" w:eastAsia="黑体" w:cs="Times New Roman"/>
          <w:snapToGrid w:val="0"/>
          <w:color w:val="auto"/>
          <w:spacing w:val="6"/>
          <w:kern w:val="0"/>
          <w:sz w:val="32"/>
          <w:szCs w:val="32"/>
          <w:lang w:eastAsia="zh-CN"/>
        </w:rPr>
        <w:t xml:space="preserve">第二条 </w:t>
      </w:r>
      <w:r>
        <w:rPr>
          <w:rFonts w:hint="default" w:ascii="Times New Roman" w:hAnsi="Times New Roman" w:eastAsia="仿宋_GB2312" w:cs="Times New Roman"/>
          <w:snapToGrid w:val="0"/>
          <w:color w:val="auto"/>
          <w:spacing w:val="6"/>
          <w:kern w:val="0"/>
          <w:sz w:val="32"/>
          <w:szCs w:val="32"/>
          <w:lang w:eastAsia="zh-CN"/>
        </w:rPr>
        <w:t>认定条件。</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val="en-US" w:eastAsia="zh-CN"/>
        </w:rPr>
      </w:pPr>
      <w:r>
        <w:rPr>
          <w:rFonts w:hint="eastAsia" w:ascii="楷体_GB2312" w:hAnsi="楷体_GB2312" w:eastAsia="楷体_GB2312" w:cs="楷体_GB2312"/>
          <w:b w:val="0"/>
          <w:bCs w:val="0"/>
          <w:snapToGrid w:val="0"/>
          <w:color w:val="auto"/>
          <w:spacing w:val="6"/>
          <w:kern w:val="0"/>
          <w:sz w:val="32"/>
          <w:szCs w:val="32"/>
          <w:lang w:eastAsia="zh-CN"/>
        </w:rPr>
        <w:t>（一）</w:t>
      </w:r>
      <w:r>
        <w:rPr>
          <w:rFonts w:hint="eastAsia" w:ascii="楷体_GB2312" w:hAnsi="楷体_GB2312" w:eastAsia="楷体_GB2312" w:cs="楷体_GB2312"/>
          <w:b w:val="0"/>
          <w:bCs w:val="0"/>
          <w:snapToGrid w:val="0"/>
          <w:color w:val="auto"/>
          <w:spacing w:val="6"/>
          <w:kern w:val="0"/>
          <w:sz w:val="32"/>
          <w:szCs w:val="32"/>
          <w:lang w:val="en-US" w:eastAsia="zh-CN"/>
        </w:rPr>
        <w:t>市</w:t>
      </w:r>
      <w:r>
        <w:rPr>
          <w:rFonts w:hint="eastAsia" w:ascii="楷体_GB2312" w:hAnsi="楷体_GB2312" w:eastAsia="楷体_GB2312" w:cs="楷体_GB2312"/>
          <w:b w:val="0"/>
          <w:bCs w:val="0"/>
          <w:snapToGrid w:val="0"/>
          <w:color w:val="auto"/>
          <w:spacing w:val="6"/>
          <w:kern w:val="0"/>
          <w:sz w:val="32"/>
          <w:szCs w:val="32"/>
          <w:lang w:eastAsia="zh-CN"/>
        </w:rPr>
        <w:t>直接认定类别：</w:t>
      </w:r>
      <w:r>
        <w:rPr>
          <w:rFonts w:hint="default" w:ascii="Times New Roman" w:hAnsi="Times New Roman" w:eastAsia="仿宋_GB2312" w:cs="Times New Roman"/>
          <w:snapToGrid w:val="0"/>
          <w:color w:val="auto"/>
          <w:spacing w:val="6"/>
          <w:kern w:val="0"/>
          <w:sz w:val="32"/>
          <w:szCs w:val="32"/>
          <w:lang w:val="en-US" w:eastAsia="zh-CN"/>
        </w:rPr>
        <w:t>（详见《中山市人民政府关于进一步鼓励发展总部经济的若干意见》）</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Times New Roman" w:hAnsi="Times New Roman" w:eastAsia="仿宋_GB2312" w:cs="Times New Roman"/>
          <w:snapToGrid w:val="0"/>
          <w:color w:val="auto"/>
          <w:spacing w:val="6"/>
          <w:kern w:val="0"/>
          <w:sz w:val="32"/>
          <w:szCs w:val="32"/>
          <w:lang w:eastAsia="zh-CN"/>
        </w:rPr>
        <w:t>1</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color w:val="auto"/>
          <w:spacing w:val="6"/>
          <w:kern w:val="0"/>
          <w:sz w:val="32"/>
          <w:szCs w:val="32"/>
          <w:lang w:eastAsia="zh-CN"/>
        </w:rPr>
        <w:t>境内外上市公司。</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Times New Roman" w:hAnsi="Times New Roman" w:eastAsia="仿宋_GB2312" w:cs="Times New Roman"/>
          <w:snapToGrid w:val="0"/>
          <w:color w:val="auto"/>
          <w:spacing w:val="6"/>
          <w:kern w:val="0"/>
          <w:sz w:val="32"/>
          <w:szCs w:val="32"/>
          <w:lang w:eastAsia="zh-CN"/>
        </w:rPr>
        <w:t>2</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color w:val="auto"/>
          <w:spacing w:val="6"/>
          <w:kern w:val="0"/>
          <w:sz w:val="32"/>
          <w:szCs w:val="32"/>
          <w:lang w:eastAsia="zh-CN"/>
        </w:rPr>
        <w:t>我市企业以存在控制关系的境外公司在境外间接上市，且由我市企业承担营销、结算等总部职能；上市企业在我市设立具备营销、结算等总部职能的企业法人。</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Times New Roman" w:hAnsi="Times New Roman" w:eastAsia="仿宋_GB2312" w:cs="Times New Roman"/>
          <w:snapToGrid w:val="0"/>
          <w:color w:val="auto"/>
          <w:spacing w:val="6"/>
          <w:kern w:val="0"/>
          <w:sz w:val="32"/>
          <w:szCs w:val="32"/>
          <w:lang w:eastAsia="zh-CN"/>
        </w:rPr>
        <w:t>3</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color w:val="auto"/>
          <w:spacing w:val="6"/>
          <w:kern w:val="0"/>
          <w:sz w:val="32"/>
          <w:szCs w:val="32"/>
          <w:lang w:eastAsia="zh-CN"/>
        </w:rPr>
        <w:t>央企二级公司以上或区域总部。</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Times New Roman" w:hAnsi="Times New Roman" w:eastAsia="仿宋_GB2312" w:cs="Times New Roman"/>
          <w:snapToGrid w:val="0"/>
          <w:color w:val="auto"/>
          <w:spacing w:val="6"/>
          <w:kern w:val="0"/>
          <w:sz w:val="32"/>
          <w:szCs w:val="32"/>
          <w:lang w:eastAsia="zh-CN"/>
        </w:rPr>
        <w:t>4</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color w:val="auto"/>
          <w:spacing w:val="6"/>
          <w:kern w:val="0"/>
          <w:sz w:val="32"/>
          <w:szCs w:val="32"/>
          <w:lang w:eastAsia="zh-CN"/>
        </w:rPr>
        <w:t>在上年度公布的世界企业500强（福布斯）、中国企业500强（中国企业联合会、中国企业家协会）、中国制造业企业500强（中国企业联合会、中国企业家协会）、中国服务业企业500强（中国企业联合会、中国企业家协会）、广东省民营企业100强（广东省企业联合会、广东省企业家协会）名单中的企业。</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楷体_GB2312" w:cs="Times New Roman"/>
          <w:b w:val="0"/>
          <w:bCs w:val="0"/>
          <w:snapToGrid w:val="0"/>
          <w:color w:val="auto"/>
          <w:spacing w:val="6"/>
          <w:kern w:val="0"/>
          <w:sz w:val="32"/>
          <w:szCs w:val="32"/>
          <w:lang w:eastAsia="zh-CN"/>
        </w:rPr>
      </w:pPr>
      <w:r>
        <w:rPr>
          <w:rFonts w:hint="default" w:ascii="Times New Roman" w:hAnsi="Times New Roman" w:eastAsia="楷体_GB2312" w:cs="Times New Roman"/>
          <w:b w:val="0"/>
          <w:bCs w:val="0"/>
          <w:snapToGrid w:val="0"/>
          <w:color w:val="auto"/>
          <w:spacing w:val="6"/>
          <w:kern w:val="0"/>
          <w:sz w:val="32"/>
          <w:szCs w:val="32"/>
          <w:lang w:eastAsia="zh-CN"/>
        </w:rPr>
        <w:t>（二）经营情况认定类别：</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Times New Roman" w:hAnsi="Times New Roman" w:eastAsia="仿宋_GB2312" w:cs="Times New Roman"/>
          <w:snapToGrid w:val="0"/>
          <w:color w:val="auto"/>
          <w:spacing w:val="6"/>
          <w:kern w:val="0"/>
          <w:sz w:val="32"/>
          <w:szCs w:val="32"/>
          <w:lang w:eastAsia="zh-CN"/>
        </w:rPr>
        <w:t>1</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color w:val="auto"/>
          <w:spacing w:val="6"/>
          <w:kern w:val="0"/>
          <w:sz w:val="32"/>
          <w:szCs w:val="32"/>
          <w:lang w:eastAsia="zh-CN"/>
        </w:rPr>
        <w:t>服务业总部企业。</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Times New Roman" w:hAnsi="Times New Roman" w:eastAsia="仿宋_GB2312" w:cs="Times New Roman"/>
          <w:snapToGrid w:val="0"/>
          <w:color w:val="auto"/>
          <w:spacing w:val="6"/>
          <w:kern w:val="0"/>
          <w:sz w:val="32"/>
          <w:szCs w:val="32"/>
          <w:lang w:eastAsia="zh-CN"/>
        </w:rPr>
        <w:t>（1）金融业。中山市级或三级及以上分支机构的银行、保险、证券机构，当年度营业收入分别为4亿元以上、4亿元以上、3000万元以上，且形成财政贡献分别为4000万元以上、3000万元以上、1000万元以上。</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Times New Roman" w:hAnsi="Times New Roman" w:eastAsia="仿宋_GB2312" w:cs="Times New Roman"/>
          <w:snapToGrid w:val="0"/>
          <w:color w:val="auto"/>
          <w:spacing w:val="6"/>
          <w:kern w:val="0"/>
          <w:sz w:val="32"/>
          <w:szCs w:val="32"/>
          <w:lang w:eastAsia="zh-CN"/>
        </w:rPr>
        <w:t>经中国人民银行、银保监会、证监会核准牌照的期货、公募基金、信托、金融租赁、财务公司、消费金融公司、汽车金融公司、第三方支付公司、资产管理公司；金融投资控股公司、金融要素交易平台、融资租赁公司、融资担保公司、商业保理公司、股权投资公司、小额贷款公司等，当年度营业收入7000万元以上，且形成财政贡献700万元以上。</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仿宋_GB2312" w:cs="Times New Roman"/>
          <w:snapToGrid w:val="0"/>
          <w:color w:val="auto"/>
          <w:spacing w:val="6"/>
          <w:kern w:val="0"/>
          <w:sz w:val="32"/>
          <w:szCs w:val="32"/>
          <w:lang w:eastAsia="zh-CN"/>
        </w:rPr>
        <w:t>（2）商贸服务业。批发业当年度营业收入</w:t>
      </w:r>
      <w:r>
        <w:rPr>
          <w:rFonts w:hint="default" w:ascii="Times New Roman" w:hAnsi="Times New Roman" w:eastAsia="仿宋_GB2312" w:cs="Times New Roman"/>
          <w:snapToGrid w:val="0"/>
          <w:spacing w:val="6"/>
          <w:kern w:val="0"/>
          <w:sz w:val="32"/>
          <w:szCs w:val="32"/>
          <w:lang w:eastAsia="zh-CN"/>
        </w:rPr>
        <w:t>7.5亿元以上，且形成财政贡献1500万元以上；零售业当年度营业收入2.5亿元以上，且形成财政贡献750万元以上；跨境电商当年度营业收入2.5亿元以上，且形成财政贡献500万元以上。</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仿宋_GB2312" w:cs="Times New Roman"/>
          <w:snapToGrid w:val="0"/>
          <w:spacing w:val="6"/>
          <w:kern w:val="0"/>
          <w:sz w:val="32"/>
          <w:szCs w:val="32"/>
          <w:lang w:eastAsia="zh-CN"/>
        </w:rPr>
        <w:t>（3）其他服务业。除上述金融业、商贸服务业以外的其他服务业，当年度营业收入5000万元以上，且形成财政贡献500万元以上。</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仿宋_GB2312" w:cs="Times New Roman"/>
          <w:snapToGrid w:val="0"/>
          <w:spacing w:val="6"/>
          <w:kern w:val="0"/>
          <w:sz w:val="32"/>
          <w:szCs w:val="32"/>
          <w:lang w:eastAsia="zh-CN"/>
        </w:rPr>
        <w:t>2</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spacing w:val="6"/>
          <w:kern w:val="0"/>
          <w:sz w:val="32"/>
          <w:szCs w:val="32"/>
          <w:lang w:eastAsia="zh-CN"/>
        </w:rPr>
        <w:t>建筑业总部企业。具有企业资质等级总承包贰级以上资质，当年度营业收入3亿元以上，且形成财政贡献800万元以上。</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仿宋_GB2312" w:cs="Times New Roman"/>
          <w:snapToGrid w:val="0"/>
          <w:spacing w:val="6"/>
          <w:kern w:val="0"/>
          <w:sz w:val="32"/>
          <w:szCs w:val="32"/>
          <w:lang w:eastAsia="zh-CN"/>
        </w:rPr>
        <w:t>3</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spacing w:val="6"/>
          <w:kern w:val="0"/>
          <w:sz w:val="32"/>
          <w:szCs w:val="32"/>
          <w:lang w:eastAsia="zh-CN"/>
        </w:rPr>
        <w:t>制造业总部企业。当年度营业收入人民币（下同）3亿元以上，且形成财政贡献1500万元以上。其中，新一代信息技术等新兴产业，当年度营业收入1.5亿元以上，且形成财政贡献750万元以上；对拥有国家级技术创新平台，承担国家和省重大科技专项的创新标杆企业，当年度营业收入7500万元以上，且形成财政贡献500万元以上。</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仿宋_GB2312" w:cs="Times New Roman"/>
          <w:snapToGrid w:val="0"/>
          <w:spacing w:val="6"/>
          <w:kern w:val="0"/>
          <w:sz w:val="32"/>
          <w:szCs w:val="32"/>
          <w:lang w:eastAsia="zh-CN"/>
        </w:rPr>
        <w:t>4</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spacing w:val="6"/>
          <w:kern w:val="0"/>
          <w:sz w:val="32"/>
          <w:szCs w:val="32"/>
          <w:lang w:eastAsia="zh-CN"/>
        </w:rPr>
        <w:t>房地产业总部企业。含房地产开发经营等，当年度营业收入20亿元以上，且形成财政贡献3亿元以上。</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楷体_GB2312" w:hAnsi="楷体_GB2312" w:eastAsia="楷体_GB2312" w:cs="楷体_GB2312"/>
          <w:b w:val="0"/>
          <w:bCs w:val="0"/>
          <w:snapToGrid w:val="0"/>
          <w:color w:val="auto"/>
          <w:spacing w:val="6"/>
          <w:kern w:val="0"/>
          <w:sz w:val="32"/>
          <w:szCs w:val="32"/>
          <w:lang w:val="en-US" w:eastAsia="zh-CN"/>
        </w:rPr>
      </w:pPr>
      <w:r>
        <w:rPr>
          <w:rFonts w:hint="default" w:ascii="楷体_GB2312" w:hAnsi="楷体_GB2312" w:eastAsia="楷体_GB2312" w:cs="楷体_GB2312"/>
          <w:b w:val="0"/>
          <w:bCs w:val="0"/>
          <w:snapToGrid w:val="0"/>
          <w:color w:val="auto"/>
          <w:spacing w:val="6"/>
          <w:kern w:val="0"/>
          <w:sz w:val="32"/>
          <w:szCs w:val="32"/>
          <w:lang w:val="en-US" w:eastAsia="zh-CN"/>
        </w:rPr>
        <w:t>（三）一事一议认定类别：</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仿宋_GB2312" w:cs="Times New Roman"/>
          <w:snapToGrid w:val="0"/>
          <w:spacing w:val="6"/>
          <w:kern w:val="0"/>
          <w:sz w:val="32"/>
          <w:szCs w:val="32"/>
          <w:lang w:eastAsia="zh-CN"/>
        </w:rPr>
        <w:t>1</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spacing w:val="6"/>
          <w:kern w:val="0"/>
          <w:sz w:val="32"/>
          <w:szCs w:val="32"/>
          <w:lang w:eastAsia="zh-CN"/>
        </w:rPr>
        <w:t>对符合东区街道产业发展导向、具有重大产业支撑作用的新引进企业，经东区街道党工委、办事处批准，可认定为总部企业。</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Times New Roman" w:hAnsi="Times New Roman" w:eastAsia="仿宋_GB2312" w:cs="Times New Roman"/>
          <w:snapToGrid w:val="0"/>
          <w:spacing w:val="6"/>
          <w:kern w:val="0"/>
          <w:sz w:val="32"/>
          <w:szCs w:val="32"/>
          <w:lang w:eastAsia="zh-CN"/>
        </w:rPr>
        <w:t>2</w:t>
      </w:r>
      <w:r>
        <w:rPr>
          <w:rFonts w:hint="eastAsia" w:ascii="Times New Roman" w:hAnsi="Times New Roman" w:eastAsia="仿宋_GB2312" w:cs="Times New Roman"/>
          <w:snapToGrid w:val="0"/>
          <w:color w:val="auto"/>
          <w:spacing w:val="6"/>
          <w:kern w:val="0"/>
          <w:sz w:val="32"/>
          <w:szCs w:val="32"/>
          <w:lang w:eastAsia="zh-CN"/>
        </w:rPr>
        <w:t>．</w:t>
      </w:r>
      <w:r>
        <w:rPr>
          <w:rFonts w:hint="default" w:ascii="Times New Roman" w:hAnsi="Times New Roman" w:eastAsia="仿宋_GB2312" w:cs="Times New Roman"/>
          <w:snapToGrid w:val="0"/>
          <w:spacing w:val="6"/>
          <w:kern w:val="0"/>
          <w:sz w:val="32"/>
          <w:szCs w:val="32"/>
          <w:lang w:eastAsia="zh-CN"/>
        </w:rPr>
        <w:t>持有国内外权威机构经营许可牌照的机构。包括但不限于药品上市许可持有企业及医疗器械注册企业，取得证券、期货业务许可证的会计师事务所，具备从事证券法律业务能力的律师事务所，具有公认权威的检验检测认证机构等。经东区街道党工委、办事处批准，可认定为总部</w:t>
      </w:r>
      <w:r>
        <w:rPr>
          <w:rFonts w:hint="default" w:ascii="Times New Roman" w:hAnsi="Times New Roman" w:eastAsia="仿宋_GB2312" w:cs="Times New Roman"/>
          <w:snapToGrid w:val="0"/>
          <w:color w:val="auto"/>
          <w:spacing w:val="6"/>
          <w:kern w:val="0"/>
          <w:sz w:val="32"/>
          <w:szCs w:val="32"/>
          <w:lang w:eastAsia="zh-CN"/>
        </w:rPr>
        <w:t>企业。</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textAlignment w:val="auto"/>
        <w:rPr>
          <w:rFonts w:hint="default" w:ascii="Times New Roman" w:hAnsi="Times New Roman" w:eastAsia="仿宋_GB2312" w:cs="Times New Roman"/>
          <w:snapToGrid w:val="0"/>
          <w:color w:val="auto"/>
          <w:spacing w:val="6"/>
          <w:kern w:val="0"/>
          <w:sz w:val="32"/>
          <w:szCs w:val="32"/>
          <w:lang w:eastAsia="zh-CN"/>
        </w:rPr>
      </w:pPr>
      <w:r>
        <w:rPr>
          <w:rFonts w:hint="default" w:ascii="楷体_GB2312" w:hAnsi="楷体_GB2312" w:eastAsia="楷体_GB2312" w:cs="楷体_GB2312"/>
          <w:b w:val="0"/>
          <w:bCs w:val="0"/>
          <w:snapToGrid w:val="0"/>
          <w:color w:val="auto"/>
          <w:spacing w:val="6"/>
          <w:kern w:val="0"/>
          <w:sz w:val="32"/>
          <w:szCs w:val="32"/>
          <w:lang w:val="en-US" w:eastAsia="zh-CN"/>
        </w:rPr>
        <w:t>（四）其他类别：</w:t>
      </w:r>
      <w:r>
        <w:rPr>
          <w:rFonts w:hint="default" w:ascii="Times New Roman" w:hAnsi="Times New Roman" w:eastAsia="仿宋_GB2312" w:cs="Times New Roman"/>
          <w:snapToGrid w:val="0"/>
          <w:color w:val="auto"/>
          <w:spacing w:val="6"/>
          <w:kern w:val="0"/>
          <w:sz w:val="32"/>
          <w:szCs w:val="32"/>
          <w:lang w:eastAsia="zh-CN"/>
        </w:rPr>
        <w:t>对于不属于“市直接认定类别”的市总部企业，若不符上述“经营情况认定”条件的，也可认定为东区街道总部企业，但不享受落户奖。</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lang w:eastAsia="zh-CN"/>
        </w:rPr>
        <w:t>第三条</w:t>
      </w:r>
      <w:r>
        <w:rPr>
          <w:rFonts w:hint="default" w:ascii="Times New Roman" w:hAnsi="Times New Roman" w:eastAsia="仿宋_GB2312" w:cs="Times New Roman"/>
          <w:snapToGrid w:val="0"/>
          <w:spacing w:val="6"/>
          <w:kern w:val="0"/>
          <w:sz w:val="32"/>
          <w:szCs w:val="32"/>
          <w:lang w:eastAsia="zh-CN"/>
        </w:rPr>
        <w:t xml:space="preserve"> 本办法所称营业收入指企业税款所属期的企业所得税汇算清缴申报表填写的营业收入；财政贡献指公历年度内（1月1日至12月31日）由企业在中山实际缴纳的企业所得税、增值税（含免抵调库）、个人所得税等入库税款，但不包括代扣代缴、代收代缴税款、海关征收的相关税收及相关退税（个人所得税除外）；地方贡献指企业缴纳企业所得税、增值税的东区街道地方财政留存部分。</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lang w:eastAsia="zh-CN"/>
        </w:rPr>
        <w:t>第四条</w:t>
      </w:r>
      <w:r>
        <w:rPr>
          <w:rFonts w:hint="default" w:ascii="Times New Roman" w:hAnsi="Times New Roman" w:eastAsia="仿宋_GB2312" w:cs="Times New Roman"/>
          <w:snapToGrid w:val="0"/>
          <w:spacing w:val="6"/>
          <w:kern w:val="0"/>
          <w:sz w:val="32"/>
          <w:szCs w:val="32"/>
          <w:lang w:eastAsia="zh-CN"/>
        </w:rPr>
        <w:t xml:space="preserve"> 本办法所称营业收入和财政贡献可以单个独立法人企业本身数据计算，也可以将企业及其东区街道辖区下属全资子公司、控股子公司和分公司的数据合并计算，但不得重复计算。下属企业为有限责任公司的，总部企业应持有其50%（含）以上股份，下属企业为股份有限公司的，总部企业持有股份可低于50%，但应拥有该下属企业的实际控制权。股权关系以上年12月31日股权登记状况为准。</w:t>
      </w:r>
    </w:p>
    <w:p>
      <w:pPr>
        <w:keepNext w:val="0"/>
        <w:keepLines w:val="0"/>
        <w:pageBreakBefore w:val="0"/>
        <w:widowControl w:val="0"/>
        <w:tabs>
          <w:tab w:val="right" w:pos="8306"/>
        </w:tabs>
        <w:kinsoku/>
        <w:wordWrap/>
        <w:overflowPunct/>
        <w:topLinePunct w:val="0"/>
        <w:autoSpaceDE/>
        <w:autoSpaceDN/>
        <w:bidi w:val="0"/>
        <w:adjustRightInd w:val="0"/>
        <w:snapToGrid w:val="0"/>
        <w:spacing w:line="336" w:lineRule="auto"/>
        <w:ind w:firstLine="664" w:firstLineChars="200"/>
        <w:jc w:val="left"/>
        <w:textAlignment w:val="auto"/>
        <w:outlineLvl w:val="9"/>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rPr>
        <w:t>第</w:t>
      </w:r>
      <w:r>
        <w:rPr>
          <w:rFonts w:hint="default" w:ascii="Times New Roman" w:hAnsi="Times New Roman" w:eastAsia="黑体" w:cs="Times New Roman"/>
          <w:snapToGrid w:val="0"/>
          <w:spacing w:val="6"/>
          <w:kern w:val="0"/>
          <w:sz w:val="32"/>
          <w:szCs w:val="32"/>
          <w:lang w:eastAsia="zh-CN"/>
        </w:rPr>
        <w:t>五</w:t>
      </w:r>
      <w:r>
        <w:rPr>
          <w:rFonts w:hint="default" w:ascii="Times New Roman" w:hAnsi="Times New Roman" w:eastAsia="黑体" w:cs="Times New Roman"/>
          <w:snapToGrid w:val="0"/>
          <w:spacing w:val="6"/>
          <w:kern w:val="0"/>
          <w:sz w:val="32"/>
          <w:szCs w:val="32"/>
        </w:rPr>
        <w:t>条</w:t>
      </w:r>
      <w:r>
        <w:rPr>
          <w:rFonts w:hint="default" w:ascii="Times New Roman" w:hAnsi="Times New Roman" w:eastAsia="仿宋_GB2312" w:cs="Times New Roman"/>
          <w:snapToGrid w:val="0"/>
          <w:spacing w:val="6"/>
          <w:kern w:val="0"/>
          <w:sz w:val="32"/>
          <w:szCs w:val="32"/>
        </w:rPr>
        <w:t xml:space="preserve"> </w:t>
      </w:r>
      <w:r>
        <w:rPr>
          <w:rFonts w:hint="default" w:ascii="Times New Roman" w:hAnsi="Times New Roman" w:cs="Times New Roman"/>
          <w:snapToGrid w:val="0"/>
          <w:spacing w:val="6"/>
          <w:kern w:val="0"/>
          <w:sz w:val="32"/>
          <w:szCs w:val="32"/>
          <w:lang w:val="en-US" w:eastAsia="zh-CN"/>
        </w:rPr>
        <w:t xml:space="preserve"> </w:t>
      </w:r>
      <w:r>
        <w:rPr>
          <w:rFonts w:hint="default" w:ascii="Times New Roman" w:hAnsi="Times New Roman" w:eastAsia="仿宋_GB2312" w:cs="Times New Roman"/>
          <w:snapToGrid w:val="0"/>
          <w:spacing w:val="6"/>
          <w:kern w:val="0"/>
          <w:sz w:val="32"/>
          <w:szCs w:val="32"/>
          <w:lang w:eastAsia="zh-CN"/>
        </w:rPr>
        <w:t>本办法所称“以下”不含本级，“以上”“达到”“不超过”均含本级。</w:t>
      </w:r>
    </w:p>
    <w:p>
      <w:pPr>
        <w:keepNext w:val="0"/>
        <w:keepLines w:val="0"/>
        <w:pageBreakBefore w:val="0"/>
        <w:widowControl w:val="0"/>
        <w:tabs>
          <w:tab w:val="right" w:pos="8306"/>
        </w:tabs>
        <w:kinsoku/>
        <w:wordWrap/>
        <w:overflowPunct/>
        <w:topLinePunct w:val="0"/>
        <w:autoSpaceDE/>
        <w:autoSpaceDN/>
        <w:bidi w:val="0"/>
        <w:adjustRightInd w:val="0"/>
        <w:snapToGrid w:val="0"/>
        <w:spacing w:line="336" w:lineRule="auto"/>
        <w:ind w:firstLine="664" w:firstLineChars="200"/>
        <w:jc w:val="left"/>
        <w:textAlignment w:val="auto"/>
        <w:outlineLvl w:val="9"/>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lang w:eastAsia="zh-CN"/>
        </w:rPr>
        <w:t>第六条</w:t>
      </w:r>
      <w:r>
        <w:rPr>
          <w:rFonts w:hint="default" w:ascii="Times New Roman" w:hAnsi="Times New Roman" w:eastAsia="仿宋_GB2312" w:cs="Times New Roman"/>
          <w:snapToGrid w:val="0"/>
          <w:spacing w:val="6"/>
          <w:kern w:val="0"/>
          <w:sz w:val="32"/>
          <w:szCs w:val="32"/>
          <w:lang w:eastAsia="zh-CN"/>
        </w:rPr>
        <w:t xml:space="preserve"> 首次认定的总部企业，可享受落户奖；复审通过的总部企业，可享受贡献奖和人才奖。</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黑体"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lang w:eastAsia="zh-CN"/>
        </w:rPr>
        <w:t>第二章</w:t>
      </w:r>
      <w:r>
        <w:rPr>
          <w:rFonts w:hint="default" w:ascii="Times New Roman" w:hAnsi="Times New Roman" w:eastAsia="黑体" w:cs="Times New Roman"/>
          <w:snapToGrid w:val="0"/>
          <w:spacing w:val="6"/>
          <w:kern w:val="0"/>
          <w:sz w:val="32"/>
          <w:szCs w:val="32"/>
          <w:lang w:val="en-US" w:eastAsia="zh-CN"/>
        </w:rPr>
        <w:t xml:space="preserve"> </w:t>
      </w:r>
      <w:r>
        <w:rPr>
          <w:rFonts w:hint="default" w:ascii="Times New Roman" w:hAnsi="Times New Roman" w:eastAsia="黑体" w:cs="Times New Roman"/>
          <w:snapToGrid w:val="0"/>
          <w:spacing w:val="6"/>
          <w:kern w:val="0"/>
          <w:sz w:val="32"/>
          <w:szCs w:val="32"/>
          <w:lang w:eastAsia="zh-CN"/>
        </w:rPr>
        <w:t>监督管理</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lang w:eastAsia="zh-CN"/>
        </w:rPr>
        <w:t>第七条</w:t>
      </w:r>
      <w:r>
        <w:rPr>
          <w:rFonts w:hint="default" w:ascii="Times New Roman" w:hAnsi="Times New Roman" w:eastAsia="仿宋_GB2312" w:cs="Times New Roman"/>
          <w:snapToGrid w:val="0"/>
          <w:spacing w:val="6"/>
          <w:kern w:val="0"/>
          <w:sz w:val="32"/>
          <w:szCs w:val="32"/>
          <w:lang w:eastAsia="zh-CN"/>
        </w:rPr>
        <w:t xml:space="preserve"> 建立总部企业年度审查和动态调整机制，每年东区街道总部办对已认定的总部企业进行资格复审，动态更新总部企业名录，总部企业连续两年在我街道形成财政贡献未达到认定条件的，暂停享受总部经济扶持政策。因实行“关闭、停办、合并、转产”等无法经营的，或者上市公司已经停牌且发生重大股权变动对企业经营造成重大影响的，经东区街道总部办报东区街道办事处审定后取消其总部企业资格，不再享受总部扶持措施，且该企业两年内不得再申请认定；满两年后符合条件的，可重新申请认定，继续享受除落户奖之外的扶持措施。</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lang w:eastAsia="zh-CN"/>
        </w:rPr>
        <w:t>第八条</w:t>
      </w:r>
      <w:r>
        <w:rPr>
          <w:rFonts w:hint="default" w:ascii="Times New Roman" w:hAnsi="Times New Roman" w:eastAsia="仿宋_GB2312" w:cs="Times New Roman"/>
          <w:snapToGrid w:val="0"/>
          <w:spacing w:val="6"/>
          <w:kern w:val="0"/>
          <w:sz w:val="32"/>
          <w:szCs w:val="32"/>
          <w:lang w:eastAsia="zh-CN"/>
        </w:rPr>
        <w:t xml:space="preserve"> 总部企业如发生更名、重组、合并、分立、解散、清算、股权转让、迁出等重大事项的，应在办理相关手续前三个月内将相关情况报送东区街道总部办，并在办理相关手续后三个月内将相关材料（变更说明、工商变更通知书、变更后的三证合一营业执照、公司章程、工商机读档案登记资料等）报东区街道总部办备案。</w:t>
      </w:r>
    </w:p>
    <w:p>
      <w:pPr>
        <w:keepNext w:val="0"/>
        <w:keepLines w:val="0"/>
        <w:pageBreakBefore w:val="0"/>
        <w:widowControl w:val="0"/>
        <w:kinsoku/>
        <w:wordWrap/>
        <w:overflowPunct/>
        <w:topLinePunct w:val="0"/>
        <w:autoSpaceDE/>
        <w:autoSpaceDN/>
        <w:bidi w:val="0"/>
        <w:adjustRightInd w:val="0"/>
        <w:snapToGrid w:val="0"/>
        <w:spacing w:line="336" w:lineRule="auto"/>
        <w:ind w:firstLine="664" w:firstLineChars="200"/>
        <w:jc w:val="left"/>
        <w:textAlignment w:val="auto"/>
        <w:rPr>
          <w:rFonts w:hint="default" w:ascii="Times New Roman" w:hAnsi="Times New Roman" w:eastAsia="仿宋_GB2312" w:cs="Times New Roman"/>
          <w:snapToGrid w:val="0"/>
          <w:spacing w:val="6"/>
          <w:kern w:val="0"/>
          <w:sz w:val="32"/>
          <w:szCs w:val="32"/>
          <w:lang w:eastAsia="zh-CN"/>
        </w:rPr>
      </w:pPr>
      <w:r>
        <w:rPr>
          <w:rFonts w:hint="default" w:ascii="Times New Roman" w:hAnsi="Times New Roman" w:eastAsia="黑体" w:cs="Times New Roman"/>
          <w:snapToGrid w:val="0"/>
          <w:spacing w:val="6"/>
          <w:kern w:val="0"/>
          <w:sz w:val="32"/>
          <w:szCs w:val="32"/>
          <w:lang w:eastAsia="zh-CN"/>
        </w:rPr>
        <w:t>第九条</w:t>
      </w:r>
      <w:r>
        <w:rPr>
          <w:rFonts w:hint="default" w:ascii="Times New Roman" w:hAnsi="Times New Roman" w:eastAsia="仿宋_GB2312" w:cs="Times New Roman"/>
          <w:snapToGrid w:val="0"/>
          <w:spacing w:val="6"/>
          <w:kern w:val="0"/>
          <w:sz w:val="32"/>
          <w:szCs w:val="32"/>
          <w:lang w:eastAsia="zh-CN"/>
        </w:rPr>
        <w:t xml:space="preserve"> 严禁任何个人和企业（机构）买卖入学指标或利用入学指标谋取不当利益，如有违反</w:t>
      </w:r>
      <w:bookmarkStart w:id="0" w:name="_GoBack"/>
      <w:bookmarkEnd w:id="0"/>
      <w:r>
        <w:rPr>
          <w:rFonts w:hint="default" w:ascii="Times New Roman" w:hAnsi="Times New Roman" w:eastAsia="仿宋_GB2312" w:cs="Times New Roman"/>
          <w:snapToGrid w:val="0"/>
          <w:spacing w:val="6"/>
          <w:kern w:val="0"/>
          <w:sz w:val="32"/>
          <w:szCs w:val="32"/>
          <w:lang w:eastAsia="zh-CN"/>
        </w:rPr>
        <w:t>，永久取消其子女入学优惠政策或企业（机构）入学指标；构成犯罪的，依法追究刑事责任。</w:t>
      </w:r>
    </w:p>
    <w:sectPr>
      <w:footerReference r:id="rId3" w:type="default"/>
      <w:pgSz w:w="11906" w:h="16838"/>
      <w:pgMar w:top="221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2082D"/>
    <w:rsid w:val="02122D29"/>
    <w:rsid w:val="03872A83"/>
    <w:rsid w:val="0FAE3792"/>
    <w:rsid w:val="1192082D"/>
    <w:rsid w:val="12F75307"/>
    <w:rsid w:val="153629B0"/>
    <w:rsid w:val="16C365EC"/>
    <w:rsid w:val="21A3465B"/>
    <w:rsid w:val="27892089"/>
    <w:rsid w:val="27AB4E3F"/>
    <w:rsid w:val="28373CED"/>
    <w:rsid w:val="286A60DB"/>
    <w:rsid w:val="2C6E34A0"/>
    <w:rsid w:val="324E76C3"/>
    <w:rsid w:val="327666B7"/>
    <w:rsid w:val="36CC1655"/>
    <w:rsid w:val="36D225B9"/>
    <w:rsid w:val="381662F3"/>
    <w:rsid w:val="3B9E2805"/>
    <w:rsid w:val="3DBD7DAC"/>
    <w:rsid w:val="3FCF7127"/>
    <w:rsid w:val="44CA1AE0"/>
    <w:rsid w:val="4E5E4535"/>
    <w:rsid w:val="59774B99"/>
    <w:rsid w:val="5AA3241F"/>
    <w:rsid w:val="5C560C63"/>
    <w:rsid w:val="5DEF7128"/>
    <w:rsid w:val="5E664A6B"/>
    <w:rsid w:val="614C63F6"/>
    <w:rsid w:val="6224550A"/>
    <w:rsid w:val="657655D3"/>
    <w:rsid w:val="6F5567CB"/>
    <w:rsid w:val="79FC7D5B"/>
    <w:rsid w:val="7D92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2021-09-08T02:36:00Z</dcterms:created>
  <dc:creator>Administrator</dc:creator>
  <cp:lastModifiedBy>东区党政综合办</cp:lastModifiedBy>
  <cp:lastPrinted>2021-10-21T03:23:00Z</cp:lastPrinted>
  <dcterms:modified xsi:type="dcterms:W3CDTF">2021-10-29T08:07:35Z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16021C77ACAB4647AFE25143C9982F41</vt:lpwstr>
  </property>
</Properties>
</file>