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方正小标宋简体" w:hAnsi="方正小标宋简体" w:eastAsia="方正小标宋简体" w:cs="方正小标宋简体"/>
          <w:b w:val="0"/>
          <w:color w:val="000000"/>
          <w:kern w:val="2"/>
          <w:sz w:val="44"/>
          <w:szCs w:val="44"/>
          <w:shd w:val="clear" w:color="auto" w:fill="FFFFFF"/>
          <w:lang w:val="en-US" w:eastAsia="zh-CN" w:bidi="ar-SA"/>
        </w:rPr>
      </w:pPr>
      <w:bookmarkStart w:id="0" w:name="_GoBack"/>
      <w:r>
        <w:rPr>
          <w:rFonts w:hint="eastAsia" w:ascii="方正小标宋简体" w:hAnsi="方正小标宋简体" w:eastAsia="方正小标宋简体" w:cs="方正小标宋简体"/>
          <w:b w:val="0"/>
          <w:color w:val="000000"/>
          <w:kern w:val="2"/>
          <w:sz w:val="44"/>
          <w:szCs w:val="44"/>
          <w:shd w:val="clear" w:color="auto" w:fill="FFFFFF"/>
          <w:lang w:val="en-US" w:eastAsia="zh-CN" w:bidi="ar-SA"/>
        </w:rPr>
        <w:t>广东省发展改革委关于进一步深化我省电价改革有关问题的通知</w:t>
      </w:r>
    </w:p>
    <w:bookmarkEnd w:id="0"/>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40" w:lineRule="atLeast"/>
        <w:ind w:left="0" w:right="0" w:firstLine="0"/>
        <w:jc w:val="center"/>
        <w:rPr>
          <w:rFonts w:hint="eastAsia" w:ascii="仿宋_GB2312" w:hAnsi="Calibri" w:eastAsia="仿宋_GB2312" w:cs="Times New Roman"/>
          <w:kern w:val="2"/>
          <w:sz w:val="32"/>
          <w:szCs w:val="30"/>
          <w:lang w:val="en-US" w:eastAsia="zh-CN" w:bidi="ar-SA"/>
        </w:rPr>
      </w:pPr>
      <w:r>
        <w:rPr>
          <w:rFonts w:hint="eastAsia" w:ascii="仿宋_GB2312" w:hAnsi="Calibri" w:eastAsia="仿宋_GB2312" w:cs="Times New Roman"/>
          <w:kern w:val="2"/>
          <w:sz w:val="32"/>
          <w:szCs w:val="30"/>
          <w:lang w:val="en-US" w:eastAsia="zh-CN" w:bidi="ar-SA"/>
        </w:rPr>
        <w:t>粤发改价格〔2021〕402号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right="0"/>
        <w:jc w:val="left"/>
        <w:textAlignment w:val="auto"/>
        <w:rPr>
          <w:rFonts w:hint="eastAsia" w:ascii="仿宋" w:hAnsi="仿宋" w:eastAsia="仿宋" w:cs="仿宋"/>
          <w:i w:val="0"/>
          <w:caps w:val="0"/>
          <w:color w:val="333333"/>
          <w:spacing w:val="0"/>
          <w:sz w:val="32"/>
          <w:szCs w:val="32"/>
          <w:bdr w:val="none" w:color="auto" w:sz="0" w:space="0"/>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right="0"/>
        <w:jc w:val="left"/>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rPr>
        <w:t>各地级以上市发展改革局（委），广东电网公司，深圳供电局，有关增量配电网和地方电网企业，有关用电户和发电企业，广东电力交易中心：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right="0" w:firstLine="640" w:firstLineChars="200"/>
        <w:jc w:val="left"/>
        <w:textAlignment w:val="auto"/>
        <w:rPr>
          <w:rFonts w:hint="eastAsia" w:ascii="仿宋" w:hAnsi="仿宋" w:eastAsia="仿宋" w:cs="仿宋"/>
          <w:i w:val="0"/>
          <w:caps w:val="0"/>
          <w:color w:val="333333"/>
          <w:spacing w:val="0"/>
          <w:sz w:val="32"/>
          <w:szCs w:val="32"/>
          <w:bdr w:val="none" w:color="auto" w:sz="0" w:space="0"/>
        </w:rPr>
      </w:pPr>
      <w:r>
        <w:rPr>
          <w:rFonts w:hint="eastAsia" w:ascii="仿宋" w:hAnsi="仿宋" w:eastAsia="仿宋" w:cs="仿宋"/>
          <w:i w:val="0"/>
          <w:caps w:val="0"/>
          <w:color w:val="333333"/>
          <w:spacing w:val="0"/>
          <w:sz w:val="32"/>
          <w:szCs w:val="32"/>
          <w:bdr w:val="none" w:color="auto" w:sz="0" w:space="0"/>
        </w:rPr>
        <w:t>根据《国家发展改革委关于进一步深化燃煤发电上网电价市场化改革的通知》（发改价格〔2021〕1439号）规定，为进一步深化我省电价改革，现就有关事项通知如下：</w:t>
      </w:r>
    </w:p>
    <w:p>
      <w:pPr>
        <w:pStyle w:val="4"/>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right="0" w:firstLine="640" w:firstLineChars="200"/>
        <w:jc w:val="left"/>
        <w:textAlignment w:val="auto"/>
        <w:rPr>
          <w:rFonts w:hint="eastAsia" w:ascii="仿宋" w:hAnsi="仿宋" w:eastAsia="仿宋" w:cs="仿宋"/>
          <w:i w:val="0"/>
          <w:caps w:val="0"/>
          <w:color w:val="333333"/>
          <w:spacing w:val="0"/>
          <w:sz w:val="32"/>
          <w:szCs w:val="32"/>
          <w:bdr w:val="none" w:color="auto" w:sz="0" w:space="0"/>
        </w:rPr>
      </w:pPr>
      <w:r>
        <w:rPr>
          <w:rFonts w:hint="eastAsia" w:ascii="仿宋" w:hAnsi="仿宋" w:eastAsia="仿宋" w:cs="仿宋"/>
          <w:i w:val="0"/>
          <w:caps w:val="0"/>
          <w:color w:val="333333"/>
          <w:spacing w:val="0"/>
          <w:sz w:val="32"/>
          <w:szCs w:val="32"/>
          <w:bdr w:val="none" w:color="auto" w:sz="0" w:space="0"/>
        </w:rPr>
        <w:t>取消我省工商业目录销售电价。取消全省（不含深圳市）电价价目表中的大工业用电、一般工商业用电目录电价；取消深圳市电价价目表中的大量工商业及其他用电、高需求工商业及其他用电、普通工商业及其他用电目录销售电价；仅保留电价价目表中的居民生活用电、农业生产用电（含稻田排灌、脱粒用电）目录销售电价。</w:t>
      </w:r>
    </w:p>
    <w:p>
      <w:pPr>
        <w:pStyle w:val="4"/>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right="0" w:rightChars="0" w:firstLine="640" w:firstLineChars="200"/>
        <w:jc w:val="left"/>
        <w:textAlignment w:val="auto"/>
        <w:rPr>
          <w:rFonts w:hint="eastAsia" w:ascii="仿宋" w:hAnsi="仿宋" w:eastAsia="仿宋" w:cs="仿宋"/>
          <w:i w:val="0"/>
          <w:caps w:val="0"/>
          <w:color w:val="333333"/>
          <w:spacing w:val="0"/>
          <w:sz w:val="32"/>
          <w:szCs w:val="32"/>
          <w:bdr w:val="none" w:color="auto" w:sz="0" w:space="0"/>
        </w:rPr>
      </w:pPr>
      <w:r>
        <w:rPr>
          <w:rFonts w:hint="eastAsia" w:ascii="仿宋" w:hAnsi="仿宋" w:eastAsia="仿宋" w:cs="仿宋"/>
          <w:i w:val="0"/>
          <w:caps w:val="0"/>
          <w:color w:val="333333"/>
          <w:spacing w:val="0"/>
          <w:sz w:val="32"/>
          <w:szCs w:val="32"/>
          <w:bdr w:val="none" w:color="auto" w:sz="0" w:space="0"/>
        </w:rPr>
        <w:t>二、保持居民、农业用电价格稳定。居民（含执行居民电价的学校、社会福利机构、社区服务中心等公益性事业用户）、农业用电由电网企业保障供应，执行现行目录销售电价政策和标准。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right="0" w:firstLine="640" w:firstLineChars="200"/>
        <w:jc w:val="left"/>
        <w:textAlignment w:val="auto"/>
        <w:rPr>
          <w:rFonts w:hint="eastAsia" w:ascii="仿宋" w:hAnsi="仿宋" w:eastAsia="仿宋" w:cs="仿宋"/>
          <w:i w:val="0"/>
          <w:caps w:val="0"/>
          <w:color w:val="333333"/>
          <w:spacing w:val="0"/>
          <w:sz w:val="32"/>
          <w:szCs w:val="32"/>
          <w:bdr w:val="none" w:color="auto" w:sz="0" w:space="0"/>
        </w:rPr>
      </w:pPr>
      <w:r>
        <w:rPr>
          <w:rFonts w:hint="eastAsia" w:ascii="仿宋" w:hAnsi="仿宋" w:eastAsia="仿宋" w:cs="仿宋"/>
          <w:i w:val="0"/>
          <w:caps w:val="0"/>
          <w:color w:val="333333"/>
          <w:spacing w:val="0"/>
          <w:sz w:val="32"/>
          <w:szCs w:val="32"/>
          <w:bdr w:val="none" w:color="auto" w:sz="0" w:space="0"/>
        </w:rPr>
        <w:t>三、完善电力市场交易。燃煤发电电量原则上全部进入电力市场，通过市场交易在“基准价+上下浮动”范围内形成上网电价，上下浮动原则上均不超过20%，高耗能企业市场交易电价不受上浮20%限制。电力现货价格不受上述幅度限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right="0" w:firstLine="640" w:firstLineChars="200"/>
        <w:jc w:val="left"/>
        <w:textAlignment w:val="auto"/>
        <w:rPr>
          <w:rFonts w:hint="eastAsia" w:ascii="仿宋" w:hAnsi="仿宋" w:eastAsia="仿宋" w:cs="仿宋"/>
          <w:i w:val="0"/>
          <w:caps w:val="0"/>
          <w:color w:val="333333"/>
          <w:spacing w:val="0"/>
          <w:sz w:val="32"/>
          <w:szCs w:val="32"/>
          <w:bdr w:val="none" w:color="auto" w:sz="0" w:space="0"/>
        </w:rPr>
      </w:pPr>
      <w:r>
        <w:rPr>
          <w:rFonts w:hint="eastAsia" w:ascii="仿宋" w:hAnsi="仿宋" w:eastAsia="仿宋" w:cs="仿宋"/>
          <w:i w:val="0"/>
          <w:caps w:val="0"/>
          <w:color w:val="333333"/>
          <w:spacing w:val="0"/>
          <w:sz w:val="32"/>
          <w:szCs w:val="32"/>
          <w:bdr w:val="none" w:color="auto" w:sz="0" w:space="0"/>
        </w:rPr>
        <w:t>四、推动工商业用户都进入市场。有序推动工商业用户全部进入电力市场，按照市场价格购电。目前尚未进入市场的用户，10千伏及以上的用户要全部进入，其他用户也要尽快进入。工商业用户进入电力市场具体安排按照能源部门相关规定执行。对暂未直接从电力市场购电的用户由电网企业代理购电。已参与市场交易、改为电网企业代理购电的用户，其价格按电网企业代理其他用户购电价格的1.5倍执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left"/>
        <w:textAlignment w:val="auto"/>
        <w:rPr>
          <w:rFonts w:hint="eastAsia" w:ascii="仿宋" w:hAnsi="仿宋" w:eastAsia="仿宋" w:cs="仿宋"/>
          <w:i w:val="0"/>
          <w:caps w:val="0"/>
          <w:color w:val="333333"/>
          <w:spacing w:val="0"/>
          <w:sz w:val="32"/>
          <w:szCs w:val="32"/>
          <w:bdr w:val="none" w:color="auto" w:sz="0" w:space="0"/>
        </w:rPr>
      </w:pPr>
      <w:r>
        <w:rPr>
          <w:rFonts w:hint="eastAsia" w:ascii="仿宋" w:hAnsi="仿宋" w:eastAsia="仿宋" w:cs="仿宋"/>
          <w:i w:val="0"/>
          <w:caps w:val="0"/>
          <w:color w:val="333333"/>
          <w:spacing w:val="0"/>
          <w:sz w:val="32"/>
          <w:szCs w:val="32"/>
          <w:bdr w:val="none" w:color="auto" w:sz="0" w:space="0"/>
        </w:rPr>
        <w:t>五、建立健全电网企业代理购电机制。对暂未直接从电力市场购电的工商业及其他用户，电网企业要按规定建立健全代理购电机制，在近期尽快发布首次向代理用户售电的公告，公告至少一个月后按代理购电价格水平向代理用户售电，在此之前继续按原目录销售电价水平执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left"/>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rPr>
        <w:t>六、加强与分时电价政策衔接。代理购电价格没有峰谷分时电价或峰谷分时电价比例低于我委《关于进一步完善我省峰谷分时电价政策有关问题的通知》（粤发改价格〔2021〕331号）规定的，相关用户以代理购电价格为基础电价（平段电价），仍按粤发改价格〔2021〕331号文规定的实施范围、峰谷时段、峰谷比价、尖峰电价等政策执行；深圳市相关用户按深圳市峰谷分时电价政策执行本条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left"/>
        <w:textAlignment w:val="auto"/>
        <w:rPr>
          <w:rFonts w:hint="eastAsia" w:ascii="仿宋" w:hAnsi="仿宋" w:eastAsia="仿宋" w:cs="仿宋"/>
          <w:i w:val="0"/>
          <w:caps w:val="0"/>
          <w:color w:val="333333"/>
          <w:spacing w:val="0"/>
          <w:sz w:val="32"/>
          <w:szCs w:val="32"/>
          <w:bdr w:val="none" w:color="auto" w:sz="0" w:space="0"/>
        </w:rPr>
      </w:pPr>
      <w:r>
        <w:rPr>
          <w:rFonts w:hint="eastAsia" w:ascii="仿宋" w:hAnsi="仿宋" w:eastAsia="仿宋" w:cs="仿宋"/>
          <w:i w:val="0"/>
          <w:caps w:val="0"/>
          <w:color w:val="333333"/>
          <w:spacing w:val="0"/>
          <w:sz w:val="32"/>
          <w:szCs w:val="32"/>
          <w:bdr w:val="none" w:color="auto" w:sz="0" w:space="0"/>
        </w:rPr>
        <w:t>各地价格主管部门、电网企业要积极会同相关部门精心组织、周密安排，做好政策宣传解释工作，主动服务用户。执行中遇到的情况和问题，请及时报送我委。</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left"/>
        <w:textAlignment w:val="auto"/>
        <w:rPr>
          <w:rFonts w:hint="eastAsia" w:ascii="仿宋" w:hAnsi="仿宋" w:eastAsia="仿宋" w:cs="仿宋"/>
          <w:i w:val="0"/>
          <w:caps w:val="0"/>
          <w:color w:val="333333"/>
          <w:spacing w:val="0"/>
          <w:sz w:val="32"/>
          <w:szCs w:val="32"/>
          <w:bdr w:val="none" w:color="auto" w:sz="0" w:space="0"/>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right"/>
        <w:textAlignment w:val="auto"/>
        <w:rPr>
          <w:rFonts w:hint="eastAsia" w:ascii="仿宋" w:hAnsi="仿宋" w:eastAsia="仿宋" w:cs="仿宋"/>
          <w:i w:val="0"/>
          <w:caps w:val="0"/>
          <w:color w:val="333333"/>
          <w:spacing w:val="0"/>
          <w:sz w:val="32"/>
          <w:szCs w:val="32"/>
          <w:bdr w:val="none" w:color="auto" w:sz="0" w:space="0"/>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right"/>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rPr>
        <w:t>广东省发展改革委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right"/>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rPr>
        <w:t>2021年10月20日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rPr>
          <w:rFonts w:hint="eastAsia" w:ascii="仿宋" w:hAnsi="仿宋" w:eastAsia="仿宋" w:cs="仿宋"/>
          <w:b w:val="0"/>
          <w:i w:val="0"/>
          <w:color w:val="333333"/>
          <w:sz w:val="32"/>
          <w:szCs w:val="32"/>
        </w:rPr>
      </w:pPr>
    </w:p>
    <w:p>
      <w:pPr>
        <w:rPr>
          <w:rFonts w:hint="eastAsia" w:ascii="仿宋" w:hAnsi="仿宋" w:eastAsia="仿宋" w:cs="仿宋"/>
          <w:sz w:val="32"/>
          <w:szCs w:val="32"/>
        </w:rPr>
      </w:pPr>
    </w:p>
    <w:sectPr>
      <w:pgSz w:w="11906" w:h="16838"/>
      <w:pgMar w:top="1928" w:right="1587" w:bottom="1701" w:left="1587"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方正粗黑宋简体">
    <w:panose1 w:val="02000000000000000000"/>
    <w:charset w:val="86"/>
    <w:family w:val="auto"/>
    <w:pitch w:val="default"/>
    <w:sig w:usb0="A00002BF" w:usb1="184F6CFA" w:usb2="00000012" w:usb3="00000000" w:csb0="00040001" w:csb1="00000000"/>
  </w:font>
  <w:font w:name="楷体">
    <w:panose1 w:val="02010609060101010101"/>
    <w:charset w:val="86"/>
    <w:family w:val="auto"/>
    <w:pitch w:val="default"/>
    <w:sig w:usb0="800002BF" w:usb1="38CF7CFA" w:usb2="00000016" w:usb3="00000000" w:csb0="00040001" w:csb1="00000000"/>
  </w:font>
  <w:font w:name="方正小标宋简体">
    <w:altName w:val="黑体"/>
    <w:panose1 w:val="02010601030101010101"/>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C2EE2F"/>
    <w:multiLevelType w:val="singleLevel"/>
    <w:tmpl w:val="4EC2EE2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323D48"/>
    <w:rsid w:val="0A323D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Hyperlink"/>
    <w:basedOn w:val="6"/>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中山市发展和改革局</Company>
  <Pages>1</Pages>
  <Words>0</Words>
  <Characters>0</Characters>
  <Lines>0</Lines>
  <Paragraphs>0</Paragraphs>
  <TotalTime>5</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2021-10-28T09:52:00Z</dcterms:created>
  <dc:creator>高凤霏</dc:creator>
  <cp:lastModifiedBy>高凤霏</cp:lastModifiedBy>
  <dcterms:modified xsi:type="dcterms:W3CDTF">2021-10-28T09:57:56Z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