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eastAsia="仿宋_GB2312"/>
          <w:b/>
          <w:bCs/>
          <w:sz w:val="32"/>
          <w:szCs w:val="32"/>
        </w:rPr>
      </w:pPr>
      <w:bookmarkStart w:id="0" w:name="_Hlk79699045"/>
      <w:r>
        <w:rPr>
          <w:rFonts w:hint="eastAsia" w:eastAsia="仿宋_GB2312"/>
          <w:b/>
          <w:bCs/>
          <w:sz w:val="32"/>
          <w:szCs w:val="32"/>
        </w:rPr>
        <w:t>中山市</w:t>
      </w:r>
      <w:r>
        <w:rPr>
          <w:rFonts w:hint="eastAsia" w:eastAsia="仿宋_GB2312"/>
          <w:b/>
          <w:bCs/>
          <w:sz w:val="32"/>
          <w:szCs w:val="32"/>
          <w:lang w:eastAsia="zh-CN"/>
        </w:rPr>
        <w:t>南区街道</w:t>
      </w:r>
      <w:r>
        <w:rPr>
          <w:rFonts w:hint="eastAsia" w:eastAsia="仿宋_GB2312"/>
          <w:b/>
          <w:bCs/>
          <w:sz w:val="32"/>
          <w:szCs w:val="32"/>
        </w:rPr>
        <w:t>土地征收成片开发方案</w:t>
      </w:r>
      <w:bookmarkEnd w:id="0"/>
    </w:p>
    <w:p>
      <w:pPr>
        <w:spacing w:line="360" w:lineRule="auto"/>
        <w:jc w:val="center"/>
        <w:rPr>
          <w:rFonts w:eastAsia="仿宋_GB2312"/>
          <w:b/>
          <w:bCs/>
          <w:sz w:val="32"/>
          <w:szCs w:val="32"/>
        </w:rPr>
      </w:pPr>
      <w:r>
        <w:rPr>
          <w:rFonts w:eastAsia="仿宋_GB2312"/>
          <w:b/>
          <w:bCs/>
          <w:sz w:val="32"/>
          <w:szCs w:val="32"/>
        </w:rPr>
        <w:t>（公示草案）</w:t>
      </w:r>
    </w:p>
    <w:p>
      <w:pPr>
        <w:spacing w:before="156" w:beforeLines="50" w:after="156" w:afterLines="50" w:line="360" w:lineRule="auto"/>
        <w:ind w:firstLine="643" w:firstLineChars="200"/>
        <w:outlineLvl w:val="1"/>
        <w:rPr>
          <w:rFonts w:eastAsia="仿宋_GB2312"/>
          <w:b/>
          <w:bCs/>
          <w:sz w:val="32"/>
          <w:szCs w:val="32"/>
        </w:rPr>
      </w:pPr>
      <w:r>
        <w:rPr>
          <w:rFonts w:eastAsia="仿宋_GB2312"/>
          <w:b/>
          <w:bCs/>
          <w:sz w:val="32"/>
          <w:szCs w:val="32"/>
        </w:rPr>
        <w:t>一、编制依据</w:t>
      </w:r>
    </w:p>
    <w:p>
      <w:pPr>
        <w:autoSpaceDE w:val="0"/>
        <w:autoSpaceDN w:val="0"/>
        <w:adjustRightInd w:val="0"/>
        <w:ind w:firstLine="560" w:firstLineChars="200"/>
        <w:rPr>
          <w:rFonts w:eastAsia="仿宋_GB2312"/>
          <w:sz w:val="28"/>
          <w:szCs w:val="28"/>
        </w:rPr>
      </w:pPr>
      <w:r>
        <w:rPr>
          <w:rFonts w:eastAsia="仿宋_GB2312"/>
          <w:sz w:val="28"/>
          <w:szCs w:val="28"/>
        </w:rPr>
        <w:t>依据《中华人民共和国土地管理法》（2019年修正）、《自然资源部关于印发&lt;土地征收成片开发标准（试行）&gt;的通知》（自然资规〔2020〕5号）等相关文件，编制《</w:t>
      </w:r>
      <w:r>
        <w:rPr>
          <w:rFonts w:hint="eastAsia" w:eastAsia="仿宋_GB2312"/>
          <w:sz w:val="28"/>
          <w:szCs w:val="28"/>
        </w:rPr>
        <w:t>中山市</w:t>
      </w:r>
      <w:r>
        <w:rPr>
          <w:rFonts w:hint="eastAsia" w:eastAsia="仿宋_GB2312"/>
          <w:sz w:val="28"/>
          <w:szCs w:val="28"/>
          <w:lang w:eastAsia="zh-CN"/>
        </w:rPr>
        <w:t>南区街道</w:t>
      </w:r>
      <w:r>
        <w:rPr>
          <w:rFonts w:hint="eastAsia" w:eastAsia="仿宋_GB2312"/>
          <w:sz w:val="28"/>
          <w:szCs w:val="28"/>
        </w:rPr>
        <w:t>土地征收成片开发方案</w:t>
      </w:r>
      <w:r>
        <w:rPr>
          <w:rFonts w:eastAsia="仿宋_GB2312"/>
          <w:sz w:val="28"/>
          <w:szCs w:val="28"/>
        </w:rPr>
        <w:t>》。</w:t>
      </w:r>
    </w:p>
    <w:p>
      <w:pPr>
        <w:spacing w:before="156" w:beforeLines="50" w:after="156" w:afterLines="50" w:line="360" w:lineRule="auto"/>
        <w:ind w:firstLine="643" w:firstLineChars="200"/>
        <w:outlineLvl w:val="1"/>
        <w:rPr>
          <w:rFonts w:eastAsia="仿宋_GB2312"/>
          <w:b/>
          <w:bCs/>
          <w:sz w:val="32"/>
          <w:szCs w:val="32"/>
        </w:rPr>
      </w:pPr>
      <w:r>
        <w:rPr>
          <w:rFonts w:eastAsia="仿宋_GB2312"/>
          <w:b/>
          <w:bCs/>
          <w:sz w:val="32"/>
          <w:szCs w:val="32"/>
        </w:rPr>
        <w:t>二、基本情况</w:t>
      </w:r>
    </w:p>
    <w:p>
      <w:pPr>
        <w:ind w:firstLine="560" w:firstLineChars="200"/>
        <w:rPr>
          <w:rFonts w:eastAsia="仿宋_GB2312"/>
          <w:sz w:val="28"/>
          <w:szCs w:val="28"/>
        </w:rPr>
      </w:pPr>
      <w:r>
        <w:rPr>
          <w:rFonts w:eastAsia="仿宋_GB2312"/>
          <w:sz w:val="28"/>
          <w:szCs w:val="28"/>
        </w:rPr>
        <w:t>本次成片开发范围共包含</w:t>
      </w:r>
      <w:r>
        <w:rPr>
          <w:rFonts w:hint="eastAsia" w:eastAsia="仿宋_GB2312"/>
          <w:sz w:val="28"/>
          <w:szCs w:val="28"/>
          <w:lang w:val="en-US" w:eastAsia="zh-CN"/>
        </w:rPr>
        <w:t>4</w:t>
      </w:r>
      <w:r>
        <w:rPr>
          <w:rFonts w:eastAsia="仿宋_GB2312"/>
          <w:sz w:val="28"/>
          <w:szCs w:val="28"/>
        </w:rPr>
        <w:t>个成片开发地块，面积共</w:t>
      </w:r>
      <w:r>
        <w:rPr>
          <w:rFonts w:hint="eastAsia" w:eastAsia="仿宋_GB2312"/>
          <w:sz w:val="28"/>
          <w:szCs w:val="28"/>
          <w:lang w:eastAsia="zh-CN"/>
        </w:rPr>
        <w:t>203.7370</w:t>
      </w:r>
      <w:r>
        <w:rPr>
          <w:rFonts w:eastAsia="仿宋_GB2312"/>
          <w:sz w:val="28"/>
          <w:szCs w:val="28"/>
        </w:rPr>
        <w:t>公顷，</w:t>
      </w:r>
      <w:r>
        <w:rPr>
          <w:rFonts w:hint="eastAsia" w:eastAsia="仿宋_GB2312"/>
          <w:sz w:val="28"/>
          <w:szCs w:val="28"/>
          <w:lang w:val="en-US" w:eastAsia="zh-CN"/>
        </w:rPr>
        <w:t>分别位于竹秀园社区、恒美社区、马岭社区、树涌社区及北台社区</w:t>
      </w:r>
      <w:r>
        <w:rPr>
          <w:rStyle w:val="16"/>
          <w:rFonts w:hint="eastAsia" w:eastAsia="仿宋_GB2312"/>
          <w:sz w:val="28"/>
          <w:szCs w:val="28"/>
          <w:lang w:val="en-US" w:eastAsia="zh-CN"/>
        </w:rPr>
        <w:footnoteReference w:id="0"/>
      </w:r>
      <w:r>
        <w:rPr>
          <w:rFonts w:eastAsia="仿宋_GB2312"/>
          <w:sz w:val="28"/>
          <w:szCs w:val="28"/>
        </w:rPr>
        <w:t>。详细信息见下表。</w:t>
      </w:r>
    </w:p>
    <w:p>
      <w:pPr>
        <w:ind w:firstLine="482" w:firstLineChars="200"/>
        <w:jc w:val="center"/>
        <w:rPr>
          <w:rFonts w:eastAsia="仿宋_GB2312"/>
          <w:b/>
          <w:bCs/>
          <w:sz w:val="24"/>
        </w:rPr>
      </w:pPr>
      <w:r>
        <w:rPr>
          <w:rFonts w:eastAsia="仿宋_GB2312"/>
          <w:b/>
          <w:bCs/>
          <w:sz w:val="24"/>
        </w:rPr>
        <w:t>表1  成片开发区域详细信息一览表</w:t>
      </w:r>
    </w:p>
    <w:tbl>
      <w:tblPr>
        <w:tblStyle w:val="12"/>
        <w:tblW w:w="51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1250"/>
        <w:gridCol w:w="1304"/>
        <w:gridCol w:w="1016"/>
        <w:gridCol w:w="4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7" w:type="pct"/>
            <w:vAlign w:val="center"/>
          </w:tcPr>
          <w:p>
            <w:pPr>
              <w:jc w:val="center"/>
              <w:rPr>
                <w:rFonts w:hint="default" w:eastAsia="仿宋_GB2312"/>
                <w:b/>
                <w:bCs/>
                <w:lang w:val="en-US" w:eastAsia="zh-CN"/>
              </w:rPr>
            </w:pPr>
            <w:r>
              <w:rPr>
                <w:rFonts w:eastAsia="仿宋_GB2312"/>
                <w:b/>
                <w:bCs/>
              </w:rPr>
              <w:t>成片开发区域编号</w:t>
            </w:r>
          </w:p>
        </w:tc>
        <w:tc>
          <w:tcPr>
            <w:tcW w:w="708" w:type="pct"/>
            <w:vAlign w:val="center"/>
          </w:tcPr>
          <w:p>
            <w:pPr>
              <w:jc w:val="center"/>
              <w:rPr>
                <w:rFonts w:eastAsia="仿宋_GB2312"/>
                <w:b/>
                <w:bCs/>
              </w:rPr>
            </w:pPr>
            <w:r>
              <w:rPr>
                <w:rFonts w:eastAsia="仿宋_GB2312"/>
                <w:b/>
                <w:bCs/>
              </w:rPr>
              <w:t>成片开发区域名称</w:t>
            </w:r>
          </w:p>
        </w:tc>
        <w:tc>
          <w:tcPr>
            <w:tcW w:w="739" w:type="pct"/>
            <w:vAlign w:val="center"/>
          </w:tcPr>
          <w:p>
            <w:pPr>
              <w:jc w:val="center"/>
              <w:rPr>
                <w:rFonts w:eastAsia="仿宋_GB2312"/>
                <w:b/>
                <w:bCs/>
              </w:rPr>
            </w:pPr>
            <w:r>
              <w:rPr>
                <w:rFonts w:hint="eastAsia" w:eastAsia="仿宋_GB2312"/>
                <w:b/>
                <w:bCs/>
              </w:rPr>
              <w:t>坐落单位</w:t>
            </w:r>
          </w:p>
        </w:tc>
        <w:tc>
          <w:tcPr>
            <w:tcW w:w="576" w:type="pct"/>
            <w:vAlign w:val="center"/>
          </w:tcPr>
          <w:p>
            <w:pPr>
              <w:jc w:val="center"/>
              <w:rPr>
                <w:rFonts w:hint="eastAsia" w:eastAsia="仿宋_GB2312"/>
                <w:b/>
                <w:bCs/>
              </w:rPr>
            </w:pPr>
            <w:r>
              <w:rPr>
                <w:rFonts w:hint="eastAsia" w:eastAsia="仿宋_GB2312"/>
                <w:b/>
                <w:bCs/>
              </w:rPr>
              <w:t>拟开发</w:t>
            </w:r>
          </w:p>
          <w:p>
            <w:pPr>
              <w:jc w:val="center"/>
              <w:rPr>
                <w:rFonts w:hint="eastAsia" w:eastAsia="仿宋_GB2312"/>
                <w:b/>
                <w:bCs/>
              </w:rPr>
            </w:pPr>
            <w:r>
              <w:rPr>
                <w:rFonts w:hint="eastAsia" w:eastAsia="仿宋_GB2312"/>
                <w:b/>
                <w:bCs/>
              </w:rPr>
              <w:t>面积</w:t>
            </w:r>
          </w:p>
          <w:p>
            <w:pPr>
              <w:jc w:val="center"/>
              <w:rPr>
                <w:rFonts w:eastAsia="仿宋_GB2312"/>
                <w:b/>
                <w:bCs/>
              </w:rPr>
            </w:pPr>
            <w:r>
              <w:rPr>
                <w:rFonts w:eastAsia="仿宋_GB2312"/>
                <w:b/>
                <w:bCs/>
              </w:rPr>
              <w:t>（公顷）</w:t>
            </w:r>
          </w:p>
        </w:tc>
        <w:tc>
          <w:tcPr>
            <w:tcW w:w="2437" w:type="pct"/>
            <w:vAlign w:val="center"/>
          </w:tcPr>
          <w:p>
            <w:pPr>
              <w:jc w:val="center"/>
              <w:rPr>
                <w:rFonts w:eastAsia="仿宋_GB2312"/>
                <w:b/>
                <w:bCs/>
              </w:rPr>
            </w:pPr>
            <w:r>
              <w:rPr>
                <w:rFonts w:eastAsia="仿宋_GB2312"/>
                <w:b/>
                <w:bCs/>
              </w:rPr>
              <w:t>现状土地利用情况及基础设施条件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Align w:val="center"/>
          </w:tcPr>
          <w:p>
            <w:pPr>
              <w:jc w:val="center"/>
              <w:rPr>
                <w:rFonts w:hint="default" w:eastAsia="仿宋_GB2312"/>
                <w:lang w:val="en-US" w:eastAsia="zh-CN"/>
              </w:rPr>
            </w:pPr>
            <w:r>
              <w:rPr>
                <w:rFonts w:hint="eastAsia" w:eastAsia="仿宋_GB2312"/>
                <w:lang w:val="en-US" w:eastAsia="zh-CN"/>
              </w:rPr>
              <w:t>PK01</w:t>
            </w:r>
          </w:p>
        </w:tc>
        <w:tc>
          <w:tcPr>
            <w:tcW w:w="708" w:type="pct"/>
            <w:vAlign w:val="center"/>
          </w:tcPr>
          <w:p>
            <w:pPr>
              <w:jc w:val="center"/>
              <w:rPr>
                <w:rFonts w:hint="default" w:eastAsia="仿宋_GB2312"/>
                <w:lang w:val="en-US" w:eastAsia="zh-CN"/>
              </w:rPr>
            </w:pPr>
            <w:r>
              <w:rPr>
                <w:rFonts w:hint="eastAsia" w:eastAsia="仿宋_GB2312"/>
                <w:lang w:val="en-US" w:eastAsia="zh-CN"/>
              </w:rPr>
              <w:t>旗山地块</w:t>
            </w:r>
          </w:p>
        </w:tc>
        <w:tc>
          <w:tcPr>
            <w:tcW w:w="739" w:type="pct"/>
            <w:vAlign w:val="center"/>
          </w:tcPr>
          <w:p>
            <w:pPr>
              <w:jc w:val="center"/>
              <w:rPr>
                <w:rFonts w:hint="default" w:eastAsia="仿宋_GB2312"/>
                <w:lang w:val="en-US" w:eastAsia="zh-CN"/>
              </w:rPr>
            </w:pPr>
            <w:r>
              <w:rPr>
                <w:rFonts w:hint="eastAsia" w:eastAsia="仿宋_GB2312"/>
                <w:lang w:val="en-US" w:eastAsia="zh-CN"/>
              </w:rPr>
              <w:t>竹秀园社区</w:t>
            </w:r>
          </w:p>
        </w:tc>
        <w:tc>
          <w:tcPr>
            <w:tcW w:w="576" w:type="pct"/>
            <w:vAlign w:val="center"/>
          </w:tcPr>
          <w:p>
            <w:pPr>
              <w:jc w:val="center"/>
              <w:rPr>
                <w:rFonts w:hint="default" w:eastAsia="仿宋_GB2312"/>
                <w:lang w:val="en-US" w:eastAsia="zh-CN"/>
              </w:rPr>
            </w:pPr>
            <w:r>
              <w:rPr>
                <w:rFonts w:hint="eastAsia" w:eastAsia="仿宋_GB2312"/>
                <w:color w:val="000000"/>
                <w:szCs w:val="21"/>
                <w:lang w:val="en-US" w:eastAsia="zh-CN"/>
              </w:rPr>
              <w:t>2.0644</w:t>
            </w:r>
          </w:p>
        </w:tc>
        <w:tc>
          <w:tcPr>
            <w:tcW w:w="2437" w:type="pct"/>
            <w:vAlign w:val="center"/>
          </w:tcPr>
          <w:p>
            <w:pPr>
              <w:jc w:val="center"/>
              <w:rPr>
                <w:rFonts w:eastAsia="仿宋_GB2312"/>
              </w:rPr>
            </w:pPr>
            <w:r>
              <w:rPr>
                <w:rFonts w:eastAsia="仿宋_GB2312"/>
              </w:rPr>
              <w:t>现状用地情况：现状农用地</w:t>
            </w:r>
            <w:r>
              <w:rPr>
                <w:rFonts w:hint="eastAsia" w:eastAsia="仿宋_GB2312"/>
                <w:lang w:val="en-US" w:eastAsia="zh-CN"/>
              </w:rPr>
              <w:t>0.0019</w:t>
            </w:r>
            <w:r>
              <w:rPr>
                <w:rFonts w:eastAsia="仿宋_GB2312"/>
              </w:rPr>
              <w:t>公顷、建设用地</w:t>
            </w:r>
            <w:r>
              <w:rPr>
                <w:rFonts w:hint="eastAsia" w:eastAsia="仿宋_GB2312"/>
                <w:lang w:val="en-US" w:eastAsia="zh-CN"/>
              </w:rPr>
              <w:t>2.0625</w:t>
            </w:r>
            <w:r>
              <w:rPr>
                <w:rFonts w:eastAsia="仿宋_GB2312"/>
              </w:rPr>
              <w:t>公顷</w:t>
            </w:r>
            <w:r>
              <w:rPr>
                <w:rFonts w:eastAsia="仿宋_GB2312"/>
                <w:color w:val="000000"/>
                <w:szCs w:val="21"/>
              </w:rPr>
              <w:t>。</w:t>
            </w:r>
            <w:r>
              <w:rPr>
                <w:rFonts w:hint="eastAsia" w:eastAsia="仿宋_GB2312"/>
                <w:color w:val="000000"/>
                <w:szCs w:val="21"/>
                <w:lang w:val="en-US" w:eastAsia="zh-CN"/>
              </w:rPr>
              <w:t>临近永安二路</w:t>
            </w:r>
            <w:r>
              <w:rPr>
                <w:rFonts w:eastAsia="仿宋_GB2312"/>
                <w:color w:val="000000"/>
                <w:szCs w:val="21"/>
              </w:rPr>
              <w:t>。</w:t>
            </w:r>
            <w:r>
              <w:rPr>
                <w:rFonts w:hint="eastAsia" w:eastAsia="仿宋_GB2312"/>
                <w:color w:val="000000"/>
                <w:szCs w:val="21"/>
              </w:rPr>
              <w:t>周边建设用地开发建设相对成熟</w:t>
            </w:r>
            <w:r>
              <w:rPr>
                <w:rFonts w:eastAsia="仿宋_GB2312"/>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Align w:val="center"/>
          </w:tcPr>
          <w:p>
            <w:pPr>
              <w:jc w:val="center"/>
              <w:rPr>
                <w:rFonts w:hint="eastAsia" w:eastAsia="仿宋_GB2312"/>
              </w:rPr>
            </w:pPr>
            <w:r>
              <w:rPr>
                <w:rFonts w:hint="eastAsia" w:eastAsia="仿宋_GB2312"/>
                <w:lang w:val="en-US" w:eastAsia="zh-CN"/>
              </w:rPr>
              <w:t>PK02</w:t>
            </w:r>
          </w:p>
        </w:tc>
        <w:tc>
          <w:tcPr>
            <w:tcW w:w="708" w:type="pct"/>
            <w:vAlign w:val="center"/>
          </w:tcPr>
          <w:p>
            <w:pPr>
              <w:jc w:val="center"/>
              <w:rPr>
                <w:rFonts w:hint="default" w:eastAsia="仿宋_GB2312"/>
                <w:lang w:val="en-US" w:eastAsia="zh-CN"/>
              </w:rPr>
            </w:pPr>
            <w:r>
              <w:rPr>
                <w:rFonts w:hint="eastAsia" w:eastAsia="仿宋_GB2312"/>
                <w:lang w:val="en-US" w:eastAsia="zh-CN"/>
              </w:rPr>
              <w:t>河浦地块</w:t>
            </w:r>
          </w:p>
        </w:tc>
        <w:tc>
          <w:tcPr>
            <w:tcW w:w="739" w:type="pct"/>
            <w:vAlign w:val="center"/>
          </w:tcPr>
          <w:p>
            <w:pPr>
              <w:jc w:val="center"/>
              <w:rPr>
                <w:rFonts w:eastAsia="仿宋_GB2312"/>
              </w:rPr>
            </w:pPr>
            <w:r>
              <w:rPr>
                <w:rFonts w:hint="eastAsia" w:eastAsia="仿宋_GB2312"/>
              </w:rPr>
              <w:t>恒美社区、马岭社区</w:t>
            </w:r>
          </w:p>
        </w:tc>
        <w:tc>
          <w:tcPr>
            <w:tcW w:w="576" w:type="pct"/>
            <w:vAlign w:val="center"/>
          </w:tcPr>
          <w:p>
            <w:pPr>
              <w:jc w:val="center"/>
              <w:rPr>
                <w:rFonts w:hint="default" w:eastAsia="仿宋_GB2312"/>
                <w:lang w:val="en-US" w:eastAsia="zh-CN"/>
              </w:rPr>
            </w:pPr>
            <w:r>
              <w:rPr>
                <w:rFonts w:hint="eastAsia" w:eastAsia="仿宋_GB2312"/>
                <w:color w:val="000000"/>
                <w:szCs w:val="21"/>
                <w:lang w:val="en-US" w:eastAsia="zh-CN"/>
              </w:rPr>
              <w:t>25.4811</w:t>
            </w:r>
          </w:p>
        </w:tc>
        <w:tc>
          <w:tcPr>
            <w:tcW w:w="2437" w:type="pct"/>
            <w:vAlign w:val="center"/>
          </w:tcPr>
          <w:p>
            <w:pPr>
              <w:jc w:val="center"/>
              <w:rPr>
                <w:rFonts w:eastAsia="仿宋_GB2312"/>
              </w:rPr>
            </w:pPr>
            <w:r>
              <w:rPr>
                <w:rFonts w:eastAsia="仿宋_GB2312"/>
              </w:rPr>
              <w:t>现状用地情况：现状农用地</w:t>
            </w:r>
            <w:r>
              <w:rPr>
                <w:rFonts w:hint="eastAsia"/>
                <w:lang w:val="en-US" w:eastAsia="zh-CN"/>
              </w:rPr>
              <w:t>5.6003</w:t>
            </w:r>
            <w:r>
              <w:rPr>
                <w:rFonts w:eastAsia="仿宋_GB2312"/>
              </w:rPr>
              <w:t>公顷、建设用地</w:t>
            </w:r>
            <w:r>
              <w:rPr>
                <w:rFonts w:hint="eastAsia"/>
                <w:lang w:val="en-US" w:eastAsia="zh-CN"/>
              </w:rPr>
              <w:t>19.8808</w:t>
            </w:r>
            <w:r>
              <w:rPr>
                <w:rFonts w:eastAsia="仿宋_GB2312"/>
              </w:rPr>
              <w:t>公顷</w:t>
            </w:r>
            <w:r>
              <w:rPr>
                <w:rFonts w:eastAsia="仿宋_GB2312"/>
                <w:color w:val="000000"/>
                <w:szCs w:val="21"/>
              </w:rPr>
              <w:t>。</w:t>
            </w:r>
            <w:r>
              <w:rPr>
                <w:rFonts w:hint="eastAsia" w:eastAsia="仿宋_GB2312"/>
                <w:color w:val="000000"/>
                <w:szCs w:val="21"/>
              </w:rPr>
              <w:t>临近</w:t>
            </w:r>
            <w:r>
              <w:rPr>
                <w:rFonts w:hint="eastAsia" w:eastAsia="仿宋_GB2312"/>
                <w:color w:val="000000"/>
                <w:szCs w:val="21"/>
                <w:lang w:val="en-US" w:eastAsia="zh-CN"/>
              </w:rPr>
              <w:t>城南路、大新路</w:t>
            </w:r>
            <w:r>
              <w:rPr>
                <w:rFonts w:hint="eastAsia" w:eastAsia="仿宋_GB2312"/>
                <w:color w:val="000000"/>
                <w:szCs w:val="21"/>
              </w:rPr>
              <w:t>，设施较完善，交通便利</w:t>
            </w:r>
            <w:r>
              <w:rPr>
                <w:rFonts w:eastAsia="仿宋_GB2312"/>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Align w:val="center"/>
          </w:tcPr>
          <w:p>
            <w:pPr>
              <w:jc w:val="center"/>
              <w:rPr>
                <w:rFonts w:hint="eastAsia" w:eastAsia="仿宋_GB2312"/>
              </w:rPr>
            </w:pPr>
            <w:r>
              <w:rPr>
                <w:rFonts w:hint="eastAsia" w:eastAsia="仿宋_GB2312"/>
                <w:lang w:val="en-US" w:eastAsia="zh-CN"/>
              </w:rPr>
              <w:t>PK03</w:t>
            </w:r>
          </w:p>
        </w:tc>
        <w:tc>
          <w:tcPr>
            <w:tcW w:w="708" w:type="pct"/>
            <w:vAlign w:val="center"/>
          </w:tcPr>
          <w:p>
            <w:pPr>
              <w:jc w:val="center"/>
              <w:rPr>
                <w:rFonts w:hint="default" w:eastAsia="仿宋_GB2312"/>
                <w:lang w:val="en-US" w:eastAsia="zh-CN"/>
              </w:rPr>
            </w:pPr>
            <w:r>
              <w:rPr>
                <w:rFonts w:hint="eastAsia" w:eastAsia="仿宋_GB2312"/>
                <w:lang w:val="en-US" w:eastAsia="zh-CN"/>
              </w:rPr>
              <w:t>树涌地块</w:t>
            </w:r>
          </w:p>
        </w:tc>
        <w:tc>
          <w:tcPr>
            <w:tcW w:w="739" w:type="pct"/>
            <w:vAlign w:val="center"/>
          </w:tcPr>
          <w:p>
            <w:pPr>
              <w:jc w:val="center"/>
              <w:rPr>
                <w:rFonts w:eastAsia="仿宋_GB2312"/>
              </w:rPr>
            </w:pPr>
            <w:r>
              <w:rPr>
                <w:rFonts w:hint="eastAsia" w:eastAsia="仿宋_GB2312"/>
              </w:rPr>
              <w:t>树涌社区及北台社区</w:t>
            </w:r>
          </w:p>
        </w:tc>
        <w:tc>
          <w:tcPr>
            <w:tcW w:w="576" w:type="pct"/>
            <w:vAlign w:val="center"/>
          </w:tcPr>
          <w:p>
            <w:pPr>
              <w:jc w:val="center"/>
              <w:rPr>
                <w:rFonts w:hint="default" w:eastAsia="仿宋_GB2312"/>
                <w:lang w:val="en-US" w:eastAsia="zh-CN"/>
              </w:rPr>
            </w:pPr>
            <w:r>
              <w:rPr>
                <w:rFonts w:hint="eastAsia" w:eastAsia="仿宋_GB2312"/>
                <w:color w:val="000000"/>
                <w:szCs w:val="21"/>
                <w:lang w:val="en-US" w:eastAsia="zh-CN"/>
              </w:rPr>
              <w:t>23.7948</w:t>
            </w:r>
          </w:p>
        </w:tc>
        <w:tc>
          <w:tcPr>
            <w:tcW w:w="2437" w:type="pct"/>
            <w:vAlign w:val="center"/>
          </w:tcPr>
          <w:p>
            <w:pPr>
              <w:jc w:val="center"/>
              <w:rPr>
                <w:rFonts w:eastAsia="仿宋_GB2312"/>
              </w:rPr>
            </w:pPr>
            <w:r>
              <w:rPr>
                <w:rFonts w:eastAsia="仿宋_GB2312"/>
              </w:rPr>
              <w:t>现状用地情况：现状农用地</w:t>
            </w:r>
            <w:r>
              <w:rPr>
                <w:rFonts w:hint="eastAsia" w:eastAsia="仿宋_GB2312"/>
                <w:lang w:val="en-US" w:eastAsia="zh-CN"/>
              </w:rPr>
              <w:t>18.0163</w:t>
            </w:r>
            <w:r>
              <w:rPr>
                <w:rFonts w:eastAsia="仿宋_GB2312"/>
              </w:rPr>
              <w:t>公顷、建设用地</w:t>
            </w:r>
            <w:r>
              <w:rPr>
                <w:rFonts w:hint="eastAsia"/>
                <w:lang w:val="en-US" w:eastAsia="zh-CN"/>
              </w:rPr>
              <w:t>3.7911</w:t>
            </w:r>
            <w:r>
              <w:rPr>
                <w:rFonts w:eastAsia="仿宋_GB2312"/>
              </w:rPr>
              <w:t>公顷、未利用地</w:t>
            </w:r>
            <w:r>
              <w:rPr>
                <w:rFonts w:hint="eastAsia" w:eastAsia="仿宋_GB2312"/>
                <w:color w:val="000000"/>
                <w:szCs w:val="21"/>
                <w:lang w:val="en-US" w:eastAsia="zh-CN"/>
              </w:rPr>
              <w:t>1.9874</w:t>
            </w:r>
            <w:r>
              <w:rPr>
                <w:rFonts w:eastAsia="仿宋_GB2312"/>
                <w:color w:val="000000"/>
                <w:szCs w:val="21"/>
              </w:rPr>
              <w:t>公顷。</w:t>
            </w:r>
            <w:r>
              <w:rPr>
                <w:rFonts w:hint="eastAsia" w:eastAsia="仿宋_GB2312"/>
                <w:color w:val="000000"/>
                <w:szCs w:val="21"/>
              </w:rPr>
              <w:t>临近</w:t>
            </w:r>
            <w:r>
              <w:rPr>
                <w:rFonts w:hint="eastAsia" w:eastAsia="仿宋_GB2312"/>
                <w:color w:val="000000"/>
                <w:szCs w:val="21"/>
                <w:lang w:val="en-US" w:eastAsia="zh-CN"/>
              </w:rPr>
              <w:t>G105国道、大南公路（在建）</w:t>
            </w:r>
            <w:r>
              <w:rPr>
                <w:rFonts w:hint="eastAsia" w:eastAsia="仿宋_GB2312"/>
                <w:color w:val="000000"/>
                <w:szCs w:val="21"/>
              </w:rPr>
              <w:t>，周边建设用地开发建设相对成熟，基础设施较完善</w:t>
            </w:r>
            <w:r>
              <w:rPr>
                <w:rFonts w:eastAsia="仿宋_GB2312"/>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Align w:val="center"/>
          </w:tcPr>
          <w:p>
            <w:pPr>
              <w:jc w:val="center"/>
              <w:rPr>
                <w:rFonts w:hint="eastAsia" w:eastAsia="仿宋_GB2312"/>
                <w:lang w:val="en-US" w:eastAsia="zh-CN"/>
              </w:rPr>
            </w:pPr>
            <w:r>
              <w:rPr>
                <w:rFonts w:hint="eastAsia" w:eastAsia="仿宋_GB2312"/>
                <w:lang w:val="en-US" w:eastAsia="zh-CN"/>
              </w:rPr>
              <w:t>PK04</w:t>
            </w:r>
          </w:p>
        </w:tc>
        <w:tc>
          <w:tcPr>
            <w:tcW w:w="708" w:type="pct"/>
            <w:vAlign w:val="center"/>
          </w:tcPr>
          <w:p>
            <w:pPr>
              <w:jc w:val="center"/>
              <w:rPr>
                <w:rFonts w:hint="default" w:eastAsia="仿宋_GB2312"/>
                <w:lang w:val="en-US" w:eastAsia="zh-CN"/>
              </w:rPr>
            </w:pPr>
            <w:r>
              <w:rPr>
                <w:rFonts w:hint="eastAsia" w:eastAsia="仿宋_GB2312"/>
                <w:lang w:val="en-US" w:eastAsia="zh-CN"/>
              </w:rPr>
              <w:t>树涌工业园地块</w:t>
            </w:r>
          </w:p>
        </w:tc>
        <w:tc>
          <w:tcPr>
            <w:tcW w:w="739" w:type="pct"/>
            <w:vAlign w:val="center"/>
          </w:tcPr>
          <w:p>
            <w:pPr>
              <w:jc w:val="center"/>
              <w:rPr>
                <w:rFonts w:hint="default" w:eastAsia="仿宋_GB2312"/>
                <w:lang w:val="en-US" w:eastAsia="zh-CN"/>
              </w:rPr>
            </w:pPr>
            <w:r>
              <w:rPr>
                <w:rFonts w:hint="eastAsia" w:eastAsia="仿宋_GB2312"/>
                <w:lang w:val="en-US" w:eastAsia="zh-CN"/>
              </w:rPr>
              <w:t>树涌社区</w:t>
            </w:r>
          </w:p>
        </w:tc>
        <w:tc>
          <w:tcPr>
            <w:tcW w:w="576" w:type="pct"/>
            <w:vAlign w:val="center"/>
          </w:tcPr>
          <w:p>
            <w:pPr>
              <w:jc w:val="center"/>
              <w:rPr>
                <w:rFonts w:hint="default" w:eastAsia="仿宋_GB2312"/>
                <w:color w:val="000000"/>
                <w:szCs w:val="21"/>
                <w:lang w:val="en-US" w:eastAsia="zh-CN"/>
              </w:rPr>
            </w:pPr>
            <w:r>
              <w:rPr>
                <w:rFonts w:hint="eastAsia" w:eastAsia="仿宋_GB2312"/>
                <w:color w:val="000000"/>
                <w:szCs w:val="21"/>
                <w:lang w:val="en-US" w:eastAsia="zh-CN"/>
              </w:rPr>
              <w:t>152.3967</w:t>
            </w:r>
          </w:p>
        </w:tc>
        <w:tc>
          <w:tcPr>
            <w:tcW w:w="2437" w:type="pct"/>
            <w:vAlign w:val="center"/>
          </w:tcPr>
          <w:p>
            <w:pPr>
              <w:jc w:val="center"/>
              <w:rPr>
                <w:rFonts w:hint="default" w:eastAsia="仿宋_GB2312"/>
                <w:lang w:val="en-US" w:eastAsia="zh-CN"/>
              </w:rPr>
            </w:pPr>
            <w:r>
              <w:rPr>
                <w:rFonts w:eastAsia="仿宋_GB2312"/>
              </w:rPr>
              <w:t>现状用地情况：现状农用地</w:t>
            </w:r>
            <w:r>
              <w:rPr>
                <w:rFonts w:hint="eastAsia" w:eastAsia="仿宋_GB2312"/>
                <w:lang w:val="en-US" w:eastAsia="zh-CN"/>
              </w:rPr>
              <w:t>97.5309</w:t>
            </w:r>
            <w:r>
              <w:rPr>
                <w:rFonts w:eastAsia="仿宋_GB2312"/>
              </w:rPr>
              <w:t>公顷、建设用地</w:t>
            </w:r>
            <w:r>
              <w:rPr>
                <w:rFonts w:hint="eastAsia" w:eastAsia="仿宋_GB2312"/>
                <w:lang w:val="en-US" w:eastAsia="zh-CN"/>
              </w:rPr>
              <w:t>41.2420</w:t>
            </w:r>
            <w:r>
              <w:rPr>
                <w:rFonts w:eastAsia="仿宋_GB2312"/>
              </w:rPr>
              <w:t>公顷、未利用地</w:t>
            </w:r>
            <w:r>
              <w:rPr>
                <w:rFonts w:hint="eastAsia" w:eastAsia="仿宋_GB2312"/>
                <w:color w:val="000000"/>
                <w:szCs w:val="21"/>
                <w:lang w:val="en-US" w:eastAsia="zh-CN"/>
              </w:rPr>
              <w:t>13.6238</w:t>
            </w:r>
            <w:r>
              <w:rPr>
                <w:rFonts w:eastAsia="仿宋_GB2312"/>
                <w:color w:val="000000"/>
                <w:szCs w:val="21"/>
              </w:rPr>
              <w:t>公顷。</w:t>
            </w:r>
            <w:r>
              <w:rPr>
                <w:rFonts w:hint="eastAsia" w:eastAsia="仿宋_GB2312"/>
                <w:color w:val="000000"/>
                <w:szCs w:val="21"/>
                <w:lang w:val="en-US" w:eastAsia="zh-CN"/>
              </w:rPr>
              <w:t>临</w:t>
            </w:r>
            <w:r>
              <w:rPr>
                <w:rFonts w:hint="eastAsia" w:eastAsia="仿宋_GB2312"/>
                <w:lang w:val="en-US" w:eastAsia="zh-CN"/>
              </w:rPr>
              <w:t>近</w:t>
            </w:r>
            <w:r>
              <w:rPr>
                <w:rFonts w:hint="eastAsia" w:eastAsia="仿宋_GB2312"/>
              </w:rPr>
              <w:t>西环路</w:t>
            </w:r>
            <w:r>
              <w:rPr>
                <w:rFonts w:hint="eastAsia" w:eastAsia="仿宋_GB2312"/>
                <w:lang w:eastAsia="zh-CN"/>
              </w:rPr>
              <w:t>（</w:t>
            </w:r>
            <w:r>
              <w:rPr>
                <w:rFonts w:hint="eastAsia" w:eastAsia="仿宋_GB2312"/>
                <w:lang w:val="en-US" w:eastAsia="zh-CN"/>
              </w:rPr>
              <w:t>在建</w:t>
            </w:r>
            <w:r>
              <w:rPr>
                <w:rFonts w:hint="eastAsia" w:eastAsia="仿宋_GB2312"/>
                <w:lang w:eastAsia="zh-CN"/>
              </w:rPr>
              <w:t>）、</w:t>
            </w:r>
            <w:r>
              <w:rPr>
                <w:rFonts w:hint="eastAsia" w:eastAsia="仿宋_GB2312"/>
                <w:lang w:val="en-US" w:eastAsia="zh-CN"/>
              </w:rPr>
              <w:t>圣都路、汇贤路，周边用地基本有待发展，适合成片开发。</w:t>
            </w:r>
          </w:p>
        </w:tc>
      </w:tr>
    </w:tbl>
    <w:p>
      <w:pPr>
        <w:spacing w:before="156" w:beforeLines="50" w:after="156" w:afterLines="50" w:line="360" w:lineRule="auto"/>
        <w:ind w:firstLine="643" w:firstLineChars="200"/>
        <w:outlineLvl w:val="1"/>
        <w:rPr>
          <w:rFonts w:eastAsia="仿宋_GB2312"/>
          <w:b/>
          <w:bCs/>
          <w:sz w:val="32"/>
          <w:szCs w:val="32"/>
        </w:rPr>
      </w:pPr>
      <w:r>
        <w:rPr>
          <w:rFonts w:eastAsia="仿宋_GB2312"/>
          <w:b/>
          <w:bCs/>
          <w:sz w:val="32"/>
          <w:szCs w:val="32"/>
        </w:rPr>
        <w:t>三、成片开发条件分析</w:t>
      </w:r>
    </w:p>
    <w:p>
      <w:pPr>
        <w:spacing w:before="156" w:beforeLines="50" w:after="156" w:afterLines="50" w:line="360" w:lineRule="auto"/>
        <w:ind w:firstLine="643" w:firstLineChars="200"/>
        <w:outlineLvl w:val="2"/>
        <w:rPr>
          <w:rFonts w:eastAsia="仿宋_GB2312"/>
          <w:b/>
          <w:bCs/>
          <w:sz w:val="32"/>
          <w:szCs w:val="32"/>
        </w:rPr>
      </w:pPr>
      <w:r>
        <w:rPr>
          <w:rFonts w:eastAsia="仿宋_GB2312"/>
          <w:b/>
          <w:bCs/>
          <w:sz w:val="32"/>
          <w:szCs w:val="32"/>
        </w:rPr>
        <w:t>（一）必要性分析</w:t>
      </w:r>
    </w:p>
    <w:p>
      <w:pPr>
        <w:ind w:firstLine="560" w:firstLineChars="200"/>
        <w:rPr>
          <w:rFonts w:eastAsia="仿宋_GB2312"/>
          <w:sz w:val="28"/>
          <w:szCs w:val="28"/>
        </w:rPr>
      </w:pPr>
      <w:r>
        <w:rPr>
          <w:rFonts w:eastAsia="仿宋_GB2312"/>
          <w:sz w:val="28"/>
          <w:szCs w:val="28"/>
        </w:rPr>
        <w:t>本次成片开发是落实中山市国民经济和社会发展第十四个五年规划定位的需要，是推进区域开发建设的需要，是</w:t>
      </w:r>
      <w:r>
        <w:rPr>
          <w:rFonts w:hint="eastAsia" w:eastAsia="仿宋_GB2312"/>
          <w:sz w:val="28"/>
          <w:szCs w:val="28"/>
        </w:rPr>
        <w:t>保障重点项目建设，是推动产业经济发展的需要</w:t>
      </w:r>
      <w:r>
        <w:rPr>
          <w:rFonts w:eastAsia="仿宋_GB2312"/>
          <w:sz w:val="28"/>
          <w:szCs w:val="28"/>
        </w:rPr>
        <w:t>，是</w:t>
      </w:r>
      <w:r>
        <w:rPr>
          <w:rFonts w:hint="eastAsia" w:eastAsia="仿宋_GB2312"/>
          <w:sz w:val="28"/>
          <w:szCs w:val="28"/>
        </w:rPr>
        <w:t>优化城镇功能布局，是提升土地利用效益的需要</w:t>
      </w:r>
      <w:r>
        <w:rPr>
          <w:rFonts w:eastAsia="仿宋_GB2312"/>
          <w:sz w:val="28"/>
          <w:szCs w:val="28"/>
        </w:rPr>
        <w:t>，</w:t>
      </w:r>
      <w:r>
        <w:rPr>
          <w:rFonts w:hint="eastAsia" w:eastAsia="仿宋_GB2312"/>
          <w:sz w:val="28"/>
          <w:szCs w:val="28"/>
        </w:rPr>
        <w:t>是完善区域公共配套设施与基础设施建设的需要</w:t>
      </w:r>
      <w:r>
        <w:rPr>
          <w:rFonts w:eastAsia="仿宋_GB2312"/>
          <w:sz w:val="28"/>
          <w:szCs w:val="28"/>
        </w:rPr>
        <w:t>。</w:t>
      </w:r>
    </w:p>
    <w:p>
      <w:pPr>
        <w:spacing w:before="156" w:beforeLines="50" w:after="156" w:afterLines="50" w:line="360" w:lineRule="auto"/>
        <w:ind w:firstLine="643" w:firstLineChars="200"/>
        <w:outlineLvl w:val="2"/>
        <w:rPr>
          <w:rFonts w:eastAsia="仿宋_GB2312"/>
          <w:b/>
          <w:bCs/>
          <w:sz w:val="32"/>
          <w:szCs w:val="32"/>
        </w:rPr>
      </w:pPr>
      <w:r>
        <w:rPr>
          <w:rFonts w:eastAsia="仿宋_GB2312"/>
          <w:b/>
          <w:bCs/>
          <w:sz w:val="32"/>
          <w:szCs w:val="32"/>
        </w:rPr>
        <w:t>（二）合规性分析</w:t>
      </w:r>
    </w:p>
    <w:p>
      <w:pPr>
        <w:ind w:firstLine="560" w:firstLineChars="200"/>
        <w:rPr>
          <w:rFonts w:eastAsia="仿宋_GB2312"/>
          <w:sz w:val="28"/>
          <w:szCs w:val="28"/>
        </w:rPr>
      </w:pPr>
      <w:r>
        <w:rPr>
          <w:rFonts w:eastAsia="仿宋_GB2312"/>
          <w:sz w:val="28"/>
          <w:szCs w:val="28"/>
        </w:rPr>
        <w:t>成片开发地块均不涉及占用永久基本农田和生态保护红线，各片区内公益性用地比例均在40%以上。本次土地征收成片开发方案符合国民经济和社会发展规划、城乡规划和专项规划，做到了保护耕地、节约集约用地、保护生态环境，能够促进经济社会可持续发展。</w:t>
      </w:r>
    </w:p>
    <w:p>
      <w:pPr>
        <w:spacing w:before="156" w:beforeLines="50" w:after="156" w:afterLines="50" w:line="360" w:lineRule="auto"/>
        <w:ind w:firstLine="643" w:firstLineChars="200"/>
        <w:outlineLvl w:val="1"/>
        <w:rPr>
          <w:rFonts w:eastAsia="仿宋_GB2312"/>
          <w:b/>
          <w:bCs/>
          <w:sz w:val="32"/>
          <w:szCs w:val="32"/>
        </w:rPr>
      </w:pPr>
      <w:r>
        <w:rPr>
          <w:rFonts w:eastAsia="仿宋_GB2312"/>
          <w:b/>
          <w:bCs/>
          <w:sz w:val="32"/>
          <w:szCs w:val="32"/>
        </w:rPr>
        <w:t>四、拟安排项目及实施计划</w:t>
      </w:r>
    </w:p>
    <w:p>
      <w:pPr>
        <w:ind w:firstLine="560" w:firstLineChars="200"/>
        <w:rPr>
          <w:rFonts w:eastAsia="仿宋_GB2312"/>
          <w:sz w:val="28"/>
          <w:szCs w:val="28"/>
        </w:rPr>
      </w:pPr>
      <w:r>
        <w:rPr>
          <w:rFonts w:eastAsia="仿宋_GB2312"/>
          <w:sz w:val="28"/>
          <w:szCs w:val="28"/>
        </w:rPr>
        <w:t>本方案由</w:t>
      </w:r>
      <w:r>
        <w:rPr>
          <w:rFonts w:hint="eastAsia" w:eastAsia="仿宋_GB2312"/>
          <w:sz w:val="28"/>
          <w:szCs w:val="28"/>
          <w:lang w:val="en-US" w:eastAsia="zh-CN"/>
        </w:rPr>
        <w:t>4</w:t>
      </w:r>
      <w:r>
        <w:rPr>
          <w:rFonts w:eastAsia="仿宋_GB2312"/>
          <w:sz w:val="28"/>
          <w:szCs w:val="28"/>
        </w:rPr>
        <w:t>个片</w:t>
      </w:r>
      <w:r>
        <w:rPr>
          <w:rFonts w:hint="eastAsia" w:eastAsia="仿宋_GB2312"/>
          <w:sz w:val="28"/>
          <w:szCs w:val="28"/>
        </w:rPr>
        <w:t>块</w:t>
      </w:r>
      <w:r>
        <w:rPr>
          <w:rFonts w:eastAsia="仿宋_GB2312"/>
          <w:sz w:val="28"/>
          <w:szCs w:val="28"/>
        </w:rPr>
        <w:t>组成，总面积为</w:t>
      </w:r>
      <w:r>
        <w:rPr>
          <w:rFonts w:hint="eastAsia" w:eastAsia="仿宋_GB2312"/>
          <w:sz w:val="28"/>
          <w:szCs w:val="28"/>
          <w:lang w:eastAsia="zh-CN"/>
        </w:rPr>
        <w:t>203.7370</w:t>
      </w:r>
      <w:r>
        <w:rPr>
          <w:rFonts w:eastAsia="仿宋_GB2312"/>
          <w:sz w:val="28"/>
          <w:szCs w:val="28"/>
        </w:rPr>
        <w:t>公顷。结合规划建设计划、被征地单位意愿、征地资金情况、土地审批信息情况等因素，综合分析论证后制定拟建项目开发时序为3年（即2021-2023年）。</w:t>
      </w:r>
    </w:p>
    <w:p>
      <w:pPr>
        <w:ind w:firstLine="560" w:firstLineChars="200"/>
        <w:rPr>
          <w:rFonts w:eastAsia="仿宋_GB2312"/>
          <w:sz w:val="28"/>
          <w:szCs w:val="28"/>
        </w:rPr>
      </w:pPr>
      <w:r>
        <w:rPr>
          <w:rFonts w:hint="eastAsia" w:eastAsia="仿宋_GB2312"/>
          <w:sz w:val="28"/>
          <w:szCs w:val="28"/>
        </w:rPr>
        <w:t>2021至2022年优先推进</w:t>
      </w:r>
      <w:r>
        <w:rPr>
          <w:rFonts w:hint="eastAsia" w:eastAsia="仿宋_GB2312"/>
          <w:sz w:val="28"/>
          <w:szCs w:val="28"/>
          <w:lang w:val="en-US" w:eastAsia="zh-CN"/>
        </w:rPr>
        <w:t>旗山地块、河浦地块及树涌工业园地块的</w:t>
      </w:r>
      <w:r>
        <w:rPr>
          <w:rFonts w:hint="eastAsia" w:eastAsia="仿宋_GB2312"/>
          <w:sz w:val="28"/>
          <w:szCs w:val="28"/>
        </w:rPr>
        <w:t>开发工作，2022至2023年主要启动</w:t>
      </w:r>
      <w:r>
        <w:rPr>
          <w:rFonts w:hint="eastAsia" w:eastAsia="仿宋_GB2312"/>
          <w:sz w:val="28"/>
          <w:szCs w:val="28"/>
          <w:lang w:val="en-US" w:eastAsia="zh-CN"/>
        </w:rPr>
        <w:t>树涌地块的</w:t>
      </w:r>
      <w:r>
        <w:rPr>
          <w:rFonts w:hint="eastAsia" w:eastAsia="仿宋_GB2312"/>
          <w:sz w:val="28"/>
          <w:szCs w:val="28"/>
        </w:rPr>
        <w:t>开发工作</w:t>
      </w:r>
      <w:r>
        <w:rPr>
          <w:rFonts w:eastAsia="仿宋_GB2312"/>
          <w:sz w:val="28"/>
          <w:szCs w:val="28"/>
        </w:rPr>
        <w:t>。</w:t>
      </w:r>
    </w:p>
    <w:p>
      <w:pPr>
        <w:widowControl/>
        <w:jc w:val="left"/>
      </w:pPr>
      <w:r>
        <w:br w:type="page"/>
      </w:r>
    </w:p>
    <w:p>
      <w:pPr>
        <w:ind w:firstLine="482" w:firstLineChars="200"/>
        <w:jc w:val="center"/>
        <w:rPr>
          <w:rFonts w:eastAsia="仿宋_GB2312"/>
          <w:b/>
          <w:bCs/>
          <w:sz w:val="24"/>
        </w:rPr>
      </w:pPr>
      <w:r>
        <w:rPr>
          <w:rFonts w:eastAsia="仿宋_GB2312"/>
          <w:b/>
          <w:bCs/>
          <w:sz w:val="24"/>
        </w:rPr>
        <w:t>表2  成片开发项目一览表</w:t>
      </w:r>
    </w:p>
    <w:tbl>
      <w:tblPr>
        <w:tblStyle w:val="11"/>
        <w:tblW w:w="8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313"/>
        <w:gridCol w:w="1950"/>
        <w:gridCol w:w="1031"/>
        <w:gridCol w:w="2194"/>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exact"/>
          <w:jc w:val="center"/>
        </w:trPr>
        <w:tc>
          <w:tcPr>
            <w:tcW w:w="876" w:type="dxa"/>
            <w:vAlign w:val="center"/>
          </w:tcPr>
          <w:p>
            <w:pPr>
              <w:spacing w:line="300" w:lineRule="exact"/>
              <w:jc w:val="center"/>
              <w:rPr>
                <w:rFonts w:eastAsia="仿宋_GB2312"/>
                <w:b/>
                <w:bCs/>
                <w:sz w:val="21"/>
                <w:szCs w:val="21"/>
              </w:rPr>
            </w:pPr>
            <w:r>
              <w:rPr>
                <w:rFonts w:eastAsia="仿宋_GB2312"/>
                <w:b/>
                <w:bCs/>
                <w:szCs w:val="21"/>
              </w:rPr>
              <w:t>成片开发区域编号</w:t>
            </w:r>
          </w:p>
        </w:tc>
        <w:tc>
          <w:tcPr>
            <w:tcW w:w="1313" w:type="dxa"/>
            <w:vAlign w:val="center"/>
          </w:tcPr>
          <w:p>
            <w:pPr>
              <w:spacing w:line="300" w:lineRule="exact"/>
              <w:jc w:val="center"/>
              <w:rPr>
                <w:rFonts w:eastAsia="仿宋_GB2312"/>
                <w:b/>
                <w:bCs/>
                <w:sz w:val="21"/>
                <w:szCs w:val="21"/>
              </w:rPr>
            </w:pPr>
            <w:r>
              <w:rPr>
                <w:rFonts w:eastAsia="仿宋_GB2312"/>
                <w:b/>
                <w:bCs/>
              </w:rPr>
              <w:t>成片开发区域名称</w:t>
            </w:r>
          </w:p>
        </w:tc>
        <w:tc>
          <w:tcPr>
            <w:tcW w:w="1950" w:type="dxa"/>
            <w:vAlign w:val="center"/>
          </w:tcPr>
          <w:p>
            <w:pPr>
              <w:spacing w:line="300" w:lineRule="exact"/>
              <w:jc w:val="center"/>
              <w:rPr>
                <w:rFonts w:hint="default" w:eastAsia="仿宋_GB2312"/>
                <w:b/>
                <w:bCs/>
                <w:sz w:val="21"/>
                <w:szCs w:val="21"/>
                <w:lang w:val="en-US" w:eastAsia="zh-CN"/>
              </w:rPr>
            </w:pPr>
            <w:r>
              <w:rPr>
                <w:rFonts w:hint="eastAsia" w:eastAsia="仿宋_GB2312"/>
                <w:b/>
                <w:bCs/>
                <w:sz w:val="21"/>
                <w:szCs w:val="21"/>
                <w:lang w:val="en-US" w:eastAsia="zh-CN"/>
              </w:rPr>
              <w:t>拟安排项目名称</w:t>
            </w:r>
          </w:p>
        </w:tc>
        <w:tc>
          <w:tcPr>
            <w:tcW w:w="1031" w:type="dxa"/>
            <w:vAlign w:val="center"/>
          </w:tcPr>
          <w:p>
            <w:pPr>
              <w:spacing w:line="300" w:lineRule="exact"/>
              <w:jc w:val="center"/>
              <w:rPr>
                <w:rFonts w:hint="eastAsia" w:eastAsia="仿宋_GB2312"/>
                <w:b/>
                <w:bCs/>
                <w:sz w:val="21"/>
                <w:szCs w:val="21"/>
                <w:lang w:eastAsia="zh-CN"/>
              </w:rPr>
            </w:pPr>
            <w:r>
              <w:rPr>
                <w:rFonts w:hint="eastAsia" w:eastAsia="仿宋_GB2312"/>
                <w:b/>
                <w:bCs/>
                <w:sz w:val="21"/>
                <w:szCs w:val="21"/>
                <w:lang w:val="en-US" w:eastAsia="zh-CN"/>
              </w:rPr>
              <w:t>拟开发</w:t>
            </w:r>
          </w:p>
          <w:p>
            <w:pPr>
              <w:spacing w:line="300" w:lineRule="exact"/>
              <w:jc w:val="center"/>
              <w:rPr>
                <w:rFonts w:eastAsia="仿宋_GB2312"/>
                <w:b/>
                <w:bCs/>
                <w:sz w:val="21"/>
                <w:szCs w:val="21"/>
              </w:rPr>
            </w:pPr>
            <w:r>
              <w:rPr>
                <w:rFonts w:eastAsia="仿宋_GB2312"/>
                <w:b/>
                <w:bCs/>
                <w:sz w:val="21"/>
                <w:szCs w:val="21"/>
              </w:rPr>
              <w:t>面积</w:t>
            </w:r>
          </w:p>
          <w:p>
            <w:pPr>
              <w:spacing w:line="300" w:lineRule="exact"/>
              <w:jc w:val="center"/>
              <w:rPr>
                <w:rFonts w:eastAsia="仿宋_GB2312"/>
                <w:b/>
                <w:bCs/>
                <w:sz w:val="21"/>
                <w:szCs w:val="21"/>
              </w:rPr>
            </w:pPr>
            <w:r>
              <w:rPr>
                <w:rFonts w:eastAsia="仿宋_GB2312"/>
                <w:b/>
                <w:bCs/>
                <w:sz w:val="21"/>
                <w:szCs w:val="21"/>
              </w:rPr>
              <w:t>（公顷）</w:t>
            </w:r>
          </w:p>
        </w:tc>
        <w:tc>
          <w:tcPr>
            <w:tcW w:w="2194" w:type="dxa"/>
            <w:vAlign w:val="center"/>
          </w:tcPr>
          <w:p>
            <w:pPr>
              <w:spacing w:line="300" w:lineRule="exact"/>
              <w:jc w:val="center"/>
              <w:rPr>
                <w:rFonts w:eastAsia="仿宋_GB2312"/>
                <w:b/>
                <w:bCs/>
                <w:sz w:val="21"/>
                <w:szCs w:val="21"/>
              </w:rPr>
            </w:pPr>
            <w:r>
              <w:rPr>
                <w:rFonts w:hint="eastAsia" w:eastAsia="仿宋_GB2312"/>
                <w:b/>
                <w:bCs/>
                <w:sz w:val="21"/>
                <w:szCs w:val="21"/>
              </w:rPr>
              <w:t>主要</w:t>
            </w:r>
          </w:p>
          <w:p>
            <w:pPr>
              <w:spacing w:line="300" w:lineRule="exact"/>
              <w:jc w:val="center"/>
              <w:rPr>
                <w:rFonts w:eastAsia="仿宋_GB2312"/>
                <w:b/>
                <w:bCs/>
                <w:sz w:val="21"/>
                <w:szCs w:val="21"/>
              </w:rPr>
            </w:pPr>
            <w:r>
              <w:rPr>
                <w:rFonts w:hint="eastAsia" w:eastAsia="仿宋_GB2312"/>
                <w:b/>
                <w:bCs/>
                <w:sz w:val="21"/>
                <w:szCs w:val="21"/>
              </w:rPr>
              <w:t>用途</w:t>
            </w:r>
          </w:p>
        </w:tc>
        <w:tc>
          <w:tcPr>
            <w:tcW w:w="891" w:type="dxa"/>
            <w:vAlign w:val="center"/>
          </w:tcPr>
          <w:p>
            <w:pPr>
              <w:spacing w:line="300" w:lineRule="exact"/>
              <w:jc w:val="center"/>
              <w:rPr>
                <w:rFonts w:eastAsia="仿宋_GB2312"/>
                <w:b/>
                <w:bCs/>
                <w:sz w:val="21"/>
                <w:szCs w:val="21"/>
              </w:rPr>
            </w:pPr>
            <w:r>
              <w:rPr>
                <w:rFonts w:hint="eastAsia" w:eastAsia="仿宋_GB2312"/>
                <w:b/>
                <w:bCs/>
                <w:sz w:val="21"/>
                <w:szCs w:val="21"/>
              </w:rPr>
              <w:t>开发</w:t>
            </w:r>
          </w:p>
          <w:p>
            <w:pPr>
              <w:spacing w:line="300" w:lineRule="exact"/>
              <w:jc w:val="center"/>
              <w:rPr>
                <w:rFonts w:eastAsia="仿宋_GB2312"/>
                <w:b/>
                <w:bCs/>
                <w:sz w:val="21"/>
                <w:szCs w:val="21"/>
              </w:rPr>
            </w:pPr>
            <w:r>
              <w:rPr>
                <w:rFonts w:hint="eastAsia" w:eastAsia="仿宋_GB2312"/>
                <w:b/>
                <w:bCs/>
                <w:sz w:val="21"/>
                <w:szCs w:val="21"/>
              </w:rPr>
              <w:t>时序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exact"/>
          <w:jc w:val="center"/>
        </w:trPr>
        <w:tc>
          <w:tcPr>
            <w:tcW w:w="876" w:type="dxa"/>
            <w:vAlign w:val="center"/>
          </w:tcPr>
          <w:p>
            <w:pPr>
              <w:jc w:val="center"/>
              <w:rPr>
                <w:rFonts w:eastAsia="仿宋_GB2312"/>
                <w:sz w:val="21"/>
                <w:szCs w:val="21"/>
              </w:rPr>
            </w:pPr>
            <w:r>
              <w:rPr>
                <w:rFonts w:hint="eastAsia" w:eastAsia="仿宋_GB2312"/>
                <w:lang w:val="en-US" w:eastAsia="zh-CN"/>
              </w:rPr>
              <w:t>PK01</w:t>
            </w:r>
          </w:p>
        </w:tc>
        <w:tc>
          <w:tcPr>
            <w:tcW w:w="1313" w:type="dxa"/>
            <w:vAlign w:val="center"/>
          </w:tcPr>
          <w:p>
            <w:pPr>
              <w:jc w:val="center"/>
              <w:rPr>
                <w:rFonts w:eastAsia="仿宋_GB2312"/>
                <w:sz w:val="21"/>
                <w:szCs w:val="21"/>
              </w:rPr>
            </w:pPr>
            <w:r>
              <w:rPr>
                <w:rFonts w:hint="eastAsia" w:eastAsia="仿宋_GB2312"/>
                <w:lang w:val="en-US" w:eastAsia="zh-CN"/>
              </w:rPr>
              <w:t>旗山地块</w:t>
            </w:r>
          </w:p>
        </w:tc>
        <w:tc>
          <w:tcPr>
            <w:tcW w:w="1950" w:type="dxa"/>
            <w:vAlign w:val="center"/>
          </w:tcPr>
          <w:p>
            <w:pPr>
              <w:jc w:val="center"/>
              <w:rPr>
                <w:rFonts w:hint="default" w:eastAsia="仿宋_GB2312"/>
                <w:color w:val="000000"/>
                <w:szCs w:val="21"/>
                <w:lang w:val="en-US" w:eastAsia="zh-CN"/>
              </w:rPr>
            </w:pPr>
            <w:r>
              <w:rPr>
                <w:rFonts w:hint="eastAsia" w:eastAsia="仿宋_GB2312"/>
                <w:color w:val="000000"/>
                <w:szCs w:val="21"/>
                <w:lang w:val="en-US" w:eastAsia="zh-CN"/>
              </w:rPr>
              <w:t>旗山商住用地项目</w:t>
            </w:r>
          </w:p>
        </w:tc>
        <w:tc>
          <w:tcPr>
            <w:tcW w:w="1031" w:type="dxa"/>
            <w:vAlign w:val="center"/>
          </w:tcPr>
          <w:p>
            <w:pPr>
              <w:jc w:val="center"/>
              <w:rPr>
                <w:rFonts w:eastAsia="仿宋_GB2312"/>
                <w:sz w:val="21"/>
                <w:szCs w:val="21"/>
              </w:rPr>
            </w:pPr>
            <w:r>
              <w:rPr>
                <w:rFonts w:hint="eastAsia" w:eastAsia="仿宋_GB2312"/>
                <w:color w:val="000000"/>
                <w:szCs w:val="21"/>
                <w:lang w:val="en-US" w:eastAsia="zh-CN"/>
              </w:rPr>
              <w:t>2.0644</w:t>
            </w:r>
          </w:p>
        </w:tc>
        <w:tc>
          <w:tcPr>
            <w:tcW w:w="2194" w:type="dxa"/>
            <w:vAlign w:val="center"/>
          </w:tcPr>
          <w:p>
            <w:pPr>
              <w:spacing w:line="300" w:lineRule="exact"/>
              <w:jc w:val="center"/>
              <w:rPr>
                <w:rFonts w:eastAsia="仿宋_GB2312"/>
                <w:sz w:val="21"/>
                <w:szCs w:val="21"/>
              </w:rPr>
            </w:pPr>
            <w:r>
              <w:rPr>
                <w:rFonts w:hint="eastAsia" w:eastAsia="仿宋_GB2312"/>
                <w:sz w:val="21"/>
                <w:szCs w:val="21"/>
                <w:lang w:val="en-US" w:eastAsia="zh-CN"/>
              </w:rPr>
              <w:t>居住用地、防护绿地、道路用地</w:t>
            </w:r>
          </w:p>
        </w:tc>
        <w:tc>
          <w:tcPr>
            <w:tcW w:w="891" w:type="dxa"/>
            <w:vAlign w:val="center"/>
          </w:tcPr>
          <w:p>
            <w:pPr>
              <w:spacing w:line="300" w:lineRule="exact"/>
              <w:jc w:val="center"/>
              <w:rPr>
                <w:rFonts w:eastAsia="仿宋_GB2312"/>
                <w:sz w:val="21"/>
                <w:szCs w:val="21"/>
              </w:rPr>
            </w:pPr>
            <w:r>
              <w:rPr>
                <w:rFonts w:hint="eastAsia" w:eastAsia="仿宋_GB2312"/>
                <w:sz w:val="21"/>
                <w:szCs w:val="21"/>
              </w:rPr>
              <w:t>202</w:t>
            </w:r>
            <w:r>
              <w:rPr>
                <w:rFonts w:eastAsia="仿宋_GB2312"/>
                <w:sz w:val="21"/>
                <w:szCs w:val="21"/>
              </w:rPr>
              <w:t>1</w:t>
            </w:r>
            <w:r>
              <w:rPr>
                <w:rFonts w:hint="eastAsia" w:eastAsia="仿宋_GB2312"/>
                <w:sz w:val="21"/>
                <w:szCs w:val="21"/>
              </w:rPr>
              <w:t>至2</w:t>
            </w:r>
            <w:r>
              <w:rPr>
                <w:rFonts w:eastAsia="仿宋_GB2312"/>
                <w:sz w:val="21"/>
                <w:szCs w:val="21"/>
              </w:rPr>
              <w:t>022</w:t>
            </w:r>
            <w:r>
              <w:rPr>
                <w:rFonts w:hint="eastAsia" w:eastAsia="仿宋_GB2312"/>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76" w:type="dxa"/>
            <w:vAlign w:val="center"/>
          </w:tcPr>
          <w:p>
            <w:pPr>
              <w:jc w:val="center"/>
              <w:rPr>
                <w:rFonts w:eastAsia="仿宋_GB2312"/>
                <w:sz w:val="21"/>
                <w:szCs w:val="21"/>
              </w:rPr>
            </w:pPr>
            <w:r>
              <w:rPr>
                <w:rFonts w:hint="eastAsia" w:eastAsia="仿宋_GB2312"/>
                <w:lang w:val="en-US" w:eastAsia="zh-CN"/>
              </w:rPr>
              <w:t>PK02</w:t>
            </w:r>
          </w:p>
        </w:tc>
        <w:tc>
          <w:tcPr>
            <w:tcW w:w="1313" w:type="dxa"/>
            <w:vAlign w:val="center"/>
          </w:tcPr>
          <w:p>
            <w:pPr>
              <w:jc w:val="center"/>
              <w:rPr>
                <w:rFonts w:eastAsia="仿宋_GB2312"/>
                <w:sz w:val="21"/>
                <w:szCs w:val="21"/>
              </w:rPr>
            </w:pPr>
            <w:r>
              <w:rPr>
                <w:rFonts w:hint="eastAsia" w:eastAsia="仿宋_GB2312"/>
                <w:lang w:val="en-US" w:eastAsia="zh-CN"/>
              </w:rPr>
              <w:t>河浦地块</w:t>
            </w:r>
          </w:p>
        </w:tc>
        <w:tc>
          <w:tcPr>
            <w:tcW w:w="1950" w:type="dxa"/>
            <w:vAlign w:val="center"/>
          </w:tcPr>
          <w:p>
            <w:pPr>
              <w:jc w:val="center"/>
              <w:rPr>
                <w:rFonts w:hint="default" w:eastAsia="仿宋_GB2312"/>
                <w:color w:val="000000"/>
                <w:szCs w:val="21"/>
                <w:lang w:val="en-US" w:eastAsia="zh-CN"/>
              </w:rPr>
            </w:pPr>
            <w:r>
              <w:rPr>
                <w:rFonts w:hint="eastAsia" w:eastAsia="仿宋_GB2312"/>
                <w:color w:val="000000"/>
                <w:szCs w:val="21"/>
                <w:lang w:val="en-US" w:eastAsia="zh-CN"/>
              </w:rPr>
              <w:t>河浦工业用地项目</w:t>
            </w:r>
          </w:p>
        </w:tc>
        <w:tc>
          <w:tcPr>
            <w:tcW w:w="1031" w:type="dxa"/>
            <w:vAlign w:val="center"/>
          </w:tcPr>
          <w:p>
            <w:pPr>
              <w:jc w:val="center"/>
              <w:rPr>
                <w:rFonts w:eastAsia="仿宋_GB2312"/>
                <w:sz w:val="21"/>
                <w:szCs w:val="21"/>
              </w:rPr>
            </w:pPr>
            <w:r>
              <w:rPr>
                <w:rFonts w:hint="eastAsia" w:eastAsia="仿宋_GB2312"/>
                <w:color w:val="000000"/>
                <w:szCs w:val="21"/>
                <w:lang w:val="en-US" w:eastAsia="zh-CN"/>
              </w:rPr>
              <w:t>25.4811</w:t>
            </w:r>
          </w:p>
        </w:tc>
        <w:tc>
          <w:tcPr>
            <w:tcW w:w="2194" w:type="dxa"/>
            <w:vAlign w:val="center"/>
          </w:tcPr>
          <w:p>
            <w:pPr>
              <w:spacing w:line="300" w:lineRule="exact"/>
              <w:jc w:val="center"/>
              <w:rPr>
                <w:rFonts w:hint="default" w:eastAsia="仿宋_GB2312"/>
                <w:sz w:val="21"/>
                <w:szCs w:val="21"/>
              </w:rPr>
            </w:pPr>
            <w:r>
              <w:rPr>
                <w:rFonts w:hint="eastAsia" w:eastAsia="仿宋_GB2312"/>
                <w:sz w:val="21"/>
                <w:szCs w:val="21"/>
                <w:lang w:val="en-US" w:eastAsia="zh-CN"/>
              </w:rPr>
              <w:t>工业用地、防护用地、农林用地、道路</w:t>
            </w:r>
          </w:p>
        </w:tc>
        <w:tc>
          <w:tcPr>
            <w:tcW w:w="891" w:type="dxa"/>
            <w:vAlign w:val="center"/>
          </w:tcPr>
          <w:p>
            <w:pPr>
              <w:spacing w:line="300" w:lineRule="exact"/>
              <w:jc w:val="center"/>
              <w:rPr>
                <w:rFonts w:eastAsia="仿宋_GB2312"/>
                <w:sz w:val="21"/>
                <w:szCs w:val="21"/>
              </w:rPr>
            </w:pPr>
            <w:r>
              <w:rPr>
                <w:rFonts w:hint="eastAsia" w:eastAsia="仿宋_GB2312"/>
                <w:sz w:val="21"/>
                <w:szCs w:val="21"/>
              </w:rPr>
              <w:t>202</w:t>
            </w:r>
            <w:r>
              <w:rPr>
                <w:rFonts w:eastAsia="仿宋_GB2312"/>
                <w:sz w:val="21"/>
                <w:szCs w:val="21"/>
              </w:rPr>
              <w:t>1</w:t>
            </w:r>
            <w:r>
              <w:rPr>
                <w:rFonts w:hint="eastAsia" w:eastAsia="仿宋_GB2312"/>
                <w:sz w:val="21"/>
                <w:szCs w:val="21"/>
              </w:rPr>
              <w:t>至2</w:t>
            </w:r>
            <w:r>
              <w:rPr>
                <w:rFonts w:eastAsia="仿宋_GB2312"/>
                <w:sz w:val="21"/>
                <w:szCs w:val="21"/>
              </w:rPr>
              <w:t>022</w:t>
            </w:r>
            <w:r>
              <w:rPr>
                <w:rFonts w:hint="eastAsia" w:eastAsia="仿宋_GB2312"/>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76" w:type="dxa"/>
            <w:vAlign w:val="center"/>
          </w:tcPr>
          <w:p>
            <w:pPr>
              <w:jc w:val="center"/>
              <w:rPr>
                <w:rFonts w:eastAsia="仿宋_GB2312"/>
                <w:sz w:val="21"/>
                <w:szCs w:val="21"/>
              </w:rPr>
            </w:pPr>
            <w:r>
              <w:rPr>
                <w:rFonts w:hint="eastAsia" w:eastAsia="仿宋_GB2312"/>
                <w:lang w:val="en-US" w:eastAsia="zh-CN"/>
              </w:rPr>
              <w:t>PK03</w:t>
            </w:r>
          </w:p>
        </w:tc>
        <w:tc>
          <w:tcPr>
            <w:tcW w:w="1313" w:type="dxa"/>
            <w:vAlign w:val="center"/>
          </w:tcPr>
          <w:p>
            <w:pPr>
              <w:jc w:val="center"/>
              <w:rPr>
                <w:rFonts w:eastAsia="仿宋_GB2312"/>
                <w:sz w:val="21"/>
                <w:szCs w:val="21"/>
              </w:rPr>
            </w:pPr>
            <w:r>
              <w:rPr>
                <w:rFonts w:hint="eastAsia" w:eastAsia="仿宋_GB2312"/>
                <w:lang w:val="en-US" w:eastAsia="zh-CN"/>
              </w:rPr>
              <w:t>树涌地块</w:t>
            </w:r>
          </w:p>
        </w:tc>
        <w:tc>
          <w:tcPr>
            <w:tcW w:w="1950" w:type="dxa"/>
            <w:vAlign w:val="center"/>
          </w:tcPr>
          <w:p>
            <w:pPr>
              <w:jc w:val="center"/>
              <w:rPr>
                <w:rFonts w:hint="default" w:eastAsia="仿宋_GB2312"/>
                <w:color w:val="000000"/>
                <w:szCs w:val="21"/>
                <w:lang w:val="en-US" w:eastAsia="zh-CN"/>
              </w:rPr>
            </w:pPr>
            <w:r>
              <w:rPr>
                <w:rFonts w:hint="eastAsia" w:eastAsia="仿宋_GB2312"/>
                <w:color w:val="000000"/>
                <w:szCs w:val="21"/>
                <w:lang w:val="en-US" w:eastAsia="zh-CN"/>
              </w:rPr>
              <w:t>树涌居住用地项目</w:t>
            </w:r>
          </w:p>
        </w:tc>
        <w:tc>
          <w:tcPr>
            <w:tcW w:w="1031" w:type="dxa"/>
            <w:vAlign w:val="center"/>
          </w:tcPr>
          <w:p>
            <w:pPr>
              <w:jc w:val="center"/>
              <w:rPr>
                <w:rFonts w:eastAsia="仿宋_GB2312"/>
                <w:sz w:val="21"/>
                <w:szCs w:val="21"/>
              </w:rPr>
            </w:pPr>
            <w:r>
              <w:rPr>
                <w:rFonts w:hint="eastAsia" w:eastAsia="仿宋_GB2312"/>
                <w:color w:val="000000"/>
                <w:szCs w:val="21"/>
                <w:lang w:val="en-US" w:eastAsia="zh-CN"/>
              </w:rPr>
              <w:t>23.7948</w:t>
            </w:r>
          </w:p>
        </w:tc>
        <w:tc>
          <w:tcPr>
            <w:tcW w:w="2194" w:type="dxa"/>
            <w:vAlign w:val="center"/>
          </w:tcPr>
          <w:p>
            <w:pPr>
              <w:spacing w:line="300" w:lineRule="exact"/>
              <w:jc w:val="center"/>
              <w:rPr>
                <w:rFonts w:hint="default" w:eastAsia="仿宋_GB2312"/>
                <w:sz w:val="21"/>
                <w:szCs w:val="21"/>
              </w:rPr>
            </w:pPr>
            <w:r>
              <w:rPr>
                <w:rFonts w:hint="eastAsia" w:eastAsia="仿宋_GB2312"/>
                <w:sz w:val="21"/>
                <w:szCs w:val="21"/>
                <w:lang w:val="en-US" w:eastAsia="zh-CN"/>
              </w:rPr>
              <w:t>居住用地、教育用地、道路用地</w:t>
            </w:r>
          </w:p>
        </w:tc>
        <w:tc>
          <w:tcPr>
            <w:tcW w:w="891" w:type="dxa"/>
            <w:vAlign w:val="center"/>
          </w:tcPr>
          <w:p>
            <w:pPr>
              <w:spacing w:line="300" w:lineRule="exact"/>
              <w:jc w:val="center"/>
              <w:rPr>
                <w:rFonts w:eastAsia="仿宋_GB2312"/>
                <w:sz w:val="21"/>
                <w:szCs w:val="21"/>
              </w:rPr>
            </w:pPr>
            <w:r>
              <w:rPr>
                <w:rFonts w:hint="eastAsia" w:eastAsia="仿宋_GB2312"/>
                <w:sz w:val="21"/>
                <w:szCs w:val="21"/>
              </w:rPr>
              <w:t>202</w:t>
            </w:r>
            <w:r>
              <w:rPr>
                <w:rFonts w:eastAsia="仿宋_GB2312"/>
                <w:sz w:val="21"/>
                <w:szCs w:val="21"/>
              </w:rPr>
              <w:t>2</w:t>
            </w:r>
            <w:r>
              <w:rPr>
                <w:rFonts w:hint="eastAsia" w:eastAsia="仿宋_GB2312"/>
                <w:sz w:val="21"/>
                <w:szCs w:val="21"/>
              </w:rPr>
              <w:t>至202</w:t>
            </w:r>
            <w:r>
              <w:rPr>
                <w:rFonts w:eastAsia="仿宋_GB2312"/>
                <w:sz w:val="21"/>
                <w:szCs w:val="21"/>
              </w:rPr>
              <w:t>3</w:t>
            </w:r>
            <w:r>
              <w:rPr>
                <w:rFonts w:hint="eastAsia" w:eastAsia="仿宋_GB2312"/>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876" w:type="dxa"/>
            <w:vAlign w:val="center"/>
          </w:tcPr>
          <w:p>
            <w:pPr>
              <w:jc w:val="center"/>
              <w:rPr>
                <w:rFonts w:hint="eastAsia" w:eastAsia="仿宋_GB2312"/>
                <w:sz w:val="21"/>
                <w:szCs w:val="21"/>
              </w:rPr>
            </w:pPr>
            <w:r>
              <w:rPr>
                <w:rFonts w:hint="eastAsia" w:eastAsia="仿宋_GB2312"/>
                <w:lang w:val="en-US" w:eastAsia="zh-CN"/>
              </w:rPr>
              <w:t>PK04</w:t>
            </w:r>
          </w:p>
        </w:tc>
        <w:tc>
          <w:tcPr>
            <w:tcW w:w="1313" w:type="dxa"/>
            <w:vAlign w:val="center"/>
          </w:tcPr>
          <w:p>
            <w:pPr>
              <w:jc w:val="center"/>
              <w:rPr>
                <w:rFonts w:hint="eastAsia" w:eastAsia="仿宋_GB2312"/>
                <w:sz w:val="21"/>
                <w:szCs w:val="21"/>
              </w:rPr>
            </w:pPr>
            <w:r>
              <w:rPr>
                <w:rFonts w:hint="eastAsia" w:eastAsia="仿宋_GB2312"/>
                <w:lang w:val="en-US" w:eastAsia="zh-CN"/>
              </w:rPr>
              <w:t>树涌工业园地块</w:t>
            </w:r>
          </w:p>
        </w:tc>
        <w:tc>
          <w:tcPr>
            <w:tcW w:w="1950" w:type="dxa"/>
            <w:vAlign w:val="center"/>
          </w:tcPr>
          <w:p>
            <w:pPr>
              <w:jc w:val="center"/>
              <w:rPr>
                <w:rFonts w:hint="default" w:eastAsia="仿宋_GB2312"/>
                <w:color w:val="000000"/>
                <w:szCs w:val="21"/>
                <w:lang w:val="en-US" w:eastAsia="zh-CN"/>
              </w:rPr>
            </w:pPr>
            <w:r>
              <w:rPr>
                <w:rFonts w:hint="eastAsia" w:eastAsia="仿宋_GB2312"/>
                <w:color w:val="000000"/>
                <w:szCs w:val="21"/>
                <w:lang w:val="en-US" w:eastAsia="zh-CN"/>
              </w:rPr>
              <w:t>中山科学城项目</w:t>
            </w:r>
          </w:p>
        </w:tc>
        <w:tc>
          <w:tcPr>
            <w:tcW w:w="1031" w:type="dxa"/>
            <w:vAlign w:val="center"/>
          </w:tcPr>
          <w:p>
            <w:pPr>
              <w:jc w:val="center"/>
              <w:rPr>
                <w:rFonts w:eastAsia="仿宋_GB2312"/>
                <w:sz w:val="21"/>
                <w:szCs w:val="21"/>
              </w:rPr>
            </w:pPr>
            <w:r>
              <w:rPr>
                <w:rFonts w:hint="eastAsia" w:eastAsia="仿宋_GB2312"/>
                <w:color w:val="000000"/>
                <w:szCs w:val="21"/>
                <w:lang w:val="en-US" w:eastAsia="zh-CN"/>
              </w:rPr>
              <w:t>152.3967</w:t>
            </w:r>
          </w:p>
        </w:tc>
        <w:tc>
          <w:tcPr>
            <w:tcW w:w="2194" w:type="dxa"/>
            <w:vAlign w:val="center"/>
          </w:tcPr>
          <w:p>
            <w:pPr>
              <w:spacing w:line="300" w:lineRule="exact"/>
              <w:jc w:val="center"/>
              <w:rPr>
                <w:rFonts w:hint="default" w:eastAsia="仿宋_GB2312"/>
                <w:sz w:val="21"/>
                <w:szCs w:val="21"/>
                <w:lang w:val="en-US"/>
              </w:rPr>
            </w:pPr>
            <w:r>
              <w:rPr>
                <w:rFonts w:hint="eastAsia" w:eastAsia="仿宋_GB2312"/>
                <w:sz w:val="21"/>
                <w:szCs w:val="21"/>
                <w:lang w:val="en-US" w:eastAsia="zh-CN"/>
              </w:rPr>
              <w:t>工业用地、防护绿地、公园绿地、道路用地、水域</w:t>
            </w:r>
          </w:p>
        </w:tc>
        <w:tc>
          <w:tcPr>
            <w:tcW w:w="891" w:type="dxa"/>
            <w:vAlign w:val="center"/>
          </w:tcPr>
          <w:p>
            <w:pPr>
              <w:spacing w:line="300" w:lineRule="exact"/>
              <w:jc w:val="center"/>
              <w:rPr>
                <w:rFonts w:hint="eastAsia" w:eastAsia="仿宋_GB2312"/>
                <w:sz w:val="21"/>
                <w:szCs w:val="21"/>
              </w:rPr>
            </w:pPr>
            <w:r>
              <w:rPr>
                <w:rFonts w:hint="eastAsia" w:eastAsia="仿宋_GB2312"/>
                <w:sz w:val="21"/>
                <w:szCs w:val="21"/>
              </w:rPr>
              <w:t>202</w:t>
            </w:r>
            <w:r>
              <w:rPr>
                <w:rFonts w:eastAsia="仿宋_GB2312"/>
                <w:sz w:val="21"/>
                <w:szCs w:val="21"/>
              </w:rPr>
              <w:t>2</w:t>
            </w:r>
            <w:r>
              <w:rPr>
                <w:rFonts w:hint="eastAsia" w:eastAsia="仿宋_GB2312"/>
                <w:sz w:val="21"/>
                <w:szCs w:val="21"/>
              </w:rPr>
              <w:t>至202</w:t>
            </w:r>
            <w:r>
              <w:rPr>
                <w:rFonts w:eastAsia="仿宋_GB2312"/>
                <w:sz w:val="21"/>
                <w:szCs w:val="21"/>
              </w:rPr>
              <w:t>3</w:t>
            </w:r>
            <w:r>
              <w:rPr>
                <w:rFonts w:hint="eastAsia" w:eastAsia="仿宋_GB2312"/>
                <w:sz w:val="21"/>
                <w:szCs w:val="21"/>
              </w:rPr>
              <w:t>年</w:t>
            </w:r>
          </w:p>
        </w:tc>
      </w:tr>
    </w:tbl>
    <w:p>
      <w:pPr>
        <w:spacing w:before="156" w:beforeLines="50" w:after="156" w:afterLines="50" w:line="360" w:lineRule="auto"/>
        <w:ind w:firstLine="643" w:firstLineChars="200"/>
        <w:outlineLvl w:val="1"/>
        <w:rPr>
          <w:rFonts w:eastAsia="仿宋_GB2312"/>
          <w:b/>
          <w:bCs/>
          <w:sz w:val="32"/>
          <w:szCs w:val="32"/>
        </w:rPr>
      </w:pPr>
      <w:r>
        <w:rPr>
          <w:rFonts w:eastAsia="仿宋_GB2312"/>
          <w:b/>
          <w:bCs/>
          <w:sz w:val="32"/>
          <w:szCs w:val="32"/>
        </w:rPr>
        <w:t>五、公益性用地情况</w:t>
      </w:r>
    </w:p>
    <w:p>
      <w:pPr>
        <w:ind w:firstLine="560" w:firstLineChars="200"/>
        <w:rPr>
          <w:rFonts w:eastAsia="仿宋_GB2312"/>
          <w:sz w:val="28"/>
          <w:szCs w:val="28"/>
        </w:rPr>
      </w:pPr>
      <w:r>
        <w:rPr>
          <w:rFonts w:eastAsia="仿宋_GB2312"/>
          <w:sz w:val="28"/>
          <w:szCs w:val="28"/>
        </w:rPr>
        <w:t>成片开发区域内公益性用地主要为</w:t>
      </w:r>
      <w:r>
        <w:rPr>
          <w:rFonts w:hint="eastAsia" w:eastAsia="仿宋_GB2312"/>
          <w:sz w:val="28"/>
          <w:szCs w:val="28"/>
        </w:rPr>
        <w:t>教育用地、</w:t>
      </w:r>
      <w:r>
        <w:rPr>
          <w:rFonts w:hint="eastAsia" w:eastAsia="仿宋_GB2312"/>
          <w:sz w:val="28"/>
          <w:szCs w:val="28"/>
          <w:lang w:val="en-US" w:eastAsia="zh-CN"/>
        </w:rPr>
        <w:t>防护绿地、</w:t>
      </w:r>
      <w:r>
        <w:rPr>
          <w:rFonts w:hint="eastAsia" w:eastAsia="仿宋_GB2312"/>
          <w:sz w:val="28"/>
          <w:szCs w:val="28"/>
        </w:rPr>
        <w:t>城市道路用地、水域和农林用地</w:t>
      </w:r>
      <w:r>
        <w:rPr>
          <w:rFonts w:eastAsia="仿宋_GB2312"/>
          <w:sz w:val="28"/>
          <w:szCs w:val="28"/>
        </w:rPr>
        <w:t>。经核查，各成片开发范围均符合《自然资源部关于印发&lt;土地征收成片开发标准（试行）&gt;的通知》（自然资规〔2020〕5号）公益性用地比例一般不低于40%的要求。</w:t>
      </w:r>
    </w:p>
    <w:p>
      <w:pPr>
        <w:ind w:firstLine="482" w:firstLineChars="200"/>
        <w:jc w:val="center"/>
        <w:rPr>
          <w:rFonts w:eastAsia="仿宋_GB2312"/>
          <w:b/>
          <w:bCs/>
          <w:sz w:val="24"/>
        </w:rPr>
      </w:pPr>
      <w:r>
        <w:rPr>
          <w:rFonts w:eastAsia="仿宋_GB2312"/>
          <w:b/>
          <w:bCs/>
          <w:sz w:val="24"/>
        </w:rPr>
        <w:t>表3  公益性用地情况一览表</w:t>
      </w:r>
    </w:p>
    <w:p>
      <w:pPr>
        <w:jc w:val="right"/>
        <w:rPr>
          <w:rFonts w:eastAsia="仿宋_GB2312"/>
        </w:rPr>
      </w:pPr>
      <w:r>
        <w:rPr>
          <w:rFonts w:eastAsia="仿宋_GB2312"/>
        </w:rPr>
        <w:t>单位：公顷、%</w:t>
      </w:r>
    </w:p>
    <w:tbl>
      <w:tblPr>
        <w:tblStyle w:val="12"/>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2337"/>
        <w:gridCol w:w="1840"/>
        <w:gridCol w:w="1382"/>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21" w:type="dxa"/>
            <w:vAlign w:val="center"/>
          </w:tcPr>
          <w:p>
            <w:pPr>
              <w:spacing w:line="300" w:lineRule="exact"/>
              <w:jc w:val="center"/>
              <w:rPr>
                <w:rFonts w:eastAsia="仿宋_GB2312"/>
              </w:rPr>
            </w:pPr>
            <w:r>
              <w:rPr>
                <w:rFonts w:eastAsia="仿宋_GB2312"/>
                <w:b/>
                <w:bCs/>
                <w:szCs w:val="21"/>
              </w:rPr>
              <w:t>成片开发区域编号</w:t>
            </w:r>
          </w:p>
        </w:tc>
        <w:tc>
          <w:tcPr>
            <w:tcW w:w="2337" w:type="dxa"/>
            <w:vAlign w:val="center"/>
          </w:tcPr>
          <w:p>
            <w:pPr>
              <w:jc w:val="center"/>
              <w:rPr>
                <w:rFonts w:eastAsia="仿宋_GB2312"/>
              </w:rPr>
            </w:pPr>
            <w:r>
              <w:rPr>
                <w:rFonts w:eastAsia="仿宋_GB2312"/>
                <w:b/>
                <w:bCs/>
              </w:rPr>
              <w:t>成片开发区域名称</w:t>
            </w:r>
          </w:p>
        </w:tc>
        <w:tc>
          <w:tcPr>
            <w:tcW w:w="0" w:type="auto"/>
            <w:vAlign w:val="center"/>
          </w:tcPr>
          <w:p>
            <w:pPr>
              <w:jc w:val="center"/>
              <w:rPr>
                <w:rFonts w:eastAsia="仿宋_GB2312"/>
                <w:b/>
                <w:bCs/>
              </w:rPr>
            </w:pPr>
            <w:r>
              <w:rPr>
                <w:rFonts w:eastAsia="仿宋_GB2312"/>
                <w:b/>
                <w:bCs/>
              </w:rPr>
              <w:t>公益性用地面积</w:t>
            </w:r>
          </w:p>
        </w:tc>
        <w:tc>
          <w:tcPr>
            <w:tcW w:w="0" w:type="auto"/>
            <w:vAlign w:val="center"/>
          </w:tcPr>
          <w:p>
            <w:pPr>
              <w:jc w:val="center"/>
              <w:rPr>
                <w:rFonts w:eastAsia="仿宋_GB2312"/>
                <w:b/>
                <w:bCs/>
              </w:rPr>
            </w:pPr>
            <w:r>
              <w:rPr>
                <w:rFonts w:hint="eastAsia" w:eastAsia="仿宋_GB2312"/>
                <w:b/>
                <w:bCs/>
                <w:lang w:val="en-US" w:eastAsia="zh-CN"/>
              </w:rPr>
              <w:t>拟开发总</w:t>
            </w:r>
            <w:r>
              <w:rPr>
                <w:rFonts w:eastAsia="仿宋_GB2312"/>
                <w:b/>
                <w:bCs/>
              </w:rPr>
              <w:t>面积</w:t>
            </w:r>
          </w:p>
        </w:tc>
        <w:tc>
          <w:tcPr>
            <w:tcW w:w="0" w:type="auto"/>
            <w:vAlign w:val="center"/>
          </w:tcPr>
          <w:p>
            <w:pPr>
              <w:jc w:val="center"/>
              <w:rPr>
                <w:rFonts w:eastAsia="仿宋_GB2312"/>
                <w:b/>
                <w:bCs/>
              </w:rPr>
            </w:pPr>
            <w:r>
              <w:rPr>
                <w:rFonts w:eastAsia="仿宋_GB2312"/>
                <w:b/>
                <w:bCs/>
              </w:rPr>
              <w:t>公益性用地比例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vAlign w:val="center"/>
          </w:tcPr>
          <w:p>
            <w:pPr>
              <w:jc w:val="center"/>
              <w:rPr>
                <w:rFonts w:hint="eastAsia" w:eastAsia="仿宋_GB2312"/>
              </w:rPr>
            </w:pPr>
            <w:r>
              <w:rPr>
                <w:rFonts w:hint="eastAsia" w:eastAsia="仿宋_GB2312"/>
                <w:lang w:val="en-US" w:eastAsia="zh-CN"/>
              </w:rPr>
              <w:t>PK01</w:t>
            </w:r>
          </w:p>
        </w:tc>
        <w:tc>
          <w:tcPr>
            <w:tcW w:w="2337" w:type="dxa"/>
            <w:vAlign w:val="center"/>
          </w:tcPr>
          <w:p>
            <w:pPr>
              <w:jc w:val="center"/>
              <w:rPr>
                <w:rFonts w:eastAsia="仿宋_GB2312"/>
              </w:rPr>
            </w:pPr>
            <w:r>
              <w:rPr>
                <w:rFonts w:hint="eastAsia" w:eastAsia="仿宋_GB2312"/>
                <w:lang w:val="en-US" w:eastAsia="zh-CN"/>
              </w:rPr>
              <w:t>旗山地块</w:t>
            </w:r>
          </w:p>
        </w:tc>
        <w:tc>
          <w:tcPr>
            <w:tcW w:w="0" w:type="auto"/>
            <w:vAlign w:val="center"/>
          </w:tcPr>
          <w:p>
            <w:pPr>
              <w:jc w:val="center"/>
              <w:rPr>
                <w:rFonts w:hint="default" w:eastAsia="仿宋_GB2312"/>
                <w:lang w:val="en-US" w:eastAsia="zh-CN"/>
              </w:rPr>
            </w:pPr>
            <w:r>
              <w:rPr>
                <w:rFonts w:hint="eastAsia" w:eastAsia="仿宋_GB2312"/>
                <w:color w:val="000000"/>
                <w:sz w:val="22"/>
                <w:szCs w:val="22"/>
                <w:lang w:val="en-US" w:eastAsia="zh-CN"/>
              </w:rPr>
              <w:t>1.3025</w:t>
            </w:r>
          </w:p>
        </w:tc>
        <w:tc>
          <w:tcPr>
            <w:tcW w:w="0" w:type="auto"/>
            <w:vAlign w:val="center"/>
          </w:tcPr>
          <w:p>
            <w:pPr>
              <w:jc w:val="center"/>
              <w:rPr>
                <w:rFonts w:eastAsia="仿宋_GB2312"/>
              </w:rPr>
            </w:pPr>
            <w:r>
              <w:rPr>
                <w:rFonts w:hint="eastAsia" w:eastAsia="仿宋_GB2312"/>
                <w:color w:val="000000"/>
                <w:szCs w:val="21"/>
                <w:lang w:val="en-US" w:eastAsia="zh-CN"/>
              </w:rPr>
              <w:t>2.0644</w:t>
            </w:r>
          </w:p>
        </w:tc>
        <w:tc>
          <w:tcPr>
            <w:tcW w:w="0" w:type="auto"/>
            <w:vAlign w:val="center"/>
          </w:tcPr>
          <w:p>
            <w:pPr>
              <w:jc w:val="center"/>
              <w:rPr>
                <w:rFonts w:hint="default" w:eastAsia="仿宋_GB2312"/>
                <w:lang w:val="en-US" w:eastAsia="zh-CN"/>
              </w:rPr>
            </w:pPr>
            <w:r>
              <w:rPr>
                <w:rFonts w:hint="eastAsia" w:eastAsia="仿宋_GB2312"/>
                <w:color w:val="000000"/>
                <w:sz w:val="22"/>
                <w:szCs w:val="22"/>
                <w:lang w:val="en-US" w:eastAsia="zh-CN"/>
              </w:rPr>
              <w:t>63.09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vAlign w:val="center"/>
          </w:tcPr>
          <w:p>
            <w:pPr>
              <w:jc w:val="center"/>
              <w:rPr>
                <w:rFonts w:hint="eastAsia" w:eastAsia="仿宋_GB2312"/>
              </w:rPr>
            </w:pPr>
            <w:r>
              <w:rPr>
                <w:rFonts w:hint="eastAsia" w:eastAsia="仿宋_GB2312"/>
                <w:lang w:val="en-US" w:eastAsia="zh-CN"/>
              </w:rPr>
              <w:t>PK02</w:t>
            </w:r>
          </w:p>
        </w:tc>
        <w:tc>
          <w:tcPr>
            <w:tcW w:w="2337" w:type="dxa"/>
            <w:vAlign w:val="center"/>
          </w:tcPr>
          <w:p>
            <w:pPr>
              <w:jc w:val="center"/>
              <w:rPr>
                <w:rFonts w:eastAsia="仿宋_GB2312"/>
              </w:rPr>
            </w:pPr>
            <w:r>
              <w:rPr>
                <w:rFonts w:hint="eastAsia" w:eastAsia="仿宋_GB2312"/>
                <w:lang w:val="en-US" w:eastAsia="zh-CN"/>
              </w:rPr>
              <w:t>河浦地块</w:t>
            </w:r>
          </w:p>
        </w:tc>
        <w:tc>
          <w:tcPr>
            <w:tcW w:w="0" w:type="auto"/>
            <w:vAlign w:val="center"/>
          </w:tcPr>
          <w:p>
            <w:pPr>
              <w:jc w:val="center"/>
              <w:rPr>
                <w:rFonts w:eastAsia="仿宋_GB2312"/>
              </w:rPr>
            </w:pPr>
            <w:r>
              <w:rPr>
                <w:rFonts w:hint="eastAsia" w:eastAsia="仿宋_GB2312"/>
                <w:lang w:val="en-US" w:eastAsia="zh-CN"/>
              </w:rPr>
              <w:t>10.1635</w:t>
            </w:r>
          </w:p>
        </w:tc>
        <w:tc>
          <w:tcPr>
            <w:tcW w:w="1382" w:type="dxa"/>
            <w:vAlign w:val="center"/>
          </w:tcPr>
          <w:p>
            <w:pPr>
              <w:jc w:val="center"/>
              <w:rPr>
                <w:rFonts w:eastAsia="仿宋_GB2312"/>
              </w:rPr>
            </w:pPr>
            <w:r>
              <w:rPr>
                <w:rFonts w:hint="eastAsia" w:eastAsia="仿宋_GB2312"/>
                <w:color w:val="000000"/>
                <w:szCs w:val="21"/>
                <w:lang w:val="en-US" w:eastAsia="zh-CN"/>
              </w:rPr>
              <w:t>25.4811</w:t>
            </w:r>
          </w:p>
        </w:tc>
        <w:tc>
          <w:tcPr>
            <w:tcW w:w="0" w:type="auto"/>
            <w:vAlign w:val="center"/>
          </w:tcPr>
          <w:p>
            <w:pPr>
              <w:jc w:val="center"/>
              <w:rPr>
                <w:rFonts w:hint="default" w:eastAsia="仿宋_GB2312"/>
                <w:lang w:val="en-US" w:eastAsia="zh-CN"/>
              </w:rPr>
            </w:pPr>
            <w:r>
              <w:rPr>
                <w:rFonts w:hint="eastAsia" w:eastAsia="仿宋_GB2312"/>
                <w:color w:val="000000"/>
                <w:sz w:val="22"/>
                <w:szCs w:val="22"/>
                <w:lang w:val="en-US" w:eastAsia="zh-C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vAlign w:val="center"/>
          </w:tcPr>
          <w:p>
            <w:pPr>
              <w:jc w:val="center"/>
              <w:rPr>
                <w:rFonts w:hint="eastAsia" w:eastAsia="仿宋_GB2312"/>
              </w:rPr>
            </w:pPr>
            <w:r>
              <w:rPr>
                <w:rFonts w:hint="eastAsia" w:eastAsia="仿宋_GB2312"/>
                <w:lang w:val="en-US" w:eastAsia="zh-CN"/>
              </w:rPr>
              <w:t>PK03</w:t>
            </w:r>
          </w:p>
        </w:tc>
        <w:tc>
          <w:tcPr>
            <w:tcW w:w="2337" w:type="dxa"/>
            <w:vAlign w:val="center"/>
          </w:tcPr>
          <w:p>
            <w:pPr>
              <w:jc w:val="center"/>
              <w:rPr>
                <w:rFonts w:eastAsia="仿宋_GB2312"/>
              </w:rPr>
            </w:pPr>
            <w:r>
              <w:rPr>
                <w:rFonts w:hint="eastAsia" w:eastAsia="仿宋_GB2312"/>
                <w:lang w:val="en-US" w:eastAsia="zh-CN"/>
              </w:rPr>
              <w:t>树涌地块</w:t>
            </w:r>
          </w:p>
        </w:tc>
        <w:tc>
          <w:tcPr>
            <w:tcW w:w="0" w:type="auto"/>
            <w:vAlign w:val="center"/>
          </w:tcPr>
          <w:p>
            <w:pPr>
              <w:jc w:val="center"/>
              <w:rPr>
                <w:rFonts w:eastAsia="仿宋_GB2312"/>
              </w:rPr>
            </w:pPr>
            <w:r>
              <w:rPr>
                <w:rFonts w:hint="eastAsia" w:eastAsia="仿宋_GB2312"/>
                <w:lang w:val="en-US" w:eastAsia="zh-CN"/>
              </w:rPr>
              <w:t>12.2887</w:t>
            </w:r>
          </w:p>
        </w:tc>
        <w:tc>
          <w:tcPr>
            <w:tcW w:w="1382" w:type="dxa"/>
            <w:vAlign w:val="center"/>
          </w:tcPr>
          <w:p>
            <w:pPr>
              <w:jc w:val="center"/>
              <w:rPr>
                <w:rFonts w:eastAsia="仿宋_GB2312"/>
              </w:rPr>
            </w:pPr>
            <w:r>
              <w:rPr>
                <w:rFonts w:hint="eastAsia" w:eastAsia="仿宋_GB2312"/>
                <w:color w:val="000000"/>
                <w:szCs w:val="21"/>
                <w:lang w:val="en-US" w:eastAsia="zh-CN"/>
              </w:rPr>
              <w:t>23.7948</w:t>
            </w:r>
          </w:p>
        </w:tc>
        <w:tc>
          <w:tcPr>
            <w:tcW w:w="0" w:type="auto"/>
            <w:vAlign w:val="center"/>
          </w:tcPr>
          <w:p>
            <w:pPr>
              <w:jc w:val="center"/>
              <w:rPr>
                <w:rFonts w:hint="default" w:eastAsia="仿宋_GB2312"/>
                <w:lang w:val="en-US" w:eastAsia="zh-CN"/>
              </w:rPr>
            </w:pPr>
            <w:r>
              <w:rPr>
                <w:rFonts w:hint="eastAsia" w:eastAsia="仿宋_GB2312"/>
                <w:sz w:val="24"/>
                <w:lang w:val="en-US" w:eastAsia="zh-CN"/>
              </w:rPr>
              <w:t>51.64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vAlign w:val="center"/>
          </w:tcPr>
          <w:p>
            <w:pPr>
              <w:jc w:val="center"/>
              <w:rPr>
                <w:rFonts w:hint="eastAsia" w:eastAsia="仿宋_GB2312"/>
                <w:lang w:val="en-US" w:eastAsia="zh-CN"/>
              </w:rPr>
            </w:pPr>
            <w:bookmarkStart w:id="1" w:name="_Toc72190178"/>
            <w:r>
              <w:rPr>
                <w:rFonts w:hint="eastAsia" w:eastAsia="仿宋_GB2312"/>
                <w:lang w:val="en-US" w:eastAsia="zh-CN"/>
              </w:rPr>
              <w:t>PK04</w:t>
            </w:r>
          </w:p>
        </w:tc>
        <w:tc>
          <w:tcPr>
            <w:tcW w:w="2337" w:type="dxa"/>
            <w:vAlign w:val="center"/>
          </w:tcPr>
          <w:p>
            <w:pPr>
              <w:jc w:val="center"/>
              <w:rPr>
                <w:rFonts w:hint="eastAsia" w:eastAsia="仿宋_GB2312"/>
              </w:rPr>
            </w:pPr>
            <w:r>
              <w:rPr>
                <w:rFonts w:hint="eastAsia" w:eastAsia="仿宋_GB2312"/>
                <w:lang w:val="en-US" w:eastAsia="zh-CN"/>
              </w:rPr>
              <w:t>树涌工业园地块</w:t>
            </w:r>
          </w:p>
        </w:tc>
        <w:tc>
          <w:tcPr>
            <w:tcW w:w="0" w:type="auto"/>
            <w:vAlign w:val="center"/>
          </w:tcPr>
          <w:p>
            <w:pPr>
              <w:jc w:val="center"/>
              <w:rPr>
                <w:rFonts w:hint="default" w:eastAsia="仿宋_GB2312"/>
                <w:lang w:val="en-US" w:eastAsia="zh-CN"/>
              </w:rPr>
            </w:pPr>
            <w:r>
              <w:rPr>
                <w:rFonts w:hint="eastAsia" w:eastAsia="仿宋_GB2312"/>
                <w:lang w:val="en-US" w:eastAsia="zh-CN"/>
              </w:rPr>
              <w:t>62.3359</w:t>
            </w:r>
          </w:p>
        </w:tc>
        <w:tc>
          <w:tcPr>
            <w:tcW w:w="1382" w:type="dxa"/>
            <w:vAlign w:val="center"/>
          </w:tcPr>
          <w:p>
            <w:pPr>
              <w:jc w:val="center"/>
              <w:rPr>
                <w:rFonts w:eastAsia="仿宋_GB2312"/>
                <w:color w:val="000000"/>
                <w:sz w:val="22"/>
                <w:szCs w:val="22"/>
              </w:rPr>
            </w:pPr>
            <w:r>
              <w:rPr>
                <w:rFonts w:hint="eastAsia" w:eastAsia="仿宋_GB2312"/>
                <w:color w:val="000000"/>
                <w:szCs w:val="21"/>
                <w:lang w:val="en-US" w:eastAsia="zh-CN"/>
              </w:rPr>
              <w:t>152.3967</w:t>
            </w:r>
          </w:p>
        </w:tc>
        <w:tc>
          <w:tcPr>
            <w:tcW w:w="0" w:type="auto"/>
            <w:vAlign w:val="center"/>
          </w:tcPr>
          <w:p>
            <w:pPr>
              <w:jc w:val="center"/>
              <w:rPr>
                <w:rFonts w:hint="default" w:eastAsia="仿宋_GB2312"/>
                <w:sz w:val="24"/>
                <w:lang w:val="en-US" w:eastAsia="zh-CN"/>
              </w:rPr>
            </w:pPr>
            <w:r>
              <w:rPr>
                <w:rFonts w:hint="eastAsia" w:eastAsia="仿宋_GB2312"/>
                <w:sz w:val="24"/>
                <w:lang w:val="en-US" w:eastAsia="zh-CN"/>
              </w:rPr>
              <w:t>40.90</w:t>
            </w:r>
          </w:p>
        </w:tc>
      </w:tr>
    </w:tbl>
    <w:p>
      <w:pPr>
        <w:spacing w:before="156" w:beforeLines="50" w:after="156" w:afterLines="50" w:line="360" w:lineRule="auto"/>
        <w:ind w:firstLine="643" w:firstLineChars="200"/>
        <w:outlineLvl w:val="1"/>
        <w:rPr>
          <w:rFonts w:eastAsia="仿宋_GB2312"/>
          <w:b/>
          <w:bCs/>
          <w:sz w:val="32"/>
          <w:szCs w:val="32"/>
        </w:rPr>
      </w:pPr>
      <w:r>
        <w:rPr>
          <w:rFonts w:eastAsia="仿宋_GB2312"/>
          <w:b/>
          <w:bCs/>
          <w:sz w:val="32"/>
          <w:szCs w:val="32"/>
        </w:rPr>
        <w:t>六、综合效益评估</w:t>
      </w:r>
      <w:bookmarkEnd w:id="1"/>
    </w:p>
    <w:p>
      <w:pPr>
        <w:spacing w:before="156" w:beforeLines="50" w:after="156" w:afterLines="50" w:line="360" w:lineRule="auto"/>
        <w:ind w:firstLine="643" w:firstLineChars="200"/>
        <w:outlineLvl w:val="1"/>
        <w:rPr>
          <w:rFonts w:eastAsia="仿宋_GB2312"/>
          <w:b/>
          <w:bCs/>
          <w:sz w:val="32"/>
          <w:szCs w:val="32"/>
        </w:rPr>
      </w:pPr>
      <w:bookmarkStart w:id="2" w:name="_Toc72190179"/>
      <w:r>
        <w:rPr>
          <w:rFonts w:eastAsia="仿宋_GB2312"/>
          <w:b/>
          <w:bCs/>
          <w:sz w:val="32"/>
          <w:szCs w:val="32"/>
        </w:rPr>
        <w:t>（一）土地利用效益评估</w:t>
      </w:r>
      <w:bookmarkEnd w:id="2"/>
    </w:p>
    <w:p>
      <w:pPr>
        <w:ind w:firstLine="560" w:firstLineChars="200"/>
        <w:rPr>
          <w:rFonts w:eastAsia="仿宋_GB2312"/>
          <w:sz w:val="28"/>
          <w:szCs w:val="28"/>
        </w:rPr>
      </w:pPr>
      <w:r>
        <w:rPr>
          <w:rFonts w:hint="eastAsia" w:eastAsia="仿宋_GB2312"/>
          <w:sz w:val="28"/>
          <w:szCs w:val="28"/>
        </w:rPr>
        <w:t>通过土地征收成片开发，将有效推进用地节约集约利用，避免用地浪费，实现土地资源的合理配置。</w:t>
      </w:r>
    </w:p>
    <w:p>
      <w:pPr>
        <w:ind w:firstLine="560" w:firstLineChars="200"/>
        <w:rPr>
          <w:rFonts w:eastAsia="仿宋_GB2312"/>
          <w:sz w:val="28"/>
          <w:szCs w:val="28"/>
        </w:rPr>
      </w:pPr>
      <w:r>
        <w:rPr>
          <w:rFonts w:hint="eastAsia" w:eastAsia="仿宋_GB2312"/>
          <w:sz w:val="28"/>
          <w:szCs w:val="28"/>
        </w:rPr>
        <w:t>在布局优化方面，片区规划用地符合《中山市城市控制性详细规划实施办法》、《中山市城市总体规划（2011-2020）》等相关规范导则要求，能够科学合理布局各类用地、优化区域功能结构</w:t>
      </w:r>
      <w:r>
        <w:rPr>
          <w:rFonts w:eastAsia="仿宋_GB2312"/>
          <w:sz w:val="28"/>
          <w:szCs w:val="28"/>
        </w:rPr>
        <w:t>。</w:t>
      </w:r>
    </w:p>
    <w:p>
      <w:pPr>
        <w:spacing w:before="156" w:beforeLines="50" w:after="156" w:afterLines="50" w:line="360" w:lineRule="auto"/>
        <w:ind w:firstLine="643" w:firstLineChars="200"/>
        <w:outlineLvl w:val="1"/>
        <w:rPr>
          <w:rFonts w:eastAsia="仿宋_GB2312"/>
          <w:b/>
          <w:bCs/>
          <w:sz w:val="32"/>
          <w:szCs w:val="32"/>
        </w:rPr>
      </w:pPr>
      <w:bookmarkStart w:id="3" w:name="_Toc72190180"/>
      <w:r>
        <w:rPr>
          <w:rFonts w:eastAsia="仿宋_GB2312"/>
          <w:b/>
          <w:bCs/>
          <w:sz w:val="32"/>
          <w:szCs w:val="32"/>
        </w:rPr>
        <w:t>（二）经济效益评估</w:t>
      </w:r>
      <w:bookmarkEnd w:id="3"/>
    </w:p>
    <w:p>
      <w:pPr>
        <w:ind w:firstLine="560" w:firstLineChars="200"/>
        <w:rPr>
          <w:rFonts w:eastAsia="仿宋_GB2312"/>
          <w:sz w:val="28"/>
          <w:szCs w:val="28"/>
        </w:rPr>
      </w:pPr>
      <w:r>
        <w:rPr>
          <w:rFonts w:hint="eastAsia" w:eastAsia="仿宋_GB2312"/>
          <w:sz w:val="28"/>
          <w:szCs w:val="28"/>
        </w:rPr>
        <w:t>片区经济盈利能力和抗风险能力相对较强，预计可产生良好的经济效益。项目具有较强的辐射带动作用，能够与周边形成联动发展，改善投资环境促进规模化发展建设，推动经济社会高质量发展。</w:t>
      </w:r>
    </w:p>
    <w:p>
      <w:pPr>
        <w:spacing w:before="156" w:beforeLines="50" w:after="156" w:afterLines="50" w:line="360" w:lineRule="auto"/>
        <w:ind w:firstLine="643" w:firstLineChars="200"/>
        <w:outlineLvl w:val="1"/>
        <w:rPr>
          <w:rFonts w:eastAsia="仿宋_GB2312"/>
          <w:b/>
          <w:bCs/>
          <w:sz w:val="32"/>
          <w:szCs w:val="32"/>
        </w:rPr>
      </w:pPr>
      <w:bookmarkStart w:id="4" w:name="_Toc72190181"/>
      <w:r>
        <w:rPr>
          <w:rFonts w:eastAsia="仿宋_GB2312"/>
          <w:b/>
          <w:bCs/>
          <w:sz w:val="32"/>
          <w:szCs w:val="32"/>
        </w:rPr>
        <w:t>（三）社会效益评估</w:t>
      </w:r>
      <w:bookmarkEnd w:id="4"/>
    </w:p>
    <w:p>
      <w:pPr>
        <w:spacing w:before="156" w:beforeLines="50" w:after="156" w:afterLines="50" w:line="360" w:lineRule="auto"/>
        <w:ind w:firstLine="643" w:firstLineChars="200"/>
        <w:outlineLvl w:val="2"/>
        <w:rPr>
          <w:rFonts w:eastAsia="仿宋_GB2312"/>
          <w:b/>
          <w:bCs/>
          <w:sz w:val="32"/>
          <w:szCs w:val="32"/>
        </w:rPr>
      </w:pPr>
      <w:r>
        <w:rPr>
          <w:rFonts w:eastAsia="仿宋_GB2312"/>
          <w:b/>
          <w:bCs/>
          <w:sz w:val="32"/>
          <w:szCs w:val="32"/>
        </w:rPr>
        <w:t>1、拉动就业</w:t>
      </w:r>
    </w:p>
    <w:p>
      <w:pPr>
        <w:ind w:firstLine="560" w:firstLineChars="200"/>
        <w:rPr>
          <w:rFonts w:eastAsia="仿宋_GB2312"/>
          <w:sz w:val="28"/>
          <w:szCs w:val="28"/>
        </w:rPr>
      </w:pPr>
      <w:r>
        <w:rPr>
          <w:rFonts w:hint="eastAsia" w:eastAsia="仿宋_GB2312"/>
          <w:sz w:val="28"/>
          <w:szCs w:val="28"/>
        </w:rPr>
        <w:t>在带动就业方面，通过先进制造业产业的引进和建设，能够引入</w:t>
      </w:r>
      <w:r>
        <w:rPr>
          <w:rFonts w:hint="eastAsia" w:eastAsia="仿宋_GB2312"/>
          <w:sz w:val="28"/>
          <w:szCs w:val="28"/>
          <w:lang w:val="en-US" w:eastAsia="zh-CN"/>
        </w:rPr>
        <w:t>高新技术</w:t>
      </w:r>
      <w:r>
        <w:rPr>
          <w:rFonts w:hint="eastAsia" w:eastAsia="仿宋_GB2312"/>
          <w:sz w:val="28"/>
          <w:szCs w:val="28"/>
        </w:rPr>
        <w:t>企业，形成产业聚集，可创造大量就业岗位，促进常住人口数量增长，增加财政税收</w:t>
      </w:r>
      <w:r>
        <w:rPr>
          <w:rFonts w:eastAsia="仿宋_GB2312"/>
          <w:sz w:val="28"/>
          <w:szCs w:val="28"/>
        </w:rPr>
        <w:t>。</w:t>
      </w:r>
    </w:p>
    <w:p>
      <w:pPr>
        <w:spacing w:before="156" w:beforeLines="50" w:after="156" w:afterLines="50" w:line="360" w:lineRule="auto"/>
        <w:ind w:firstLine="643" w:firstLineChars="200"/>
        <w:outlineLvl w:val="2"/>
        <w:rPr>
          <w:rFonts w:eastAsia="仿宋_GB2312"/>
          <w:b/>
          <w:bCs/>
          <w:sz w:val="32"/>
          <w:szCs w:val="32"/>
        </w:rPr>
      </w:pPr>
      <w:r>
        <w:rPr>
          <w:rFonts w:eastAsia="仿宋_GB2312"/>
          <w:b/>
          <w:bCs/>
          <w:sz w:val="32"/>
          <w:szCs w:val="32"/>
        </w:rPr>
        <w:t>2、公共产品供给</w:t>
      </w:r>
    </w:p>
    <w:p>
      <w:pPr>
        <w:ind w:firstLine="560" w:firstLineChars="200"/>
        <w:rPr>
          <w:rFonts w:eastAsia="仿宋_GB2312"/>
          <w:sz w:val="28"/>
          <w:szCs w:val="28"/>
        </w:rPr>
      </w:pPr>
      <w:r>
        <w:rPr>
          <w:rFonts w:hint="eastAsia" w:eastAsia="仿宋_GB2312"/>
          <w:sz w:val="28"/>
          <w:szCs w:val="28"/>
        </w:rPr>
        <w:t>在完善生活设施配套方面，片区内公共设施、公园绿地、道路设施等统筹建设，能够有效保障片区设施配套建设需求</w:t>
      </w:r>
      <w:r>
        <w:rPr>
          <w:rFonts w:eastAsia="仿宋_GB2312"/>
          <w:sz w:val="28"/>
          <w:szCs w:val="28"/>
        </w:rPr>
        <w:t>。</w:t>
      </w:r>
    </w:p>
    <w:p>
      <w:pPr>
        <w:spacing w:before="156" w:beforeLines="50" w:after="156" w:afterLines="50" w:line="360" w:lineRule="auto"/>
        <w:ind w:firstLine="643" w:firstLineChars="200"/>
        <w:outlineLvl w:val="2"/>
        <w:rPr>
          <w:rFonts w:eastAsia="仿宋_GB2312"/>
          <w:b/>
          <w:bCs/>
          <w:sz w:val="32"/>
          <w:szCs w:val="32"/>
        </w:rPr>
      </w:pPr>
      <w:r>
        <w:rPr>
          <w:rFonts w:eastAsia="仿宋_GB2312"/>
          <w:b/>
          <w:bCs/>
          <w:sz w:val="32"/>
          <w:szCs w:val="32"/>
        </w:rPr>
        <w:t>3、被征地农民增收</w:t>
      </w:r>
    </w:p>
    <w:p>
      <w:pPr>
        <w:ind w:firstLine="560" w:firstLineChars="200"/>
        <w:rPr>
          <w:rFonts w:eastAsia="仿宋_GB2312"/>
        </w:rPr>
      </w:pPr>
      <w:r>
        <w:rPr>
          <w:rFonts w:hint="eastAsia" w:eastAsia="仿宋_GB2312"/>
          <w:sz w:val="28"/>
          <w:szCs w:val="28"/>
        </w:rPr>
        <w:t>本次土地征收成片开发土地补偿费和安置补助费标准将按照《中山市人民政府关于公布实施征收农用地区片综合地价的公告》对被征地农民进行补偿。同时，通过区域产业发展，创造工作岗位，带动就业，有利于提高被征地农民的收入</w:t>
      </w:r>
      <w:r>
        <w:rPr>
          <w:rFonts w:eastAsia="仿宋_GB2312"/>
          <w:sz w:val="28"/>
          <w:szCs w:val="28"/>
        </w:rPr>
        <w:t>。</w:t>
      </w:r>
    </w:p>
    <w:p>
      <w:pPr>
        <w:spacing w:before="156" w:beforeLines="50" w:after="156" w:afterLines="50" w:line="360" w:lineRule="auto"/>
        <w:ind w:firstLine="643" w:firstLineChars="200"/>
        <w:outlineLvl w:val="2"/>
        <w:rPr>
          <w:rFonts w:eastAsia="仿宋_GB2312"/>
          <w:b/>
          <w:bCs/>
          <w:sz w:val="32"/>
          <w:szCs w:val="32"/>
        </w:rPr>
      </w:pPr>
      <w:r>
        <w:rPr>
          <w:rFonts w:eastAsia="仿宋_GB2312"/>
          <w:b/>
          <w:bCs/>
          <w:sz w:val="32"/>
          <w:szCs w:val="32"/>
        </w:rPr>
        <w:t>4、公共服务提升</w:t>
      </w:r>
    </w:p>
    <w:p>
      <w:pPr>
        <w:ind w:firstLine="560" w:firstLineChars="200"/>
        <w:rPr>
          <w:rFonts w:eastAsia="仿宋_GB2312"/>
          <w:sz w:val="28"/>
          <w:szCs w:val="28"/>
        </w:rPr>
      </w:pPr>
      <w:r>
        <w:rPr>
          <w:rFonts w:hint="eastAsia" w:eastAsia="仿宋_GB2312"/>
          <w:sz w:val="28"/>
          <w:szCs w:val="28"/>
        </w:rPr>
        <w:t>在城市形象方面，项目的开发建设将</w:t>
      </w:r>
      <w:r>
        <w:rPr>
          <w:rFonts w:hint="eastAsia" w:eastAsia="仿宋_GB2312"/>
          <w:sz w:val="28"/>
          <w:szCs w:val="28"/>
          <w:lang w:val="en-US" w:eastAsia="zh-CN"/>
        </w:rPr>
        <w:t>有助于南区打造成为“一环两轴三园四区”空间格局</w:t>
      </w:r>
      <w:r>
        <w:rPr>
          <w:rFonts w:hint="eastAsia" w:eastAsia="仿宋_GB2312"/>
          <w:sz w:val="28"/>
          <w:szCs w:val="28"/>
        </w:rPr>
        <w:t>，有利于城市总体形象的营造及空间规划的落实，保障城市开发建设科学有序的推进</w:t>
      </w:r>
      <w:r>
        <w:rPr>
          <w:rFonts w:eastAsia="仿宋_GB2312"/>
          <w:sz w:val="28"/>
          <w:szCs w:val="28"/>
        </w:rPr>
        <w:t>。</w:t>
      </w:r>
    </w:p>
    <w:p>
      <w:pPr>
        <w:spacing w:before="156" w:beforeLines="50" w:after="156" w:afterLines="50" w:line="360" w:lineRule="auto"/>
        <w:ind w:firstLine="643" w:firstLineChars="200"/>
        <w:outlineLvl w:val="1"/>
        <w:rPr>
          <w:rFonts w:eastAsia="仿宋_GB2312"/>
          <w:b/>
          <w:bCs/>
          <w:sz w:val="32"/>
          <w:szCs w:val="32"/>
        </w:rPr>
      </w:pPr>
      <w:bookmarkStart w:id="5" w:name="_Toc72190182"/>
      <w:r>
        <w:rPr>
          <w:rFonts w:eastAsia="仿宋_GB2312"/>
          <w:b/>
          <w:bCs/>
          <w:sz w:val="32"/>
          <w:szCs w:val="32"/>
        </w:rPr>
        <w:t>（四）生态效益评估</w:t>
      </w:r>
      <w:bookmarkEnd w:id="5"/>
    </w:p>
    <w:p>
      <w:pPr>
        <w:ind w:firstLine="560" w:firstLineChars="200"/>
        <w:rPr>
          <w:rFonts w:eastAsia="仿宋_GB2312"/>
          <w:sz w:val="28"/>
          <w:szCs w:val="28"/>
        </w:rPr>
      </w:pPr>
      <w:r>
        <w:rPr>
          <w:rFonts w:hint="eastAsia" w:eastAsia="仿宋_GB2312"/>
          <w:sz w:val="28"/>
          <w:szCs w:val="28"/>
        </w:rPr>
        <w:t>本次土地征收成片开发范围不涉及自然保护区核心区和缓冲区、森林公园、地质公园、列入省级以上保护名录的野生动植物栖息地、水源保护区核心区、蓄滞洪区、地质灾害易发区等相关区域。本次成片开发</w:t>
      </w:r>
      <w:r>
        <w:rPr>
          <w:rFonts w:hint="eastAsia" w:eastAsia="仿宋_GB2312"/>
          <w:sz w:val="28"/>
          <w:szCs w:val="28"/>
          <w:lang w:val="en-US" w:eastAsia="zh-CN"/>
        </w:rPr>
        <w:t>区域</w:t>
      </w:r>
      <w:r>
        <w:rPr>
          <w:rFonts w:hint="eastAsia" w:eastAsia="仿宋_GB2312"/>
          <w:sz w:val="28"/>
          <w:szCs w:val="28"/>
        </w:rPr>
        <w:t>范围主要引入工业项目</w:t>
      </w:r>
      <w:r>
        <w:rPr>
          <w:rFonts w:hint="eastAsia" w:eastAsia="仿宋_GB2312"/>
          <w:sz w:val="28"/>
          <w:szCs w:val="28"/>
          <w:lang w:eastAsia="zh-CN"/>
        </w:rPr>
        <w:t>、</w:t>
      </w:r>
      <w:r>
        <w:rPr>
          <w:rFonts w:hint="eastAsia" w:eastAsia="仿宋_GB2312"/>
          <w:sz w:val="28"/>
          <w:szCs w:val="28"/>
        </w:rPr>
        <w:t>商住项目</w:t>
      </w:r>
      <w:r>
        <w:rPr>
          <w:rFonts w:hint="eastAsia" w:eastAsia="仿宋_GB2312"/>
          <w:sz w:val="28"/>
          <w:szCs w:val="28"/>
          <w:lang w:val="en-US" w:eastAsia="zh-CN"/>
        </w:rPr>
        <w:t>及教育项目</w:t>
      </w:r>
      <w:r>
        <w:rPr>
          <w:rFonts w:hint="eastAsia" w:eastAsia="仿宋_GB2312"/>
          <w:sz w:val="28"/>
          <w:szCs w:val="28"/>
        </w:rPr>
        <w:t>，发展高新技术产业，改善居住环境，对生态环境影响较小</w:t>
      </w:r>
      <w:r>
        <w:rPr>
          <w:rFonts w:eastAsia="仿宋_GB2312"/>
          <w:sz w:val="28"/>
          <w:szCs w:val="28"/>
        </w:rPr>
        <w:t>。</w:t>
      </w:r>
    </w:p>
    <w:p>
      <w:pPr>
        <w:spacing w:before="156" w:beforeLines="50" w:after="156" w:afterLines="50" w:line="360" w:lineRule="auto"/>
        <w:ind w:firstLine="643" w:firstLineChars="200"/>
        <w:outlineLvl w:val="1"/>
        <w:rPr>
          <w:rFonts w:eastAsia="仿宋_GB2312"/>
          <w:b/>
          <w:bCs/>
          <w:sz w:val="32"/>
          <w:szCs w:val="32"/>
        </w:rPr>
      </w:pPr>
      <w:bookmarkStart w:id="6" w:name="_Toc72190184"/>
      <w:r>
        <w:rPr>
          <w:rFonts w:eastAsia="仿宋_GB2312"/>
          <w:b/>
          <w:bCs/>
          <w:sz w:val="32"/>
          <w:szCs w:val="32"/>
        </w:rPr>
        <w:t>七、结论</w:t>
      </w:r>
      <w:bookmarkEnd w:id="6"/>
    </w:p>
    <w:p>
      <w:pPr>
        <w:ind w:firstLine="560" w:firstLineChars="200"/>
        <w:rPr>
          <w:rFonts w:eastAsia="仿宋_GB2312"/>
          <w:sz w:val="28"/>
          <w:szCs w:val="28"/>
        </w:rPr>
      </w:pPr>
      <w:r>
        <w:rPr>
          <w:rFonts w:eastAsia="仿宋_GB2312"/>
          <w:sz w:val="28"/>
          <w:szCs w:val="28"/>
        </w:rPr>
        <w:t>综上所述，《</w:t>
      </w:r>
      <w:r>
        <w:rPr>
          <w:rFonts w:hint="eastAsia" w:eastAsia="仿宋_GB2312"/>
          <w:sz w:val="28"/>
          <w:szCs w:val="28"/>
        </w:rPr>
        <w:t>中山市</w:t>
      </w:r>
      <w:r>
        <w:rPr>
          <w:rFonts w:hint="eastAsia" w:eastAsia="仿宋_GB2312"/>
          <w:sz w:val="28"/>
          <w:szCs w:val="28"/>
          <w:lang w:eastAsia="zh-CN"/>
        </w:rPr>
        <w:t>南区街道</w:t>
      </w:r>
      <w:r>
        <w:rPr>
          <w:rFonts w:hint="eastAsia" w:eastAsia="仿宋_GB2312"/>
          <w:sz w:val="28"/>
          <w:szCs w:val="28"/>
        </w:rPr>
        <w:t>土地征收成片开发方案</w:t>
      </w:r>
      <w:r>
        <w:rPr>
          <w:rFonts w:eastAsia="仿宋_GB2312"/>
          <w:sz w:val="28"/>
          <w:szCs w:val="28"/>
        </w:rPr>
        <w:t>》符合《自然资源部关于印发&lt;土地征收成片开发标准（试行）&gt;的通知》（自然资规〔2020〕5号）</w:t>
      </w:r>
      <w:r>
        <w:rPr>
          <w:rFonts w:hint="eastAsia" w:eastAsia="仿宋_GB2312"/>
          <w:sz w:val="28"/>
          <w:szCs w:val="28"/>
        </w:rPr>
        <w:t>等相关文件</w:t>
      </w:r>
      <w:r>
        <w:rPr>
          <w:rFonts w:eastAsia="仿宋_GB2312"/>
          <w:sz w:val="28"/>
          <w:szCs w:val="28"/>
        </w:rPr>
        <w:t>的要求。</w:t>
      </w:r>
      <w:bookmarkStart w:id="7" w:name="_GoBack"/>
      <w:bookmarkEnd w:id="7"/>
    </w:p>
    <w:p>
      <w:pPr>
        <w:widowControl/>
        <w:jc w:val="left"/>
        <w:rPr>
          <w:rFonts w:eastAsia="仿宋_GB2312"/>
          <w:b/>
          <w:bCs/>
          <w:sz w:val="32"/>
          <w:szCs w:val="32"/>
        </w:rPr>
      </w:pPr>
      <w:r>
        <w:rPr>
          <w:rFonts w:eastAsia="仿宋_GB2312"/>
          <w:b/>
          <w:bCs/>
          <w:sz w:val="32"/>
          <w:szCs w:val="32"/>
        </w:rPr>
        <w:br w:type="page"/>
      </w:r>
    </w:p>
    <w:p>
      <w:pPr>
        <w:spacing w:before="156" w:beforeLines="50" w:after="156" w:afterLines="50" w:line="360" w:lineRule="auto"/>
        <w:outlineLvl w:val="0"/>
        <w:rPr>
          <w:rFonts w:eastAsia="仿宋_GB2312"/>
          <w:sz w:val="32"/>
          <w:szCs w:val="32"/>
        </w:rPr>
      </w:pPr>
      <w:r>
        <w:rPr>
          <w:rFonts w:eastAsia="仿宋_GB2312"/>
          <w:b/>
          <w:bCs/>
          <w:sz w:val="32"/>
          <w:szCs w:val="32"/>
        </w:rPr>
        <w:t>附件：</w:t>
      </w:r>
      <w:r>
        <w:rPr>
          <w:rFonts w:eastAsia="仿宋_GB2312"/>
          <w:sz w:val="32"/>
          <w:szCs w:val="32"/>
        </w:rPr>
        <w:t>1 .</w:t>
      </w:r>
      <w:r>
        <w:rPr>
          <w:rFonts w:hint="eastAsia"/>
        </w:rPr>
        <w:t xml:space="preserve"> </w:t>
      </w:r>
      <w:r>
        <w:rPr>
          <w:rFonts w:hint="eastAsia" w:eastAsia="仿宋_GB2312"/>
          <w:sz w:val="32"/>
          <w:szCs w:val="32"/>
        </w:rPr>
        <w:t>中山市</w:t>
      </w:r>
      <w:r>
        <w:rPr>
          <w:rFonts w:hint="eastAsia" w:eastAsia="仿宋_GB2312"/>
          <w:sz w:val="32"/>
          <w:szCs w:val="32"/>
          <w:lang w:eastAsia="zh-CN"/>
        </w:rPr>
        <w:t>南区街道</w:t>
      </w:r>
      <w:r>
        <w:rPr>
          <w:rFonts w:hint="eastAsia" w:eastAsia="仿宋_GB2312"/>
          <w:sz w:val="32"/>
          <w:szCs w:val="32"/>
        </w:rPr>
        <w:t>成片开发地块影像图</w:t>
      </w:r>
    </w:p>
    <w:p>
      <w:pPr>
        <w:spacing w:line="360" w:lineRule="auto"/>
        <w:ind w:firstLine="960" w:firstLineChars="300"/>
        <w:rPr>
          <w:rFonts w:eastAsia="仿宋_GB2312"/>
          <w:sz w:val="32"/>
          <w:szCs w:val="32"/>
        </w:rPr>
      </w:pPr>
      <w:r>
        <w:rPr>
          <w:rFonts w:eastAsia="仿宋_GB2312"/>
          <w:sz w:val="32"/>
          <w:szCs w:val="32"/>
        </w:rPr>
        <w:t xml:space="preserve">2. </w:t>
      </w:r>
      <w:r>
        <w:rPr>
          <w:rFonts w:hint="eastAsia" w:eastAsia="仿宋_GB2312"/>
          <w:sz w:val="32"/>
          <w:szCs w:val="32"/>
        </w:rPr>
        <w:t>中山市</w:t>
      </w:r>
      <w:r>
        <w:rPr>
          <w:rFonts w:hint="eastAsia" w:eastAsia="仿宋_GB2312"/>
          <w:sz w:val="32"/>
          <w:szCs w:val="32"/>
          <w:lang w:eastAsia="zh-CN"/>
        </w:rPr>
        <w:t>南区街道</w:t>
      </w:r>
      <w:r>
        <w:rPr>
          <w:rFonts w:hint="eastAsia" w:eastAsia="仿宋_GB2312"/>
          <w:sz w:val="32"/>
          <w:szCs w:val="32"/>
        </w:rPr>
        <w:t>成片开发范围开发时序图</w:t>
      </w:r>
    </w:p>
    <w:p>
      <w:pPr>
        <w:widowControl/>
        <w:jc w:val="left"/>
        <w:rPr>
          <w:rFonts w:eastAsia="仿宋_GB2312"/>
          <w:b/>
          <w:bCs/>
          <w:kern w:val="44"/>
          <w:sz w:val="44"/>
          <w:szCs w:val="44"/>
        </w:rPr>
      </w:pPr>
      <w:r>
        <w:rPr>
          <w:rFonts w:eastAsia="仿宋_GB2312"/>
        </w:rPr>
        <w:br w:type="page"/>
      </w:r>
    </w:p>
    <w:p>
      <w:pPr>
        <w:rPr>
          <w:rFonts w:eastAsia="仿宋_GB2312"/>
        </w:rPr>
      </w:pPr>
      <w:r>
        <w:rPr>
          <w:rFonts w:eastAsia="仿宋_GB2312"/>
          <w:sz w:val="32"/>
          <w:szCs w:val="32"/>
        </w:rPr>
        <w:t>附件1 .</w:t>
      </w:r>
      <w:r>
        <w:rPr>
          <w:rFonts w:hint="eastAsia" w:eastAsia="仿宋_GB2312"/>
          <w:sz w:val="32"/>
          <w:szCs w:val="32"/>
        </w:rPr>
        <w:t>中山市</w:t>
      </w:r>
      <w:r>
        <w:rPr>
          <w:rFonts w:hint="eastAsia" w:eastAsia="仿宋_GB2312"/>
          <w:sz w:val="32"/>
          <w:szCs w:val="32"/>
          <w:lang w:eastAsia="zh-CN"/>
        </w:rPr>
        <w:t>南区街道</w:t>
      </w:r>
      <w:r>
        <w:rPr>
          <w:rFonts w:eastAsia="仿宋_GB2312"/>
          <w:sz w:val="32"/>
          <w:szCs w:val="32"/>
        </w:rPr>
        <w:t>成片开发地块</w:t>
      </w:r>
      <w:r>
        <w:rPr>
          <w:rFonts w:hint="eastAsia" w:eastAsia="仿宋_GB2312"/>
          <w:sz w:val="32"/>
          <w:szCs w:val="32"/>
        </w:rPr>
        <w:t>影像</w:t>
      </w:r>
      <w:r>
        <w:rPr>
          <w:rFonts w:eastAsia="仿宋_GB2312"/>
          <w:sz w:val="32"/>
          <w:szCs w:val="32"/>
        </w:rPr>
        <w:t>图</w:t>
      </w:r>
    </w:p>
    <w:p>
      <w:pPr>
        <w:jc w:val="center"/>
        <w:rPr>
          <w:rFonts w:eastAsia="仿宋_GB2312"/>
          <w:sz w:val="28"/>
          <w:szCs w:val="28"/>
        </w:rPr>
      </w:pPr>
      <w:r>
        <w:rPr>
          <w:rFonts w:eastAsia="仿宋_GB2312"/>
          <w:sz w:val="28"/>
          <w:szCs w:val="28"/>
        </w:rPr>
        <w:drawing>
          <wp:inline distT="0" distB="0" distL="0" distR="0">
            <wp:extent cx="5274310" cy="7452995"/>
            <wp:effectExtent l="9525" t="9525" r="12065" b="24130"/>
            <wp:docPr id="4" name="图片 4" descr="E:\1-中山\31-南区成片开发\3附件\南区公示材料\PK01-02影像图0908.jpgPK01-02影像图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中山\31-南区成片开发\3附件\南区公示材料\PK01-02影像图0908.jpgPK01-02影像图0908"/>
                    <pic:cNvPicPr>
                      <a:picLocks noChangeAspect="1"/>
                    </pic:cNvPicPr>
                  </pic:nvPicPr>
                  <pic:blipFill>
                    <a:blip r:embed="rId6"/>
                    <a:srcRect/>
                    <a:stretch>
                      <a:fillRect/>
                    </a:stretch>
                  </pic:blipFill>
                  <pic:spPr>
                    <a:xfrm>
                      <a:off x="0" y="0"/>
                      <a:ext cx="5274310" cy="7452995"/>
                    </a:xfrm>
                    <a:prstGeom prst="rect">
                      <a:avLst/>
                    </a:prstGeom>
                    <a:ln>
                      <a:solidFill>
                        <a:schemeClr val="tx1"/>
                      </a:solidFill>
                    </a:ln>
                  </pic:spPr>
                </pic:pic>
              </a:graphicData>
            </a:graphic>
          </wp:inline>
        </w:drawing>
      </w:r>
    </w:p>
    <w:p>
      <w:pPr>
        <w:widowControl/>
        <w:jc w:val="left"/>
        <w:rPr>
          <w:rFonts w:eastAsia="仿宋_GB2312"/>
        </w:rPr>
      </w:pPr>
    </w:p>
    <w:p>
      <w:pPr>
        <w:widowControl/>
        <w:jc w:val="left"/>
        <w:rPr>
          <w:rFonts w:eastAsia="仿宋_GB2312"/>
        </w:rPr>
      </w:pPr>
    </w:p>
    <w:p>
      <w:pPr>
        <w:widowControl/>
        <w:jc w:val="left"/>
        <w:rPr>
          <w:rFonts w:eastAsia="仿宋_GB2312"/>
        </w:rPr>
      </w:pPr>
      <w:r>
        <w:rPr>
          <w:rFonts w:eastAsia="仿宋_GB2312"/>
        </w:rPr>
        <w:br w:type="page"/>
      </w:r>
    </w:p>
    <w:p>
      <w:pPr>
        <w:widowControl/>
        <w:jc w:val="left"/>
        <w:rPr>
          <w:rFonts w:eastAsia="仿宋_GB2312"/>
        </w:rPr>
      </w:pPr>
    </w:p>
    <w:p>
      <w:pPr>
        <w:widowControl/>
        <w:jc w:val="left"/>
        <w:rPr>
          <w:rFonts w:eastAsia="仿宋_GB2312"/>
        </w:rPr>
      </w:pPr>
    </w:p>
    <w:p>
      <w:pPr>
        <w:widowControl/>
        <w:jc w:val="left"/>
        <w:rPr>
          <w:rFonts w:eastAsia="仿宋_GB2312"/>
        </w:rPr>
      </w:pPr>
      <w:r>
        <w:rPr>
          <w:rFonts w:eastAsia="仿宋_GB2312"/>
        </w:rPr>
        <w:drawing>
          <wp:inline distT="0" distB="0" distL="114300" distR="114300">
            <wp:extent cx="5271135" cy="7448550"/>
            <wp:effectExtent l="9525" t="9525" r="15240" b="9525"/>
            <wp:docPr id="2" name="图片 2" descr="C:/Users/PC/AppData/Local/Temp/picturecompress_2021090814244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PC/AppData/Local/Temp/picturecompress_20210908142442/output_1.jpgoutput_1"/>
                    <pic:cNvPicPr>
                      <a:picLocks noChangeAspect="1"/>
                    </pic:cNvPicPr>
                  </pic:nvPicPr>
                  <pic:blipFill>
                    <a:blip r:embed="rId7"/>
                    <a:stretch>
                      <a:fillRect/>
                    </a:stretch>
                  </pic:blipFill>
                  <pic:spPr>
                    <a:xfrm>
                      <a:off x="0" y="0"/>
                      <a:ext cx="5271135" cy="7448550"/>
                    </a:xfrm>
                    <a:prstGeom prst="rect">
                      <a:avLst/>
                    </a:prstGeom>
                    <a:ln>
                      <a:solidFill>
                        <a:schemeClr val="tx1"/>
                      </a:solidFill>
                    </a:ln>
                  </pic:spPr>
                </pic:pic>
              </a:graphicData>
            </a:graphic>
          </wp:inline>
        </w:drawing>
      </w:r>
      <w:r>
        <w:rPr>
          <w:rFonts w:eastAsia="仿宋_GB2312"/>
        </w:rPr>
        <w:br w:type="page"/>
      </w:r>
    </w:p>
    <w:p>
      <w:pPr>
        <w:rPr>
          <w:rFonts w:eastAsia="仿宋_GB2312"/>
          <w:sz w:val="32"/>
          <w:szCs w:val="32"/>
        </w:rPr>
      </w:pPr>
      <w:r>
        <w:rPr>
          <w:rFonts w:eastAsia="仿宋_GB2312"/>
          <w:sz w:val="32"/>
          <w:szCs w:val="32"/>
        </w:rPr>
        <w:t>附件2.</w:t>
      </w:r>
      <w:r>
        <w:rPr>
          <w:rFonts w:hint="eastAsia" w:eastAsia="仿宋_GB2312"/>
          <w:sz w:val="32"/>
          <w:szCs w:val="32"/>
        </w:rPr>
        <w:t>中山市</w:t>
      </w:r>
      <w:r>
        <w:rPr>
          <w:rFonts w:hint="eastAsia" w:eastAsia="仿宋_GB2312"/>
          <w:sz w:val="32"/>
          <w:szCs w:val="32"/>
          <w:lang w:eastAsia="zh-CN"/>
        </w:rPr>
        <w:t>南区街道</w:t>
      </w:r>
      <w:r>
        <w:rPr>
          <w:rFonts w:hint="eastAsia" w:eastAsia="仿宋_GB2312"/>
          <w:sz w:val="32"/>
          <w:szCs w:val="32"/>
        </w:rPr>
        <w:t>成片开发范围开发时序图</w:t>
      </w:r>
    </w:p>
    <w:p>
      <w:pPr>
        <w:jc w:val="center"/>
        <w:rPr>
          <w:rFonts w:eastAsia="仿宋_GB2312"/>
        </w:rPr>
      </w:pPr>
      <w:r>
        <w:rPr>
          <w:rFonts w:eastAsia="仿宋_GB2312"/>
        </w:rPr>
        <w:drawing>
          <wp:inline distT="0" distB="0" distL="0" distR="0">
            <wp:extent cx="5274310" cy="7452995"/>
            <wp:effectExtent l="9525" t="9525" r="12065" b="24130"/>
            <wp:docPr id="3" name="图片 3" descr="E:\1-中山\31-南区成片开发\3附件\南区公示材料\PK01-02开发时序图0908.jpgPK01-02开发时序图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中山\31-南区成片开发\3附件\南区公示材料\PK01-02开发时序图0908.jpgPK01-02开发时序图0908"/>
                    <pic:cNvPicPr>
                      <a:picLocks noChangeAspect="1"/>
                    </pic:cNvPicPr>
                  </pic:nvPicPr>
                  <pic:blipFill>
                    <a:blip r:embed="rId8"/>
                    <a:srcRect/>
                    <a:stretch>
                      <a:fillRect/>
                    </a:stretch>
                  </pic:blipFill>
                  <pic:spPr>
                    <a:xfrm>
                      <a:off x="0" y="0"/>
                      <a:ext cx="5274310" cy="7452995"/>
                    </a:xfrm>
                    <a:prstGeom prst="rect">
                      <a:avLst/>
                    </a:prstGeom>
                    <a:ln>
                      <a:solidFill>
                        <a:schemeClr val="tx1"/>
                      </a:solidFill>
                    </a:ln>
                  </pic:spPr>
                </pic:pic>
              </a:graphicData>
            </a:graphic>
          </wp:inline>
        </w:drawing>
      </w:r>
    </w:p>
    <w:p>
      <w:pPr>
        <w:jc w:val="left"/>
        <w:rPr>
          <w:rFonts w:eastAsia="仿宋_GB2312"/>
        </w:rPr>
      </w:pPr>
      <w:r>
        <w:rPr>
          <w:rFonts w:eastAsia="仿宋_GB2312"/>
        </w:rPr>
        <w:br w:type="page"/>
      </w:r>
    </w:p>
    <w:p>
      <w:pPr>
        <w:jc w:val="center"/>
        <w:rPr>
          <w:rFonts w:hint="eastAsia" w:eastAsia="仿宋_GB2312"/>
          <w:lang w:eastAsia="zh-CN"/>
        </w:rPr>
      </w:pPr>
    </w:p>
    <w:p>
      <w:pPr>
        <w:jc w:val="center"/>
        <w:rPr>
          <w:rFonts w:hint="eastAsia" w:eastAsia="仿宋_GB2312"/>
          <w:lang w:eastAsia="zh-CN"/>
        </w:rPr>
      </w:pPr>
    </w:p>
    <w:p>
      <w:pPr>
        <w:jc w:val="center"/>
        <w:rPr>
          <w:rFonts w:hint="eastAsia" w:eastAsia="仿宋_GB2312"/>
          <w:lang w:eastAsia="zh-CN"/>
        </w:rPr>
      </w:pPr>
      <w:r>
        <w:rPr>
          <w:rFonts w:hint="eastAsia" w:eastAsia="仿宋_GB2312"/>
          <w:lang w:eastAsia="zh-CN"/>
        </w:rPr>
        <w:drawing>
          <wp:inline distT="0" distB="0" distL="114300" distR="114300">
            <wp:extent cx="5271135" cy="7448550"/>
            <wp:effectExtent l="9525" t="9525" r="15240" b="9525"/>
            <wp:docPr id="5" name="图片 5" descr="C:/Users/PC/AppData/Local/Temp/picturecompress_2021090814243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PC/AppData/Local/Temp/picturecompress_20210908142433/output_1.jpgoutput_1"/>
                    <pic:cNvPicPr>
                      <a:picLocks noChangeAspect="1"/>
                    </pic:cNvPicPr>
                  </pic:nvPicPr>
                  <pic:blipFill>
                    <a:blip r:embed="rId9"/>
                    <a:stretch>
                      <a:fillRect/>
                    </a:stretch>
                  </pic:blipFill>
                  <pic:spPr>
                    <a:xfrm>
                      <a:off x="0" y="0"/>
                      <a:ext cx="5271135" cy="7448550"/>
                    </a:xfrm>
                    <a:prstGeom prst="rect">
                      <a:avLst/>
                    </a:prstGeom>
                    <a:ln>
                      <a:solidFill>
                        <a:schemeClr val="tx1"/>
                      </a:solidFill>
                    </a:ln>
                  </pic:spPr>
                </pic:pic>
              </a:graphicData>
            </a:graphic>
          </wp:inline>
        </w:drawing>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 w:name="方正小标宋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7781927"/>
    </w:sdtPr>
    <w:sdtContent>
      <w:p>
        <w:pPr>
          <w:pStyle w:val="5"/>
          <w:jc w:val="center"/>
        </w:pPr>
        <w:r>
          <w:fldChar w:fldCharType="begin"/>
        </w:r>
        <w:r>
          <w:instrText xml:space="preserve">PAGE   \* MERGEFORMAT</w:instrText>
        </w:r>
        <w:r>
          <w:fldChar w:fldCharType="separate"/>
        </w:r>
        <w:r>
          <w:rPr>
            <w:lang w:val="zh-CN"/>
          </w:rPr>
          <w:t>2</w:t>
        </w:r>
        <w:r>
          <w:fldChar w:fldCharType="end"/>
        </w:r>
      </w:p>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8"/>
        <w:snapToGrid w:val="0"/>
      </w:pPr>
      <w:r>
        <w:rPr>
          <w:rStyle w:val="16"/>
        </w:rPr>
        <w:footnoteRef/>
      </w:r>
      <w:r>
        <w:t xml:space="preserve"> </w:t>
      </w:r>
      <w:r>
        <w:rPr>
          <w:rFonts w:hint="eastAsia"/>
        </w:rPr>
        <w:t>根据《中山市人民政府办公室关于南区办事处开展社区整合工作的复函》（中府办函〔2013〕368号）文件，竹秀园社区及恒美社区现属良都社区，树涌社区及北台社区现属北溪社区，马岭社区仍为马岭社区。</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5A2"/>
    <w:rsid w:val="00005465"/>
    <w:rsid w:val="0000783A"/>
    <w:rsid w:val="0001135C"/>
    <w:rsid w:val="00026860"/>
    <w:rsid w:val="00033B6D"/>
    <w:rsid w:val="000353DD"/>
    <w:rsid w:val="0003575F"/>
    <w:rsid w:val="00043AEA"/>
    <w:rsid w:val="00050EA6"/>
    <w:rsid w:val="000566D5"/>
    <w:rsid w:val="000600BB"/>
    <w:rsid w:val="00063E6E"/>
    <w:rsid w:val="0007525E"/>
    <w:rsid w:val="00075DE9"/>
    <w:rsid w:val="00076A09"/>
    <w:rsid w:val="00077636"/>
    <w:rsid w:val="00082264"/>
    <w:rsid w:val="00084BD2"/>
    <w:rsid w:val="00085E71"/>
    <w:rsid w:val="000A530F"/>
    <w:rsid w:val="000A65C2"/>
    <w:rsid w:val="000C5935"/>
    <w:rsid w:val="000D10B8"/>
    <w:rsid w:val="000D7CB8"/>
    <w:rsid w:val="000F7C15"/>
    <w:rsid w:val="001051E0"/>
    <w:rsid w:val="00114382"/>
    <w:rsid w:val="00116009"/>
    <w:rsid w:val="00125CA4"/>
    <w:rsid w:val="00135FD4"/>
    <w:rsid w:val="00140C56"/>
    <w:rsid w:val="00142C54"/>
    <w:rsid w:val="00152AEE"/>
    <w:rsid w:val="00152DCE"/>
    <w:rsid w:val="00160A2D"/>
    <w:rsid w:val="00164462"/>
    <w:rsid w:val="0017122E"/>
    <w:rsid w:val="00177904"/>
    <w:rsid w:val="00180074"/>
    <w:rsid w:val="00181299"/>
    <w:rsid w:val="001819FA"/>
    <w:rsid w:val="00194641"/>
    <w:rsid w:val="00197F4C"/>
    <w:rsid w:val="001B2930"/>
    <w:rsid w:val="001C379A"/>
    <w:rsid w:val="001D164F"/>
    <w:rsid w:val="001D380B"/>
    <w:rsid w:val="001D3BFB"/>
    <w:rsid w:val="001E2A5D"/>
    <w:rsid w:val="001E7FC3"/>
    <w:rsid w:val="001F0B76"/>
    <w:rsid w:val="001F6124"/>
    <w:rsid w:val="00202503"/>
    <w:rsid w:val="00207709"/>
    <w:rsid w:val="002165ED"/>
    <w:rsid w:val="00222163"/>
    <w:rsid w:val="00225DB9"/>
    <w:rsid w:val="00247943"/>
    <w:rsid w:val="00252B24"/>
    <w:rsid w:val="002544BD"/>
    <w:rsid w:val="00255509"/>
    <w:rsid w:val="00262054"/>
    <w:rsid w:val="00262C70"/>
    <w:rsid w:val="00263415"/>
    <w:rsid w:val="00263992"/>
    <w:rsid w:val="00267894"/>
    <w:rsid w:val="00272266"/>
    <w:rsid w:val="00273A4B"/>
    <w:rsid w:val="00273CD3"/>
    <w:rsid w:val="00276312"/>
    <w:rsid w:val="00276C76"/>
    <w:rsid w:val="00280CA8"/>
    <w:rsid w:val="00291F89"/>
    <w:rsid w:val="00292367"/>
    <w:rsid w:val="002936CA"/>
    <w:rsid w:val="00295EEA"/>
    <w:rsid w:val="002A1A0D"/>
    <w:rsid w:val="002A3868"/>
    <w:rsid w:val="002A4945"/>
    <w:rsid w:val="002B0673"/>
    <w:rsid w:val="002C4016"/>
    <w:rsid w:val="002C41C3"/>
    <w:rsid w:val="002C7084"/>
    <w:rsid w:val="002D016D"/>
    <w:rsid w:val="002D3BC7"/>
    <w:rsid w:val="002E0467"/>
    <w:rsid w:val="002E29F6"/>
    <w:rsid w:val="002E6AAD"/>
    <w:rsid w:val="002F06AC"/>
    <w:rsid w:val="002F6236"/>
    <w:rsid w:val="002F71F6"/>
    <w:rsid w:val="00326E89"/>
    <w:rsid w:val="00331D9A"/>
    <w:rsid w:val="003433C6"/>
    <w:rsid w:val="00354383"/>
    <w:rsid w:val="003732F2"/>
    <w:rsid w:val="00377DD0"/>
    <w:rsid w:val="00380A77"/>
    <w:rsid w:val="00385C43"/>
    <w:rsid w:val="00392EB5"/>
    <w:rsid w:val="00397F07"/>
    <w:rsid w:val="003A5A2E"/>
    <w:rsid w:val="003C2087"/>
    <w:rsid w:val="003E4CA7"/>
    <w:rsid w:val="003F2A32"/>
    <w:rsid w:val="004068D3"/>
    <w:rsid w:val="00420D27"/>
    <w:rsid w:val="00423630"/>
    <w:rsid w:val="004279A7"/>
    <w:rsid w:val="004331E8"/>
    <w:rsid w:val="00433D78"/>
    <w:rsid w:val="00445471"/>
    <w:rsid w:val="00466EBD"/>
    <w:rsid w:val="00471535"/>
    <w:rsid w:val="004746F6"/>
    <w:rsid w:val="004776B6"/>
    <w:rsid w:val="004805A2"/>
    <w:rsid w:val="0048240F"/>
    <w:rsid w:val="00497873"/>
    <w:rsid w:val="004A0829"/>
    <w:rsid w:val="004B55E2"/>
    <w:rsid w:val="004C1D3A"/>
    <w:rsid w:val="004C2748"/>
    <w:rsid w:val="004D34E0"/>
    <w:rsid w:val="004E10AC"/>
    <w:rsid w:val="00513C4E"/>
    <w:rsid w:val="00513DFC"/>
    <w:rsid w:val="005211DA"/>
    <w:rsid w:val="0053244E"/>
    <w:rsid w:val="005355CB"/>
    <w:rsid w:val="00545F35"/>
    <w:rsid w:val="00551C28"/>
    <w:rsid w:val="005529E3"/>
    <w:rsid w:val="00554234"/>
    <w:rsid w:val="0055486C"/>
    <w:rsid w:val="00556CDF"/>
    <w:rsid w:val="0058028D"/>
    <w:rsid w:val="0058375C"/>
    <w:rsid w:val="00597A23"/>
    <w:rsid w:val="005A5647"/>
    <w:rsid w:val="005B157D"/>
    <w:rsid w:val="005B2BC9"/>
    <w:rsid w:val="005B31DC"/>
    <w:rsid w:val="005C2E0E"/>
    <w:rsid w:val="005C4943"/>
    <w:rsid w:val="005C7ECD"/>
    <w:rsid w:val="005D454A"/>
    <w:rsid w:val="005E487B"/>
    <w:rsid w:val="005E78AF"/>
    <w:rsid w:val="005E7DB6"/>
    <w:rsid w:val="005E7E66"/>
    <w:rsid w:val="005F2D93"/>
    <w:rsid w:val="005F2FB4"/>
    <w:rsid w:val="005F3341"/>
    <w:rsid w:val="005F5A6E"/>
    <w:rsid w:val="00605F64"/>
    <w:rsid w:val="00607023"/>
    <w:rsid w:val="00611DAB"/>
    <w:rsid w:val="00611EFE"/>
    <w:rsid w:val="00620AB1"/>
    <w:rsid w:val="00622871"/>
    <w:rsid w:val="006242F7"/>
    <w:rsid w:val="0064791A"/>
    <w:rsid w:val="00647C6D"/>
    <w:rsid w:val="006515B4"/>
    <w:rsid w:val="006558E6"/>
    <w:rsid w:val="006577BB"/>
    <w:rsid w:val="006624A7"/>
    <w:rsid w:val="006767B4"/>
    <w:rsid w:val="006811C1"/>
    <w:rsid w:val="006907E8"/>
    <w:rsid w:val="00692405"/>
    <w:rsid w:val="00694C7F"/>
    <w:rsid w:val="00697DFB"/>
    <w:rsid w:val="006B5C8A"/>
    <w:rsid w:val="006B7723"/>
    <w:rsid w:val="006C5F89"/>
    <w:rsid w:val="006D654E"/>
    <w:rsid w:val="006E35D3"/>
    <w:rsid w:val="006E64C9"/>
    <w:rsid w:val="006E7C48"/>
    <w:rsid w:val="006F0FD3"/>
    <w:rsid w:val="006F4C98"/>
    <w:rsid w:val="00701BF5"/>
    <w:rsid w:val="00713463"/>
    <w:rsid w:val="00722161"/>
    <w:rsid w:val="00731C9E"/>
    <w:rsid w:val="007424BE"/>
    <w:rsid w:val="00750F05"/>
    <w:rsid w:val="00754C11"/>
    <w:rsid w:val="00784AAE"/>
    <w:rsid w:val="00784E16"/>
    <w:rsid w:val="00785255"/>
    <w:rsid w:val="00790258"/>
    <w:rsid w:val="00797AD6"/>
    <w:rsid w:val="007A4656"/>
    <w:rsid w:val="007A7C4C"/>
    <w:rsid w:val="007B47E5"/>
    <w:rsid w:val="007B4B5C"/>
    <w:rsid w:val="007F351A"/>
    <w:rsid w:val="0080487C"/>
    <w:rsid w:val="008128D3"/>
    <w:rsid w:val="00812D07"/>
    <w:rsid w:val="0081773C"/>
    <w:rsid w:val="00821B40"/>
    <w:rsid w:val="00821D9C"/>
    <w:rsid w:val="008224A6"/>
    <w:rsid w:val="00840411"/>
    <w:rsid w:val="00841640"/>
    <w:rsid w:val="00850253"/>
    <w:rsid w:val="008507C6"/>
    <w:rsid w:val="00852336"/>
    <w:rsid w:val="0085364B"/>
    <w:rsid w:val="00857FF5"/>
    <w:rsid w:val="008608B9"/>
    <w:rsid w:val="00862259"/>
    <w:rsid w:val="00872C12"/>
    <w:rsid w:val="0087570A"/>
    <w:rsid w:val="00890EF4"/>
    <w:rsid w:val="0089283E"/>
    <w:rsid w:val="008A3FF6"/>
    <w:rsid w:val="008C6025"/>
    <w:rsid w:val="008D5C23"/>
    <w:rsid w:val="008D6DC4"/>
    <w:rsid w:val="008F2820"/>
    <w:rsid w:val="00901AAA"/>
    <w:rsid w:val="00904114"/>
    <w:rsid w:val="00904D21"/>
    <w:rsid w:val="00910F9E"/>
    <w:rsid w:val="00911099"/>
    <w:rsid w:val="0092215B"/>
    <w:rsid w:val="00923856"/>
    <w:rsid w:val="00951978"/>
    <w:rsid w:val="00954BCB"/>
    <w:rsid w:val="00955F0E"/>
    <w:rsid w:val="00956574"/>
    <w:rsid w:val="00963C6C"/>
    <w:rsid w:val="00970CDE"/>
    <w:rsid w:val="009762CC"/>
    <w:rsid w:val="009868EA"/>
    <w:rsid w:val="00986FAB"/>
    <w:rsid w:val="00990D2F"/>
    <w:rsid w:val="00993D9F"/>
    <w:rsid w:val="00997301"/>
    <w:rsid w:val="009C4AC2"/>
    <w:rsid w:val="009D4C66"/>
    <w:rsid w:val="009E139B"/>
    <w:rsid w:val="009F24D9"/>
    <w:rsid w:val="00A061E4"/>
    <w:rsid w:val="00A06BE9"/>
    <w:rsid w:val="00A14CD0"/>
    <w:rsid w:val="00A20B55"/>
    <w:rsid w:val="00A32AAB"/>
    <w:rsid w:val="00A346E9"/>
    <w:rsid w:val="00A43E27"/>
    <w:rsid w:val="00A50E5C"/>
    <w:rsid w:val="00A62994"/>
    <w:rsid w:val="00A63415"/>
    <w:rsid w:val="00A673A1"/>
    <w:rsid w:val="00A712A7"/>
    <w:rsid w:val="00A7466C"/>
    <w:rsid w:val="00A74815"/>
    <w:rsid w:val="00A7507B"/>
    <w:rsid w:val="00A86727"/>
    <w:rsid w:val="00AB5AD5"/>
    <w:rsid w:val="00AC244E"/>
    <w:rsid w:val="00AC2C9B"/>
    <w:rsid w:val="00AC4F50"/>
    <w:rsid w:val="00AD02D5"/>
    <w:rsid w:val="00AD7E2A"/>
    <w:rsid w:val="00AF1595"/>
    <w:rsid w:val="00AF49A0"/>
    <w:rsid w:val="00B025ED"/>
    <w:rsid w:val="00B043EC"/>
    <w:rsid w:val="00B15A9F"/>
    <w:rsid w:val="00B27AA6"/>
    <w:rsid w:val="00B3317B"/>
    <w:rsid w:val="00B553D7"/>
    <w:rsid w:val="00B612C0"/>
    <w:rsid w:val="00B73952"/>
    <w:rsid w:val="00B80AD8"/>
    <w:rsid w:val="00B8427F"/>
    <w:rsid w:val="00B86920"/>
    <w:rsid w:val="00B943E0"/>
    <w:rsid w:val="00BA419E"/>
    <w:rsid w:val="00BA523C"/>
    <w:rsid w:val="00BB0498"/>
    <w:rsid w:val="00BB0ABF"/>
    <w:rsid w:val="00BC1035"/>
    <w:rsid w:val="00BC545B"/>
    <w:rsid w:val="00BC5F25"/>
    <w:rsid w:val="00BC7592"/>
    <w:rsid w:val="00BD0F1E"/>
    <w:rsid w:val="00BD3E17"/>
    <w:rsid w:val="00BD751C"/>
    <w:rsid w:val="00BE7A65"/>
    <w:rsid w:val="00C0177B"/>
    <w:rsid w:val="00C0278A"/>
    <w:rsid w:val="00C207A0"/>
    <w:rsid w:val="00C25839"/>
    <w:rsid w:val="00C2655E"/>
    <w:rsid w:val="00C42B26"/>
    <w:rsid w:val="00C45925"/>
    <w:rsid w:val="00C535A2"/>
    <w:rsid w:val="00C56A4F"/>
    <w:rsid w:val="00C8199C"/>
    <w:rsid w:val="00C837AA"/>
    <w:rsid w:val="00C84862"/>
    <w:rsid w:val="00C9150C"/>
    <w:rsid w:val="00CB5AD2"/>
    <w:rsid w:val="00CE1CDB"/>
    <w:rsid w:val="00CF0754"/>
    <w:rsid w:val="00CF46D3"/>
    <w:rsid w:val="00D022CC"/>
    <w:rsid w:val="00D12F19"/>
    <w:rsid w:val="00D81ADD"/>
    <w:rsid w:val="00D824CE"/>
    <w:rsid w:val="00D82C11"/>
    <w:rsid w:val="00D84650"/>
    <w:rsid w:val="00D9248D"/>
    <w:rsid w:val="00DB351F"/>
    <w:rsid w:val="00DB3890"/>
    <w:rsid w:val="00DC70E6"/>
    <w:rsid w:val="00DD2B85"/>
    <w:rsid w:val="00DD4BE3"/>
    <w:rsid w:val="00DE13BC"/>
    <w:rsid w:val="00DE3896"/>
    <w:rsid w:val="00DF2916"/>
    <w:rsid w:val="00E10146"/>
    <w:rsid w:val="00E15D6B"/>
    <w:rsid w:val="00E322B1"/>
    <w:rsid w:val="00E422FF"/>
    <w:rsid w:val="00E47732"/>
    <w:rsid w:val="00E54473"/>
    <w:rsid w:val="00E60F37"/>
    <w:rsid w:val="00E66C4B"/>
    <w:rsid w:val="00E737E4"/>
    <w:rsid w:val="00E743D1"/>
    <w:rsid w:val="00E77827"/>
    <w:rsid w:val="00E8011B"/>
    <w:rsid w:val="00E80D11"/>
    <w:rsid w:val="00E83413"/>
    <w:rsid w:val="00E83614"/>
    <w:rsid w:val="00EB16AA"/>
    <w:rsid w:val="00EC1EC1"/>
    <w:rsid w:val="00EC3B06"/>
    <w:rsid w:val="00EC7990"/>
    <w:rsid w:val="00ED53CB"/>
    <w:rsid w:val="00EE2621"/>
    <w:rsid w:val="00EF1C22"/>
    <w:rsid w:val="00F1104D"/>
    <w:rsid w:val="00F17777"/>
    <w:rsid w:val="00F226EA"/>
    <w:rsid w:val="00F23003"/>
    <w:rsid w:val="00F43D92"/>
    <w:rsid w:val="00F52210"/>
    <w:rsid w:val="00F52802"/>
    <w:rsid w:val="00F529F8"/>
    <w:rsid w:val="00F5445E"/>
    <w:rsid w:val="00F565C7"/>
    <w:rsid w:val="00F64E62"/>
    <w:rsid w:val="00F66928"/>
    <w:rsid w:val="00F6775F"/>
    <w:rsid w:val="00F7060B"/>
    <w:rsid w:val="00F74D28"/>
    <w:rsid w:val="00F77022"/>
    <w:rsid w:val="00F911E0"/>
    <w:rsid w:val="00F91254"/>
    <w:rsid w:val="00F96020"/>
    <w:rsid w:val="00FA2EAA"/>
    <w:rsid w:val="00FA546F"/>
    <w:rsid w:val="00FA560E"/>
    <w:rsid w:val="00FA79EC"/>
    <w:rsid w:val="00FB04D2"/>
    <w:rsid w:val="00FB707F"/>
    <w:rsid w:val="00FC1614"/>
    <w:rsid w:val="00FC1BC9"/>
    <w:rsid w:val="00FC1F8D"/>
    <w:rsid w:val="00FD6A03"/>
    <w:rsid w:val="00FE486B"/>
    <w:rsid w:val="00FE5219"/>
    <w:rsid w:val="00FE682F"/>
    <w:rsid w:val="00FF38B9"/>
    <w:rsid w:val="04793ADF"/>
    <w:rsid w:val="0EAD5B7A"/>
    <w:rsid w:val="143F77D0"/>
    <w:rsid w:val="23111387"/>
    <w:rsid w:val="23ED42C5"/>
    <w:rsid w:val="2AC15CC8"/>
    <w:rsid w:val="2BA904D0"/>
    <w:rsid w:val="35E47CAF"/>
    <w:rsid w:val="40E90BA3"/>
    <w:rsid w:val="488B2A23"/>
    <w:rsid w:val="4ACD148A"/>
    <w:rsid w:val="611C7BED"/>
    <w:rsid w:val="627552A8"/>
    <w:rsid w:val="650B76EF"/>
    <w:rsid w:val="680F6864"/>
    <w:rsid w:val="6C8A4E71"/>
    <w:rsid w:val="6EAD4857"/>
    <w:rsid w:val="730F7BD2"/>
    <w:rsid w:val="7D8359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2"/>
    <w:semiHidden/>
    <w:unhideWhenUsed/>
    <w:qFormat/>
    <w:uiPriority w:val="99"/>
    <w:pPr>
      <w:jc w:val="left"/>
    </w:pPr>
  </w:style>
  <w:style w:type="paragraph" w:styleId="4">
    <w:name w:val="Balloon Text"/>
    <w:basedOn w:val="1"/>
    <w:link w:val="21"/>
    <w:semiHidden/>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footnote text"/>
    <w:basedOn w:val="1"/>
    <w:semiHidden/>
    <w:unhideWhenUsed/>
    <w:uiPriority w:val="99"/>
    <w:pPr>
      <w:snapToGrid w:val="0"/>
      <w:jc w:val="left"/>
    </w:pPr>
    <w:rPr>
      <w:sz w:val="18"/>
    </w:rPr>
  </w:style>
  <w:style w:type="paragraph" w:styleId="9">
    <w:name w:val="toc 2"/>
    <w:basedOn w:val="1"/>
    <w:next w:val="1"/>
    <w:unhideWhenUsed/>
    <w:qFormat/>
    <w:uiPriority w:val="39"/>
    <w:pPr>
      <w:ind w:left="420" w:leftChars="200"/>
    </w:pPr>
  </w:style>
  <w:style w:type="paragraph" w:styleId="10">
    <w:name w:val="annotation subject"/>
    <w:basedOn w:val="3"/>
    <w:next w:val="3"/>
    <w:link w:val="23"/>
    <w:semiHidden/>
    <w:unhideWhenUsed/>
    <w:qFormat/>
    <w:uiPriority w:val="99"/>
    <w:rPr>
      <w:b/>
      <w:bCs/>
    </w:rPr>
  </w:style>
  <w:style w:type="table" w:styleId="12">
    <w:name w:val="Table Grid"/>
    <w:basedOn w:val="11"/>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character" w:styleId="15">
    <w:name w:val="annotation reference"/>
    <w:basedOn w:val="13"/>
    <w:semiHidden/>
    <w:unhideWhenUsed/>
    <w:qFormat/>
    <w:uiPriority w:val="99"/>
    <w:rPr>
      <w:sz w:val="21"/>
      <w:szCs w:val="21"/>
    </w:rPr>
  </w:style>
  <w:style w:type="character" w:styleId="16">
    <w:name w:val="footnote reference"/>
    <w:basedOn w:val="13"/>
    <w:semiHidden/>
    <w:unhideWhenUsed/>
    <w:uiPriority w:val="99"/>
    <w:rPr>
      <w:vertAlign w:val="superscript"/>
    </w:rPr>
  </w:style>
  <w:style w:type="character" w:customStyle="1" w:styleId="17">
    <w:name w:val="页眉 字符"/>
    <w:basedOn w:val="13"/>
    <w:link w:val="6"/>
    <w:qFormat/>
    <w:uiPriority w:val="99"/>
    <w:rPr>
      <w:sz w:val="18"/>
      <w:szCs w:val="18"/>
    </w:rPr>
  </w:style>
  <w:style w:type="character" w:customStyle="1" w:styleId="18">
    <w:name w:val="页脚 字符"/>
    <w:basedOn w:val="13"/>
    <w:link w:val="5"/>
    <w:qFormat/>
    <w:uiPriority w:val="99"/>
    <w:rPr>
      <w:sz w:val="18"/>
      <w:szCs w:val="18"/>
    </w:rPr>
  </w:style>
  <w:style w:type="character" w:customStyle="1" w:styleId="19">
    <w:name w:val="标题 1 字符"/>
    <w:basedOn w:val="13"/>
    <w:link w:val="2"/>
    <w:qFormat/>
    <w:uiPriority w:val="9"/>
    <w:rPr>
      <w:rFonts w:ascii="Times New Roman" w:hAnsi="Times New Roman" w:eastAsia="宋体" w:cs="Times New Roman"/>
      <w:b/>
      <w:bCs/>
      <w:kern w:val="44"/>
      <w:sz w:val="44"/>
      <w:szCs w:val="44"/>
    </w:rPr>
  </w:style>
  <w:style w:type="paragraph" w:styleId="20">
    <w:name w:val="List Paragraph"/>
    <w:basedOn w:val="1"/>
    <w:qFormat/>
    <w:uiPriority w:val="34"/>
    <w:pPr>
      <w:ind w:firstLine="420" w:firstLineChars="200"/>
    </w:pPr>
  </w:style>
  <w:style w:type="character" w:customStyle="1" w:styleId="21">
    <w:name w:val="批注框文本 字符"/>
    <w:basedOn w:val="13"/>
    <w:link w:val="4"/>
    <w:semiHidden/>
    <w:qFormat/>
    <w:uiPriority w:val="99"/>
    <w:rPr>
      <w:rFonts w:ascii="Times New Roman" w:hAnsi="Times New Roman" w:eastAsia="宋体" w:cs="Times New Roman"/>
      <w:sz w:val="18"/>
      <w:szCs w:val="18"/>
    </w:rPr>
  </w:style>
  <w:style w:type="character" w:customStyle="1" w:styleId="22">
    <w:name w:val="批注文字 字符"/>
    <w:basedOn w:val="13"/>
    <w:link w:val="3"/>
    <w:semiHidden/>
    <w:uiPriority w:val="99"/>
    <w:rPr>
      <w:rFonts w:ascii="Times New Roman" w:hAnsi="Times New Roman" w:eastAsia="宋体" w:cs="Times New Roman"/>
      <w:szCs w:val="24"/>
    </w:rPr>
  </w:style>
  <w:style w:type="character" w:customStyle="1" w:styleId="23">
    <w:name w:val="批注主题 字符"/>
    <w:basedOn w:val="22"/>
    <w:link w:val="10"/>
    <w:semiHidden/>
    <w:qFormat/>
    <w:uiPriority w:val="99"/>
    <w:rPr>
      <w:rFonts w:ascii="Times New Roman" w:hAnsi="Times New Roman" w:eastAsia="宋体" w:cs="Times New Roman"/>
      <w:b/>
      <w:bCs/>
      <w:szCs w:val="24"/>
    </w:rPr>
  </w:style>
  <w:style w:type="paragraph" w:customStyle="1" w:styleId="24">
    <w:name w:val="修订1"/>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389</Words>
  <Characters>2223</Characters>
  <Lines>18</Lines>
  <Paragraphs>5</Paragraphs>
  <TotalTime>18</TotalTime>
  <ScaleCrop>false</ScaleCrop>
  <LinksUpToDate>false</LinksUpToDate>
  <CharactersWithSpaces>2607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2021-04-22T02:04:00Z</dcterms:created>
  <dc:creator>Administrator</dc:creator>
  <cp:lastModifiedBy>xay</cp:lastModifiedBy>
  <dcterms:modified xsi:type="dcterms:W3CDTF">2021-09-08T09:46:00Z</dcterms:modified>
  <cp:revision>386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922387A1AB5D40D897C6D266AC602102</vt:lpwstr>
  </property>
</Properties>
</file>