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296" w:rightChars="-141"/>
        <w:jc w:val="left"/>
        <w:rPr>
          <w:rFonts w:hint="eastAsia" w:ascii="仿宋_GB2312" w:eastAsia="仿宋_GB2312"/>
          <w:sz w:val="32"/>
          <w:szCs w:val="32"/>
        </w:rPr>
      </w:pPr>
      <w:bookmarkStart w:id="582" w:name="_GoBack"/>
      <w:bookmarkEnd w:id="582"/>
    </w:p>
    <w:p>
      <w:pPr>
        <w:spacing w:line="500" w:lineRule="exact"/>
        <w:ind w:right="-296" w:rightChars="-141"/>
        <w:jc w:val="left"/>
        <w:rPr>
          <w:rFonts w:hint="eastAsia" w:ascii="仿宋_GB2312" w:eastAsia="仿宋_GB2312"/>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52"/>
          <w:szCs w:val="52"/>
        </w:rPr>
      </w:pPr>
    </w:p>
    <w:p>
      <w:pPr>
        <w:jc w:val="center"/>
        <w:rPr>
          <w:rFonts w:hint="eastAsia"/>
          <w:b/>
          <w:sz w:val="72"/>
          <w:szCs w:val="72"/>
        </w:rPr>
      </w:pPr>
      <w:r>
        <w:rPr>
          <w:rFonts w:hint="eastAsia"/>
          <w:b/>
          <w:sz w:val="52"/>
          <w:szCs w:val="52"/>
        </w:rPr>
        <w:t>中山市绿色建筑</w:t>
      </w:r>
      <w:r>
        <w:rPr>
          <w:rFonts w:hint="eastAsia"/>
          <w:b/>
          <w:sz w:val="52"/>
          <w:szCs w:val="52"/>
          <w:lang w:val="en-US" w:eastAsia="zh-CN"/>
        </w:rPr>
        <w:t>设计</w:t>
      </w:r>
      <w:r>
        <w:rPr>
          <w:rFonts w:hint="eastAsia"/>
          <w:b/>
          <w:sz w:val="52"/>
          <w:szCs w:val="52"/>
        </w:rPr>
        <w:t>指南</w:t>
      </w:r>
      <w:r>
        <w:rPr>
          <w:rFonts w:hint="eastAsia"/>
          <w:b/>
          <w:sz w:val="32"/>
          <w:szCs w:val="32"/>
          <w:lang w:val="en-US" w:eastAsia="zh-CN"/>
        </w:rPr>
        <w:t>（</w:t>
      </w:r>
      <w:r>
        <w:rPr>
          <w:rFonts w:hint="eastAsia" w:eastAsia="Times New Roman"/>
          <w:b/>
          <w:sz w:val="32"/>
          <w:szCs w:val="32"/>
          <w:lang w:val="en-US" w:eastAsia="zh-CN"/>
        </w:rPr>
        <w:t>2021</w:t>
      </w:r>
      <w:r>
        <w:rPr>
          <w:rFonts w:hint="eastAsia"/>
          <w:b/>
          <w:sz w:val="32"/>
          <w:szCs w:val="32"/>
          <w:lang w:val="en-US" w:eastAsia="zh-CN"/>
        </w:rPr>
        <w:t>版）</w:t>
      </w:r>
    </w:p>
    <w:p>
      <w:pPr>
        <w:jc w:val="center"/>
        <w:rPr>
          <w:rFonts w:hint="eastAsia"/>
          <w:b/>
          <w:sz w:val="32"/>
          <w:szCs w:val="32"/>
          <w:lang w:val="en-US" w:eastAsia="zh-CN"/>
        </w:rPr>
      </w:pPr>
      <w:r>
        <w:rPr>
          <w:rFonts w:hint="eastAsia"/>
          <w:b/>
          <w:sz w:val="52"/>
          <w:szCs w:val="52"/>
          <w:lang w:val="en-US" w:eastAsia="zh-CN"/>
        </w:rPr>
        <w:t>中山</w:t>
      </w:r>
      <w:r>
        <w:rPr>
          <w:rFonts w:hint="eastAsia"/>
          <w:b/>
          <w:sz w:val="52"/>
          <w:szCs w:val="52"/>
          <w:lang w:val="en-US" w:eastAsia="zh-CN"/>
        </w:rPr>
        <w:t>市装配式建筑设计指南</w:t>
      </w:r>
      <w:r>
        <w:rPr>
          <w:rFonts w:hint="eastAsia"/>
          <w:b/>
          <w:sz w:val="32"/>
          <w:szCs w:val="32"/>
          <w:lang w:val="en-US" w:eastAsia="zh-CN"/>
        </w:rPr>
        <w:t>（</w:t>
      </w:r>
      <w:r>
        <w:rPr>
          <w:rFonts w:hint="eastAsia" w:eastAsia="Times New Roman"/>
          <w:b/>
          <w:sz w:val="32"/>
          <w:szCs w:val="32"/>
          <w:lang w:val="en-US" w:eastAsia="zh-CN"/>
        </w:rPr>
        <w:t>2021</w:t>
      </w:r>
      <w:r>
        <w:rPr>
          <w:rFonts w:hint="eastAsia"/>
          <w:b/>
          <w:sz w:val="32"/>
          <w:szCs w:val="32"/>
          <w:lang w:val="en-US" w:eastAsia="zh-CN"/>
        </w:rPr>
        <w:t>版）</w:t>
      </w:r>
    </w:p>
    <w:p>
      <w:pPr>
        <w:jc w:val="center"/>
        <w:rPr>
          <w:rFonts w:hint="default"/>
          <w:b/>
          <w:sz w:val="32"/>
          <w:szCs w:val="32"/>
          <w:lang w:val="en-US" w:eastAsia="zh-CN"/>
        </w:rPr>
      </w:pPr>
      <w:r>
        <w:rPr>
          <w:rFonts w:hint="eastAsia"/>
          <w:b/>
          <w:sz w:val="32"/>
          <w:szCs w:val="32"/>
          <w:lang w:val="en-US" w:eastAsia="zh-CN"/>
        </w:rPr>
        <w:t>（合订）</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rPr>
          <w:rFonts w:hint="eastAsia"/>
          <w:b/>
          <w:sz w:val="32"/>
          <w:szCs w:val="32"/>
        </w:rPr>
      </w:pPr>
    </w:p>
    <w:p>
      <w:pPr>
        <w:jc w:val="center"/>
        <w:rPr>
          <w:rFonts w:hint="eastAsia"/>
          <w:b/>
          <w:sz w:val="44"/>
          <w:szCs w:val="44"/>
        </w:rPr>
      </w:pPr>
      <w:r>
        <w:rPr>
          <w:rFonts w:hint="eastAsia"/>
          <w:b/>
          <w:sz w:val="44"/>
          <w:szCs w:val="44"/>
        </w:rPr>
        <w:t>中山市住房和城乡建设局</w:t>
      </w:r>
    </w:p>
    <w:p>
      <w:pPr>
        <w:jc w:val="center"/>
        <w:rPr>
          <w:rFonts w:hint="eastAsia" w:ascii="宋体" w:hAnsi="宋体" w:cs="宋体"/>
          <w:b/>
          <w:sz w:val="32"/>
          <w:szCs w:val="32"/>
        </w:rPr>
      </w:pPr>
      <w:r>
        <w:rPr>
          <w:rFonts w:hint="eastAsia" w:ascii="宋体" w:hAnsi="宋体" w:eastAsia="Times New Roman" w:cs="宋体"/>
          <w:b/>
          <w:sz w:val="32"/>
          <w:szCs w:val="32"/>
        </w:rPr>
        <w:t>20</w:t>
      </w:r>
      <w:r>
        <w:rPr>
          <w:rFonts w:hint="eastAsia" w:ascii="宋体" w:hAnsi="宋体" w:eastAsia="Times New Roman" w:cs="宋体"/>
          <w:b/>
          <w:sz w:val="32"/>
          <w:szCs w:val="32"/>
          <w:lang w:val="en-US" w:eastAsia="zh-CN"/>
        </w:rPr>
        <w:t>2</w:t>
      </w:r>
      <w:r>
        <w:rPr>
          <w:rFonts w:hint="eastAsia" w:ascii="宋体" w:hAnsi="宋体" w:eastAsia="Times New Roman"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5</w:t>
      </w:r>
      <w:r>
        <w:rPr>
          <w:rFonts w:hint="eastAsia" w:ascii="宋体" w:hAnsi="宋体" w:cs="宋体"/>
          <w:b/>
          <w:sz w:val="32"/>
          <w:szCs w:val="32"/>
        </w:rPr>
        <w:t>月</w:t>
      </w:r>
    </w:p>
    <w:p>
      <w:pPr>
        <w:sectPr>
          <w:footerReference r:id="rId3" w:type="default"/>
          <w:footerReference r:id="rId4" w:type="even"/>
          <w:pgSz w:w="11906" w:h="16838"/>
          <w:pgMar w:top="1134" w:right="1134" w:bottom="1134" w:left="1554"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before="340" w:after="330" w:line="30" w:lineRule="exact"/>
        <w:jc w:val="center"/>
        <w:textAlignment w:val="auto"/>
        <w:rPr>
          <w:rFonts w:hint="eastAsia" w:ascii="宋体" w:hAnsi="宋体" w:cs="宋体"/>
          <w:b/>
          <w:bCs/>
          <w:sz w:val="32"/>
          <w:szCs w:val="32"/>
        </w:rPr>
      </w:pPr>
      <w:r>
        <w:rPr>
          <w:rFonts w:hint="eastAsia" w:ascii="宋体" w:hAnsi="宋体" w:cs="宋体"/>
          <w:b/>
          <w:bCs/>
          <w:sz w:val="32"/>
          <w:szCs w:val="32"/>
          <w:lang w:eastAsia="zh-CN"/>
        </w:rPr>
        <w:t>前</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jc w:val="left"/>
        <w:textAlignment w:val="auto"/>
        <w:outlineLvl w:val="9"/>
        <w:rPr>
          <w:rFonts w:hint="eastAsia" w:ascii="宋体" w:hAnsi="宋体" w:cs="宋体"/>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s="宋体"/>
          <w:bCs/>
          <w:sz w:val="28"/>
          <w:szCs w:val="28"/>
          <w:lang w:eastAsia="zh-CN"/>
        </w:rPr>
      </w:pPr>
      <w:r>
        <w:rPr>
          <w:rFonts w:hint="eastAsia" w:ascii="宋体" w:hAnsi="宋体" w:cs="宋体"/>
          <w:b w:val="0"/>
          <w:bCs w:val="0"/>
          <w:sz w:val="28"/>
          <w:szCs w:val="28"/>
          <w:lang w:val="en-US" w:eastAsia="zh-CN"/>
        </w:rPr>
        <w:t>根据</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&lt;</w:t>
      </w:r>
      <w:r>
        <w:rPr>
          <w:rFonts w:hint="eastAsia" w:ascii="宋体" w:hAnsi="宋体" w:cs="宋体"/>
          <w:b w:val="0"/>
          <w:bCs w:val="0"/>
          <w:color w:val="auto"/>
          <w:sz w:val="28"/>
          <w:szCs w:val="28"/>
          <w:lang w:eastAsia="zh-CN"/>
        </w:rPr>
        <w:t>中山市</w:t>
      </w:r>
      <w:r>
        <w:rPr>
          <w:rFonts w:hint="eastAsia" w:ascii="宋体" w:hAnsi="宋体" w:cs="宋体"/>
          <w:b w:val="0"/>
          <w:bCs w:val="0"/>
          <w:color w:val="auto"/>
          <w:sz w:val="28"/>
          <w:szCs w:val="28"/>
          <w:lang w:val="en-US" w:eastAsia="zh-CN"/>
        </w:rPr>
        <w:t>绿色建筑及装配式建筑设计指南&gt;编制委托协议》(No:</w:t>
      </w:r>
      <w:r>
        <w:rPr>
          <w:rFonts w:hint="eastAsia" w:ascii="宋体" w:hAnsi="宋体" w:eastAsia="Times New Roman" w:cs="宋体"/>
          <w:b w:val="0"/>
          <w:bCs w:val="0"/>
          <w:color w:val="auto"/>
          <w:sz w:val="28"/>
          <w:szCs w:val="28"/>
          <w:lang w:val="en-US" w:eastAsia="zh-CN"/>
        </w:rPr>
        <w:t>20200828</w:t>
      </w:r>
      <w:r>
        <w:rPr>
          <w:rFonts w:hint="eastAsia" w:ascii="宋体" w:hAnsi="宋体" w:cs="宋体"/>
          <w:b w:val="0"/>
          <w:bCs w:val="0"/>
          <w:color w:val="auto"/>
          <w:sz w:val="28"/>
          <w:szCs w:val="28"/>
          <w:lang w:val="en-US" w:eastAsia="zh-CN"/>
        </w:rPr>
        <w:t>)的要求,</w:t>
      </w:r>
      <w:r>
        <w:rPr>
          <w:sz w:val="28"/>
          <w:szCs w:val="28"/>
        </w:rPr>
        <w:t>编制组以国家标准《绿色建筑评价标准》GB/T</w:t>
      </w:r>
      <w:r>
        <w:rPr>
          <w:rFonts w:hint="eastAsia"/>
          <w:sz w:val="28"/>
          <w:szCs w:val="28"/>
          <w:lang w:val="en-US" w:eastAsia="zh-CN"/>
        </w:rPr>
        <w:t xml:space="preserve"> </w:t>
      </w:r>
      <w:r>
        <w:rPr>
          <w:rFonts w:eastAsia="Times New Roman"/>
          <w:sz w:val="28"/>
          <w:szCs w:val="28"/>
        </w:rPr>
        <w:t>50378</w:t>
      </w:r>
      <w:r>
        <w:rPr>
          <w:sz w:val="28"/>
          <w:szCs w:val="28"/>
        </w:rPr>
        <w:t>-</w:t>
      </w:r>
      <w:r>
        <w:rPr>
          <w:rFonts w:eastAsia="Times New Roman"/>
          <w:sz w:val="28"/>
          <w:szCs w:val="28"/>
        </w:rPr>
        <w:t>2019</w:t>
      </w:r>
      <w:r>
        <w:rPr>
          <w:sz w:val="28"/>
          <w:szCs w:val="28"/>
        </w:rPr>
        <w:t>和广东省标准《</w:t>
      </w:r>
      <w:r>
        <w:rPr>
          <w:rFonts w:hint="eastAsia"/>
          <w:sz w:val="28"/>
          <w:szCs w:val="28"/>
          <w:lang w:val="en-US" w:eastAsia="zh-CN"/>
        </w:rPr>
        <w:t>装配式建筑评价标准</w:t>
      </w:r>
      <w:r>
        <w:rPr>
          <w:sz w:val="28"/>
          <w:szCs w:val="28"/>
        </w:rPr>
        <w:t xml:space="preserve">》DBJ/T </w:t>
      </w:r>
      <w:r>
        <w:rPr>
          <w:rFonts w:eastAsia="Times New Roman"/>
          <w:sz w:val="28"/>
          <w:szCs w:val="28"/>
        </w:rPr>
        <w:t>15</w:t>
      </w:r>
      <w:r>
        <w:rPr>
          <w:sz w:val="28"/>
          <w:szCs w:val="28"/>
        </w:rPr>
        <w:t>-</w:t>
      </w:r>
      <w:r>
        <w:rPr>
          <w:rFonts w:hint="eastAsia" w:eastAsia="Times New Roman"/>
          <w:sz w:val="28"/>
          <w:szCs w:val="28"/>
          <w:lang w:val="en-US" w:eastAsia="zh-CN"/>
        </w:rPr>
        <w:t>163</w:t>
      </w:r>
      <w:r>
        <w:rPr>
          <w:rFonts w:hint="eastAsia"/>
          <w:sz w:val="28"/>
          <w:szCs w:val="28"/>
          <w:lang w:val="en-US" w:eastAsia="zh-CN"/>
        </w:rPr>
        <w:t>-</w:t>
      </w:r>
      <w:r>
        <w:rPr>
          <w:rFonts w:hint="eastAsia" w:eastAsia="Times New Roman"/>
          <w:sz w:val="28"/>
          <w:szCs w:val="28"/>
          <w:lang w:val="en-US" w:eastAsia="zh-CN"/>
        </w:rPr>
        <w:t>2019</w:t>
      </w:r>
      <w:r>
        <w:rPr>
          <w:sz w:val="28"/>
          <w:szCs w:val="28"/>
        </w:rPr>
        <w:t>为基础，</w:t>
      </w:r>
      <w:r>
        <w:rPr>
          <w:rFonts w:hint="eastAsia"/>
          <w:sz w:val="28"/>
          <w:szCs w:val="28"/>
          <w:lang w:eastAsia="zh-CN"/>
        </w:rPr>
        <w:t>总结了</w:t>
      </w:r>
      <w:r>
        <w:rPr>
          <w:rFonts w:hint="eastAsia" w:ascii="宋体" w:hAnsi="宋体" w:cs="宋体"/>
          <w:b w:val="0"/>
          <w:bCs w:val="0"/>
          <w:color w:val="auto"/>
          <w:sz w:val="28"/>
          <w:szCs w:val="28"/>
          <w:lang w:val="en-US" w:eastAsia="zh-CN"/>
        </w:rPr>
        <w:t>《</w:t>
      </w:r>
      <w:r>
        <w:rPr>
          <w:rFonts w:hint="eastAsia" w:ascii="宋体" w:hAnsi="宋体" w:cs="宋体"/>
          <w:b w:val="0"/>
          <w:bCs w:val="0"/>
          <w:color w:val="auto"/>
          <w:sz w:val="28"/>
          <w:szCs w:val="28"/>
          <w:lang w:eastAsia="zh-CN"/>
        </w:rPr>
        <w:t>中山市</w:t>
      </w:r>
      <w:r>
        <w:rPr>
          <w:rFonts w:hint="eastAsia" w:ascii="宋体" w:hAnsi="宋体" w:cs="宋体"/>
          <w:b w:val="0"/>
          <w:bCs w:val="0"/>
          <w:color w:val="auto"/>
          <w:sz w:val="28"/>
          <w:szCs w:val="28"/>
          <w:lang w:val="en-US" w:eastAsia="zh-CN"/>
        </w:rPr>
        <w:t>绿色建筑设计指南》（</w:t>
      </w:r>
      <w:r>
        <w:rPr>
          <w:rFonts w:hint="eastAsia" w:ascii="宋体" w:hAnsi="宋体" w:eastAsia="Times New Roman" w:cs="宋体"/>
          <w:b w:val="0"/>
          <w:bCs w:val="0"/>
          <w:color w:val="auto"/>
          <w:sz w:val="28"/>
          <w:szCs w:val="28"/>
          <w:lang w:val="en-US" w:eastAsia="zh-CN"/>
        </w:rPr>
        <w:t>2017</w:t>
      </w:r>
      <w:r>
        <w:rPr>
          <w:rFonts w:hint="eastAsia" w:ascii="宋体" w:hAnsi="宋体" w:cs="宋体"/>
          <w:b w:val="0"/>
          <w:bCs w:val="0"/>
          <w:color w:val="auto"/>
          <w:sz w:val="28"/>
          <w:szCs w:val="28"/>
          <w:lang w:val="en-US" w:eastAsia="zh-CN"/>
        </w:rPr>
        <w:t>版）</w:t>
      </w:r>
      <w:r>
        <w:rPr>
          <w:rFonts w:hint="eastAsia"/>
          <w:sz w:val="28"/>
          <w:szCs w:val="28"/>
          <w:lang w:eastAsia="zh-CN"/>
        </w:rPr>
        <w:t>的实施情况和实践经验，</w:t>
      </w:r>
      <w:r>
        <w:rPr>
          <w:sz w:val="28"/>
          <w:szCs w:val="28"/>
        </w:rPr>
        <w:t>借鉴国内、国际先进经验，并在广泛征求意见的基础上对具体内容进行了反复讨论、协调和修改，最后经审查定稿。</w:t>
      </w:r>
    </w:p>
    <w:p>
      <w:pPr>
        <w:spacing w:line="360" w:lineRule="auto"/>
        <w:ind w:firstLine="560" w:firstLineChars="200"/>
        <w:jc w:val="left"/>
        <w:outlineLvl w:val="0"/>
        <w:rPr>
          <w:rFonts w:hint="eastAsia" w:ascii="宋体" w:hAnsi="宋体" w:cs="宋体"/>
          <w:b w:val="0"/>
          <w:bCs/>
          <w:sz w:val="28"/>
          <w:szCs w:val="28"/>
          <w:lang w:val="en-US" w:eastAsia="zh-CN"/>
        </w:rPr>
      </w:pPr>
      <w:bookmarkStart w:id="0" w:name="_Toc20746"/>
      <w:bookmarkStart w:id="1" w:name="_Toc7532"/>
      <w:bookmarkStart w:id="2" w:name="_Toc6829"/>
      <w:bookmarkStart w:id="3" w:name="_Toc3041"/>
      <w:bookmarkStart w:id="4" w:name="_Toc5831"/>
      <w:bookmarkStart w:id="5" w:name="_Toc23672"/>
      <w:bookmarkStart w:id="6" w:name="_Toc12890"/>
      <w:bookmarkStart w:id="7" w:name="_Toc27817"/>
      <w:bookmarkStart w:id="8" w:name="_Toc18740"/>
      <w:bookmarkStart w:id="9" w:name="_Toc27981"/>
      <w:bookmarkStart w:id="10" w:name="_Toc11088"/>
      <w:bookmarkStart w:id="11" w:name="_Toc31571"/>
      <w:bookmarkStart w:id="12" w:name="_Toc10906"/>
      <w:bookmarkStart w:id="13" w:name="_Toc11496"/>
      <w:bookmarkStart w:id="14" w:name="_Toc425"/>
      <w:bookmarkStart w:id="15" w:name="_Toc5458"/>
      <w:bookmarkStart w:id="16" w:name="_Toc24144"/>
      <w:r>
        <w:rPr>
          <w:rFonts w:hint="eastAsia" w:ascii="宋体" w:hAnsi="宋体" w:cs="宋体"/>
          <w:b w:val="0"/>
          <w:bCs w:val="0"/>
          <w:color w:val="auto"/>
          <w:sz w:val="28"/>
          <w:szCs w:val="28"/>
          <w:lang w:val="en-US" w:eastAsia="zh-CN"/>
        </w:rPr>
        <w:t>本指南由《中山市绿色建筑设计指南（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版）》和《中山市装配式建筑设计指南（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版）》两大部分组成，其中：《中山市绿色建筑设计指南（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版）》共分四章，主要内容有：总则、术语、基本规定、绿色建筑设计说明专篇；《中山市装配式建筑设计指南（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版）》共分六章，主要内容有：</w:t>
      </w:r>
      <w:r>
        <w:rPr>
          <w:rFonts w:hint="eastAsia" w:ascii="宋体" w:hAnsi="宋体" w:eastAsia="宋体" w:cs="宋体"/>
          <w:b w:val="0"/>
          <w:bCs/>
          <w:sz w:val="28"/>
          <w:szCs w:val="28"/>
          <w:lang w:val="en-US" w:eastAsia="zh-CN"/>
        </w:rPr>
        <w:t>总则</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术语</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一般规定</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装配式建筑设计说明专篇</w:t>
      </w:r>
      <w:r>
        <w:rPr>
          <w:rFonts w:hint="eastAsia" w:ascii="宋体" w:hAnsi="宋体" w:cs="宋体"/>
          <w:b w:val="0"/>
          <w:bCs/>
          <w:sz w:val="28"/>
          <w:szCs w:val="28"/>
          <w:lang w:val="en-US" w:eastAsia="zh-CN"/>
        </w:rPr>
        <w:t>、装配式建筑</w:t>
      </w:r>
      <w:r>
        <w:rPr>
          <w:rFonts w:hint="eastAsia" w:ascii="宋体" w:hAnsi="宋体" w:eastAsia="宋体" w:cs="宋体"/>
          <w:b w:val="0"/>
          <w:bCs/>
          <w:sz w:val="28"/>
          <w:szCs w:val="28"/>
          <w:lang w:val="en-US" w:eastAsia="zh-CN"/>
        </w:rPr>
        <w:t>设计阶段</w:t>
      </w:r>
      <w:r>
        <w:rPr>
          <w:rFonts w:hint="eastAsia" w:ascii="宋体" w:hAnsi="宋体" w:cs="宋体"/>
          <w:b w:val="0"/>
          <w:bCs/>
          <w:sz w:val="28"/>
          <w:szCs w:val="28"/>
          <w:lang w:val="en-US" w:eastAsia="zh-CN"/>
        </w:rPr>
        <w:t>评分审查</w:t>
      </w:r>
      <w:r>
        <w:rPr>
          <w:rFonts w:hint="eastAsia" w:ascii="宋体" w:hAnsi="宋体" w:eastAsia="宋体" w:cs="宋体"/>
          <w:b w:val="0"/>
          <w:bCs/>
          <w:sz w:val="28"/>
          <w:szCs w:val="28"/>
          <w:lang w:val="en-US" w:eastAsia="zh-CN"/>
        </w:rPr>
        <w:t>表</w:t>
      </w:r>
      <w:r>
        <w:rPr>
          <w:rFonts w:hint="eastAsia" w:ascii="宋体" w:hAnsi="宋体" w:cs="宋体"/>
          <w:b w:val="0"/>
          <w:bCs/>
          <w:sz w:val="28"/>
          <w:szCs w:val="28"/>
          <w:lang w:val="en-US" w:eastAsia="zh-CN"/>
        </w:rPr>
        <w:t>、装配式建筑</w:t>
      </w:r>
      <w:r>
        <w:rPr>
          <w:rFonts w:hint="eastAsia" w:ascii="宋体" w:hAnsi="宋体" w:eastAsia="宋体" w:cs="宋体"/>
          <w:b w:val="0"/>
          <w:bCs/>
          <w:sz w:val="28"/>
          <w:szCs w:val="28"/>
          <w:lang w:val="en-US" w:eastAsia="zh-CN"/>
        </w:rPr>
        <w:t>评分规则</w:t>
      </w:r>
      <w:r>
        <w:rPr>
          <w:rFonts w:hint="eastAsia" w:ascii="宋体" w:hAnsi="宋体" w:cs="宋体"/>
          <w:b w:val="0"/>
          <w:bCs/>
          <w:sz w:val="28"/>
          <w:szCs w:val="28"/>
          <w:lang w:val="en-US" w:eastAsia="zh-CN"/>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560" w:firstLineChars="200"/>
        <w:jc w:val="left"/>
        <w:outlineLvl w:val="0"/>
        <w:rPr>
          <w:rFonts w:hint="eastAsia" w:ascii="宋体" w:hAnsi="宋体" w:cs="宋体"/>
          <w:bCs/>
          <w:color w:val="auto"/>
          <w:sz w:val="28"/>
          <w:szCs w:val="28"/>
          <w:u w:val="none"/>
        </w:rPr>
      </w:pPr>
      <w:bookmarkStart w:id="17" w:name="_Toc9129"/>
      <w:bookmarkStart w:id="18" w:name="_Toc728"/>
      <w:bookmarkStart w:id="19" w:name="_Toc18350"/>
      <w:bookmarkStart w:id="20" w:name="_Toc27565"/>
      <w:bookmarkStart w:id="21" w:name="_Toc30513"/>
      <w:bookmarkStart w:id="22" w:name="_Toc18989"/>
      <w:bookmarkStart w:id="23" w:name="_Toc11333"/>
      <w:bookmarkStart w:id="24" w:name="_Toc9046"/>
      <w:bookmarkStart w:id="25" w:name="_Toc28934"/>
      <w:bookmarkStart w:id="26" w:name="_Toc19845"/>
      <w:bookmarkStart w:id="27" w:name="_Toc31363"/>
      <w:bookmarkStart w:id="28" w:name="_Toc24937"/>
      <w:bookmarkStart w:id="29" w:name="_Toc14182"/>
      <w:bookmarkStart w:id="30" w:name="_Toc17452"/>
      <w:bookmarkStart w:id="31" w:name="_Toc16166"/>
      <w:bookmarkStart w:id="32" w:name="_Toc16811"/>
      <w:bookmarkStart w:id="33" w:name="_Toc26517"/>
      <w:r>
        <w:rPr>
          <w:rFonts w:hint="eastAsia" w:ascii="宋体" w:hAnsi="宋体" w:cs="宋体"/>
          <w:sz w:val="28"/>
          <w:szCs w:val="28"/>
        </w:rPr>
        <w:t>本指南由</w:t>
      </w:r>
      <w:r>
        <w:rPr>
          <w:rFonts w:hint="eastAsia" w:ascii="宋体" w:hAnsi="宋体" w:cs="宋体"/>
          <w:sz w:val="28"/>
          <w:szCs w:val="28"/>
          <w:lang w:eastAsia="zh-CN"/>
        </w:rPr>
        <w:t>中山市住房和城乡建设局</w:t>
      </w:r>
      <w:r>
        <w:rPr>
          <w:rFonts w:hint="eastAsia" w:ascii="宋体" w:hAnsi="宋体" w:cs="宋体"/>
          <w:bCs/>
          <w:sz w:val="28"/>
          <w:szCs w:val="28"/>
        </w:rPr>
        <w:t>负责管理，</w:t>
      </w:r>
      <w:r>
        <w:rPr>
          <w:rFonts w:hint="eastAsia" w:ascii="宋体" w:hAnsi="宋体" w:cs="宋体"/>
          <w:bCs/>
          <w:sz w:val="28"/>
          <w:szCs w:val="28"/>
        </w:rPr>
        <w:t>中山市</w:t>
      </w:r>
      <w:r>
        <w:rPr>
          <w:rFonts w:hint="eastAsia" w:ascii="宋体" w:hAnsi="宋体" w:cs="宋体"/>
          <w:bCs/>
          <w:sz w:val="28"/>
          <w:szCs w:val="28"/>
          <w:lang w:eastAsia="zh-CN"/>
        </w:rPr>
        <w:t>土木建筑学会</w:t>
      </w:r>
      <w:r>
        <w:rPr>
          <w:rFonts w:hint="eastAsia" w:ascii="宋体" w:hAnsi="宋体" w:cs="宋体"/>
          <w:bCs/>
          <w:sz w:val="28"/>
          <w:szCs w:val="28"/>
        </w:rPr>
        <w:t>负责具体技术内容的解析。执行过程中如有意见和建议，请寄中山市</w:t>
      </w:r>
      <w:r>
        <w:rPr>
          <w:rFonts w:hint="eastAsia" w:ascii="宋体" w:hAnsi="宋体" w:cs="宋体"/>
          <w:bCs/>
          <w:sz w:val="28"/>
          <w:szCs w:val="28"/>
          <w:lang w:eastAsia="zh-CN"/>
        </w:rPr>
        <w:t>土木建筑学会</w:t>
      </w:r>
      <w:r>
        <w:rPr>
          <w:rFonts w:hint="eastAsia" w:ascii="宋体" w:hAnsi="宋体" w:cs="宋体"/>
          <w:bCs/>
          <w:sz w:val="28"/>
          <w:szCs w:val="28"/>
        </w:rPr>
        <w:t>（地址：中山市</w:t>
      </w:r>
      <w:r>
        <w:rPr>
          <w:rFonts w:hint="eastAsia" w:ascii="宋体" w:hAnsi="宋体" w:cs="宋体"/>
          <w:bCs/>
          <w:sz w:val="28"/>
          <w:szCs w:val="28"/>
          <w:lang w:val="en-US" w:eastAsia="zh-CN"/>
        </w:rPr>
        <w:t>东区</w:t>
      </w:r>
      <w:r>
        <w:rPr>
          <w:rFonts w:hint="eastAsia" w:ascii="宋体" w:hAnsi="宋体" w:cs="宋体"/>
          <w:bCs/>
          <w:sz w:val="28"/>
          <w:szCs w:val="28"/>
          <w:lang w:val="en-US" w:eastAsia="zh-CN"/>
        </w:rPr>
        <w:t>竹苑市场</w:t>
      </w:r>
      <w:r>
        <w:rPr>
          <w:rFonts w:hint="eastAsia" w:ascii="宋体" w:hAnsi="宋体" w:eastAsia="Times New Roman" w:cs="宋体"/>
          <w:bCs/>
          <w:sz w:val="28"/>
          <w:szCs w:val="28"/>
          <w:lang w:val="en-US" w:eastAsia="zh-CN"/>
        </w:rPr>
        <w:t>5</w:t>
      </w:r>
      <w:r>
        <w:rPr>
          <w:rFonts w:hint="eastAsia" w:ascii="宋体" w:hAnsi="宋体" w:cs="宋体"/>
          <w:bCs/>
          <w:sz w:val="28"/>
          <w:szCs w:val="28"/>
          <w:lang w:val="en-US" w:eastAsia="zh-CN"/>
        </w:rPr>
        <w:t>楼</w:t>
      </w:r>
      <w:r>
        <w:rPr>
          <w:rFonts w:hint="eastAsia" w:ascii="宋体" w:hAnsi="宋体" w:eastAsia="Times New Roman" w:cs="宋体"/>
          <w:bCs/>
          <w:sz w:val="28"/>
          <w:szCs w:val="28"/>
          <w:lang w:val="en-US" w:eastAsia="zh-CN"/>
        </w:rPr>
        <w:t>505</w:t>
      </w:r>
      <w:r>
        <w:rPr>
          <w:rFonts w:hint="eastAsia" w:ascii="宋体" w:hAnsi="宋体" w:cs="宋体"/>
          <w:bCs/>
          <w:sz w:val="28"/>
          <w:szCs w:val="28"/>
          <w:lang w:val="en-US" w:eastAsia="zh-CN"/>
        </w:rPr>
        <w:t>B卡之一</w:t>
      </w:r>
      <w:r>
        <w:rPr>
          <w:rFonts w:hint="eastAsia" w:ascii="宋体" w:hAnsi="宋体" w:cs="宋体"/>
          <w:bCs/>
          <w:sz w:val="28"/>
          <w:szCs w:val="28"/>
        </w:rPr>
        <w:t>，邮政编码：</w:t>
      </w:r>
      <w:r>
        <w:rPr>
          <w:rFonts w:hint="eastAsia" w:ascii="宋体" w:hAnsi="宋体" w:eastAsia="Times New Roman" w:cs="宋体"/>
          <w:bCs/>
          <w:sz w:val="28"/>
          <w:szCs w:val="28"/>
        </w:rPr>
        <w:t>528400</w:t>
      </w:r>
      <w:r>
        <w:rPr>
          <w:rFonts w:hint="eastAsia" w:ascii="宋体" w:hAnsi="宋体" w:cs="宋体"/>
          <w:bCs/>
          <w:sz w:val="28"/>
          <w:szCs w:val="28"/>
        </w:rPr>
        <w:t>，邮箱：</w:t>
      </w:r>
      <w:r>
        <w:rPr>
          <w:rFonts w:hint="eastAsia" w:ascii="宋体" w:hAnsi="宋体" w:cs="宋体"/>
          <w:bCs/>
          <w:color w:val="auto"/>
          <w:sz w:val="28"/>
          <w:szCs w:val="28"/>
          <w:u w:val="none"/>
        </w:rPr>
        <w:fldChar w:fldCharType="begin"/>
      </w:r>
      <w:r>
        <w:rPr>
          <w:rFonts w:hint="eastAsia" w:ascii="宋体" w:hAnsi="宋体" w:cs="宋体"/>
          <w:bCs/>
          <w:color w:val="auto"/>
          <w:sz w:val="28"/>
          <w:szCs w:val="28"/>
          <w:u w:val="none"/>
        </w:rPr>
        <w:instrText xml:space="preserve"> HYPERLINK "mailto:zstmjzxh@126.com），供今后修订时参考。" </w:instrText>
      </w:r>
      <w:r>
        <w:rPr>
          <w:rFonts w:hint="eastAsia" w:ascii="宋体" w:hAnsi="宋体" w:cs="宋体"/>
          <w:bCs/>
          <w:color w:val="auto"/>
          <w:sz w:val="28"/>
          <w:szCs w:val="28"/>
          <w:u w:val="none"/>
        </w:rPr>
        <w:fldChar w:fldCharType="separate"/>
      </w:r>
      <w:r>
        <w:rPr>
          <w:rStyle w:val="26"/>
          <w:rFonts w:hint="eastAsia" w:ascii="宋体" w:hAnsi="宋体" w:cs="宋体"/>
          <w:bCs/>
          <w:color w:val="auto"/>
          <w:sz w:val="28"/>
          <w:szCs w:val="28"/>
          <w:u w:val="none"/>
        </w:rPr>
        <w:t>zstmjzxh@</w:t>
      </w:r>
      <w:r>
        <w:rPr>
          <w:rStyle w:val="26"/>
          <w:rFonts w:hint="eastAsia" w:ascii="宋体" w:hAnsi="宋体" w:eastAsia="Times New Roman" w:cs="宋体"/>
          <w:bCs/>
          <w:color w:val="auto"/>
          <w:sz w:val="28"/>
          <w:szCs w:val="28"/>
          <w:u w:val="none"/>
        </w:rPr>
        <w:t>126</w:t>
      </w:r>
      <w:r>
        <w:rPr>
          <w:rStyle w:val="26"/>
          <w:rFonts w:hint="eastAsia" w:ascii="宋体" w:hAnsi="宋体" w:cs="宋体"/>
          <w:bCs/>
          <w:color w:val="auto"/>
          <w:sz w:val="28"/>
          <w:szCs w:val="28"/>
          <w:u w:val="none"/>
        </w:rPr>
        <w:t>.com），供今后修订时参考。</w:t>
      </w:r>
      <w:r>
        <w:rPr>
          <w:rFonts w:hint="eastAsia" w:ascii="宋体" w:hAnsi="宋体" w:cs="宋体"/>
          <w:bCs/>
          <w:color w:val="auto"/>
          <w:sz w:val="28"/>
          <w:szCs w:val="28"/>
          <w:u w:val="none"/>
        </w:rPr>
        <w:fldChar w:fldCharType="end"/>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560" w:lineRule="exact"/>
        <w:ind w:firstLine="560" w:firstLineChars="2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主编单位：中山市土木建筑学会</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中山市工程勘察设计行业协会</w:t>
      </w:r>
    </w:p>
    <w:p>
      <w:pPr>
        <w:spacing w:line="560" w:lineRule="exact"/>
        <w:ind w:firstLine="1960" w:firstLineChars="7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中山市建筑业协会</w:t>
      </w:r>
    </w:p>
    <w:p>
      <w:pPr>
        <w:spacing w:line="560" w:lineRule="exact"/>
        <w:ind w:left="2757" w:leftChars="266" w:hanging="2198" w:hangingChars="785"/>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参编单位：中山市建筑工程施工图设计文件审查中心有限公司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中山市鼎盛建设工程技术咨询有限公司</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广东中山建筑设计院股份有限公司</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中山市第二建筑设计院有限公司</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中山土木联盟工程设计顾问有限公司</w:t>
      </w:r>
    </w:p>
    <w:p>
      <w:pPr>
        <w:spacing w:line="560" w:lineRule="exact"/>
        <w:ind w:left="0" w:leftChars="0"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建盟设计集团有限公司广东分公司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中建四局第一建筑工程有限公司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广东建远建筑装配工业有限公司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珠海汇茂环保科技有限公司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中山万科企业有限公司</w:t>
      </w:r>
    </w:p>
    <w:p>
      <w:pPr>
        <w:spacing w:line="560" w:lineRule="exact"/>
        <w:ind w:left="2747" w:leftChars="931" w:hanging="792" w:hangingChars="283"/>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珠海依云房地产有限公司</w:t>
      </w:r>
    </w:p>
    <w:p>
      <w:pPr>
        <w:spacing w:line="560" w:lineRule="exact"/>
        <w:ind w:firstLine="560" w:firstLineChars="200"/>
        <w:rPr>
          <w:rFonts w:hint="eastAsia" w:ascii="宋体" w:hAnsi="宋体" w:cs="宋体"/>
          <w:bCs/>
          <w:color w:val="auto"/>
          <w:sz w:val="28"/>
          <w:szCs w:val="28"/>
          <w:u w:val="none"/>
          <w:lang w:eastAsia="zh-CN"/>
        </w:rPr>
      </w:pPr>
      <w:r>
        <w:rPr>
          <w:rFonts w:hint="eastAsia" w:ascii="宋体" w:hAnsi="宋体" w:cs="宋体"/>
          <w:bCs/>
          <w:color w:val="auto"/>
          <w:sz w:val="28"/>
          <w:szCs w:val="28"/>
          <w:u w:val="none"/>
          <w:lang w:eastAsia="zh-CN"/>
        </w:rPr>
        <w:t>主要编写人员：</w:t>
      </w:r>
    </w:p>
    <w:p>
      <w:pPr>
        <w:spacing w:line="560" w:lineRule="exact"/>
        <w:ind w:firstLine="1120" w:firstLineChars="4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胡柏延 黄照明 张文桥 杨立群</w:t>
      </w:r>
    </w:p>
    <w:p>
      <w:pPr>
        <w:spacing w:line="560" w:lineRule="exact"/>
        <w:ind w:firstLine="1120" w:firstLineChars="4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李杰中 李  曦 李旭明 谢淑群 陈湘儒 武  廉 廖  强 李志强</w:t>
      </w:r>
    </w:p>
    <w:p>
      <w:pPr>
        <w:spacing w:line="560" w:lineRule="exact"/>
        <w:ind w:left="279" w:leftChars="133" w:firstLine="840" w:firstLineChars="3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 xml:space="preserve">钟晓晖 李  应 苗建勋 熊慎波 许晓萍 谢宇琴 黄锦宁 廖浩深 </w:t>
      </w:r>
    </w:p>
    <w:p>
      <w:pPr>
        <w:spacing w:line="560" w:lineRule="exact"/>
        <w:ind w:firstLine="1120" w:firstLineChars="4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 xml:space="preserve">周锡华 李保明 曹  平 程  瑞 张淑雅 叶丽珊 吴晓桐 </w:t>
      </w:r>
    </w:p>
    <w:p>
      <w:pPr>
        <w:spacing w:line="560" w:lineRule="exact"/>
        <w:ind w:firstLine="560" w:firstLineChars="2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主要审查人员：</w:t>
      </w:r>
    </w:p>
    <w:p>
      <w:pPr>
        <w:spacing w:line="560" w:lineRule="exact"/>
        <w:ind w:firstLine="1120" w:firstLineChars="4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曹大燕 周  荃 张南宁 郭伟佳 徐海军</w:t>
      </w: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rPr>
          <w:rFonts w:hint="eastAsia" w:ascii="宋体" w:hAnsi="宋体" w:cs="宋体"/>
          <w:bCs/>
          <w:color w:val="auto"/>
          <w:sz w:val="44"/>
          <w:szCs w:val="44"/>
          <w:u w:val="none"/>
          <w:lang w:val="en-US" w:eastAsia="zh-CN"/>
        </w:rPr>
      </w:pPr>
    </w:p>
    <w:p>
      <w:pPr>
        <w:pStyle w:val="2"/>
        <w:rPr>
          <w:rFonts w:hint="eastAsia"/>
          <w:lang w:val="en-US" w:eastAsia="zh-CN"/>
        </w:rPr>
      </w:pPr>
    </w:p>
    <w:p>
      <w:pPr>
        <w:spacing w:line="560" w:lineRule="exact"/>
        <w:ind w:firstLine="880" w:firstLineChars="200"/>
        <w:rPr>
          <w:rFonts w:hint="eastAsia" w:ascii="宋体" w:hAnsi="宋体" w:cs="宋体"/>
          <w:bCs/>
          <w:color w:val="auto"/>
          <w:sz w:val="44"/>
          <w:szCs w:val="44"/>
          <w:u w:val="none"/>
          <w:lang w:val="en-US" w:eastAsia="zh-CN"/>
        </w:rPr>
      </w:pPr>
    </w:p>
    <w:p>
      <w:pPr>
        <w:spacing w:line="560" w:lineRule="exact"/>
        <w:ind w:firstLine="880" w:firstLineChars="200"/>
        <w:rPr>
          <w:rFonts w:hint="eastAsia" w:ascii="宋体" w:hAnsi="宋体" w:cs="宋体"/>
          <w:bCs/>
          <w:color w:val="auto"/>
          <w:sz w:val="44"/>
          <w:szCs w:val="44"/>
          <w:u w:val="none"/>
          <w:lang w:val="en-US" w:eastAsia="zh-CN"/>
        </w:rPr>
      </w:pPr>
    </w:p>
    <w:p>
      <w:pPr>
        <w:spacing w:line="560" w:lineRule="exact"/>
        <w:jc w:val="center"/>
        <w:rPr>
          <w:rFonts w:hint="eastAsia" w:ascii="宋体" w:hAnsi="宋体" w:cs="宋体"/>
          <w:b/>
          <w:bCs w:val="0"/>
          <w:color w:val="auto"/>
          <w:sz w:val="48"/>
          <w:szCs w:val="48"/>
          <w:u w:val="none"/>
          <w:lang w:val="en-US" w:eastAsia="zh-CN"/>
        </w:rPr>
      </w:pPr>
    </w:p>
    <w:p>
      <w:pPr>
        <w:spacing w:line="560" w:lineRule="exact"/>
        <w:jc w:val="center"/>
        <w:rPr>
          <w:rFonts w:hint="eastAsia" w:ascii="宋体" w:hAnsi="宋体" w:cs="宋体"/>
          <w:b/>
          <w:bCs w:val="0"/>
          <w:color w:val="auto"/>
          <w:sz w:val="48"/>
          <w:szCs w:val="48"/>
          <w:u w:val="none"/>
          <w:lang w:val="en-US" w:eastAsia="zh-CN"/>
        </w:rPr>
      </w:pPr>
    </w:p>
    <w:p>
      <w:pPr>
        <w:spacing w:line="560" w:lineRule="exact"/>
        <w:jc w:val="center"/>
        <w:rPr>
          <w:rFonts w:hint="default" w:ascii="宋体" w:hAnsi="宋体" w:eastAsia="宋体" w:cs="宋体"/>
          <w:b/>
          <w:bCs w:val="0"/>
          <w:color w:val="auto"/>
          <w:sz w:val="28"/>
          <w:szCs w:val="28"/>
          <w:u w:val="none"/>
          <w:lang w:val="en-US" w:eastAsia="zh-CN"/>
        </w:rPr>
      </w:pPr>
      <w:r>
        <w:rPr>
          <w:rFonts w:hint="eastAsia" w:ascii="宋体" w:hAnsi="宋体" w:cs="宋体"/>
          <w:b/>
          <w:bCs w:val="0"/>
          <w:color w:val="auto"/>
          <w:sz w:val="48"/>
          <w:szCs w:val="48"/>
          <w:u w:val="none"/>
          <w:lang w:val="en-US" w:eastAsia="zh-CN"/>
        </w:rPr>
        <w:t>中山市绿色建筑设计指南</w:t>
      </w:r>
      <w:r>
        <w:rPr>
          <w:rFonts w:hint="eastAsia" w:ascii="宋体" w:hAnsi="宋体" w:cs="宋体"/>
          <w:b/>
          <w:bCs w:val="0"/>
          <w:color w:val="auto"/>
          <w:sz w:val="28"/>
          <w:szCs w:val="28"/>
          <w:u w:val="none"/>
          <w:lang w:val="en-US" w:eastAsia="zh-CN"/>
        </w:rPr>
        <w:t>（</w:t>
      </w:r>
      <w:r>
        <w:rPr>
          <w:rFonts w:hint="eastAsia" w:ascii="宋体" w:hAnsi="宋体" w:eastAsia="Times New Roman" w:cs="宋体"/>
          <w:b/>
          <w:bCs w:val="0"/>
          <w:color w:val="auto"/>
          <w:sz w:val="28"/>
          <w:szCs w:val="28"/>
          <w:u w:val="none"/>
          <w:lang w:val="en-US" w:eastAsia="zh-CN"/>
        </w:rPr>
        <w:t>2021</w:t>
      </w:r>
      <w:r>
        <w:rPr>
          <w:rFonts w:hint="eastAsia" w:ascii="宋体" w:hAnsi="宋体" w:cs="宋体"/>
          <w:b/>
          <w:bCs w:val="0"/>
          <w:color w:val="auto"/>
          <w:sz w:val="28"/>
          <w:szCs w:val="28"/>
          <w:u w:val="none"/>
          <w:lang w:val="en-US" w:eastAsia="zh-CN"/>
        </w:rPr>
        <w:t>版）</w:t>
      </w: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sectPr>
          <w:footerReference r:id="rId5" w:type="default"/>
          <w:pgSz w:w="11906" w:h="16838"/>
          <w:pgMar w:top="2098" w:right="1312" w:bottom="1922" w:left="1774" w:header="851" w:footer="992" w:gutter="0"/>
          <w:paperSrc/>
          <w:pgBorders>
            <w:top w:val="none" w:sz="0" w:space="0"/>
            <w:left w:val="none" w:sz="0" w:space="0"/>
            <w:bottom w:val="none" w:sz="0" w:space="0"/>
            <w:right w:val="none" w:sz="0" w:space="0"/>
          </w:pgBorders>
          <w:pgNumType w:fmt="upperRoman" w:start="1"/>
          <w:cols w:space="720" w:num="1"/>
          <w:rtlGutter w:val="0"/>
          <w:docGrid w:type="lines" w:linePitch="312" w:charSpace="0"/>
        </w:sectPr>
      </w:pPr>
    </w:p>
    <w:p>
      <w:pPr>
        <w:spacing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14"/>
        <w:tabs>
          <w:tab w:val="right" w:leader="dot" w:pos="8730"/>
        </w:tabs>
      </w:pPr>
      <w:r>
        <w:rPr>
          <w:rFonts w:hint="eastAsia" w:ascii="宋体" w:hAnsi="宋体"/>
          <w:b/>
          <w:bCs/>
          <w:sz w:val="28"/>
          <w:szCs w:val="28"/>
        </w:rPr>
        <w:fldChar w:fldCharType="begin"/>
      </w:r>
      <w:r>
        <w:rPr>
          <w:rFonts w:hint="eastAsia" w:ascii="宋体" w:hAnsi="宋体"/>
          <w:b/>
          <w:bCs/>
          <w:sz w:val="28"/>
          <w:szCs w:val="28"/>
        </w:rPr>
        <w:instrText xml:space="preserve">TOC \o "1-3" \h \u </w:instrText>
      </w:r>
      <w:r>
        <w:rPr>
          <w:rFonts w:hint="eastAsia" w:ascii="宋体" w:hAnsi="宋体"/>
          <w:b/>
          <w:bCs/>
          <w:sz w:val="28"/>
          <w:szCs w:val="28"/>
        </w:rPr>
        <w:fldChar w:fldCharType="separate"/>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_Toc22791 </w:instrText>
      </w:r>
      <w:r>
        <w:rPr>
          <w:rFonts w:hint="eastAsia" w:ascii="宋体" w:hAnsi="宋体"/>
          <w:bCs/>
          <w:sz w:val="28"/>
          <w:szCs w:val="28"/>
        </w:rPr>
        <w:fldChar w:fldCharType="separate"/>
      </w:r>
      <w:r>
        <w:rPr>
          <w:rFonts w:hint="default" w:eastAsia="Times New Roman"/>
          <w:sz w:val="28"/>
          <w:szCs w:val="28"/>
        </w:rPr>
        <w:t>1</w:t>
      </w:r>
      <w:r>
        <w:rPr>
          <w:rFonts w:hint="eastAsia"/>
          <w:sz w:val="28"/>
          <w:szCs w:val="28"/>
        </w:rPr>
        <w:t xml:space="preserve">  总  则</w:t>
      </w:r>
      <w:r>
        <w:rPr>
          <w:sz w:val="28"/>
          <w:szCs w:val="28"/>
        </w:rPr>
        <w:tab/>
      </w:r>
      <w:r>
        <w:rPr>
          <w:sz w:val="28"/>
          <w:szCs w:val="28"/>
        </w:rPr>
        <w:fldChar w:fldCharType="begin"/>
      </w:r>
      <w:r>
        <w:rPr>
          <w:sz w:val="28"/>
          <w:szCs w:val="28"/>
        </w:rPr>
        <w:instrText xml:space="preserve"> PAGEREF _Toc22791 \h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_Toc12992 </w:instrText>
      </w:r>
      <w:r>
        <w:rPr>
          <w:rFonts w:hint="eastAsia" w:ascii="宋体" w:hAnsi="宋体"/>
          <w:bCs/>
          <w:sz w:val="28"/>
          <w:szCs w:val="28"/>
        </w:rPr>
        <w:fldChar w:fldCharType="separate"/>
      </w:r>
      <w:r>
        <w:rPr>
          <w:rFonts w:hint="eastAsia" w:eastAsia="Times New Roman"/>
          <w:sz w:val="28"/>
          <w:szCs w:val="28"/>
        </w:rPr>
        <w:t>2</w:t>
      </w:r>
      <w:r>
        <w:rPr>
          <w:rFonts w:hint="eastAsia"/>
          <w:sz w:val="28"/>
          <w:szCs w:val="28"/>
        </w:rPr>
        <w:t xml:space="preserve"> </w:t>
      </w:r>
      <w:r>
        <w:rPr>
          <w:rFonts w:hint="eastAsia"/>
          <w:sz w:val="28"/>
          <w:szCs w:val="28"/>
          <w:lang w:val="en-US" w:eastAsia="zh-CN"/>
        </w:rPr>
        <w:t xml:space="preserve"> </w:t>
      </w:r>
      <w:r>
        <w:rPr>
          <w:rFonts w:hint="eastAsia"/>
          <w:sz w:val="28"/>
          <w:szCs w:val="28"/>
        </w:rPr>
        <w:t>术</w:t>
      </w:r>
      <w:r>
        <w:rPr>
          <w:rFonts w:hint="eastAsia"/>
          <w:sz w:val="28"/>
          <w:szCs w:val="28"/>
          <w:lang w:val="en-US" w:eastAsia="zh-CN"/>
        </w:rPr>
        <w:t xml:space="preserve">  </w:t>
      </w:r>
      <w:r>
        <w:rPr>
          <w:rFonts w:hint="eastAsia"/>
          <w:sz w:val="28"/>
          <w:szCs w:val="28"/>
        </w:rPr>
        <w:t>语</w:t>
      </w:r>
      <w:r>
        <w:rPr>
          <w:sz w:val="28"/>
          <w:szCs w:val="28"/>
        </w:rPr>
        <w:tab/>
      </w:r>
      <w:r>
        <w:rPr>
          <w:sz w:val="28"/>
          <w:szCs w:val="28"/>
        </w:rPr>
        <w:fldChar w:fldCharType="begin"/>
      </w:r>
      <w:r>
        <w:rPr>
          <w:sz w:val="28"/>
          <w:szCs w:val="28"/>
        </w:rPr>
        <w:instrText xml:space="preserve"> PAGEREF _Toc12992 \h </w:instrText>
      </w:r>
      <w:r>
        <w:rPr>
          <w:sz w:val="28"/>
          <w:szCs w:val="28"/>
        </w:rPr>
        <w:fldChar w:fldCharType="separate"/>
      </w:r>
      <w:r>
        <w:rPr>
          <w:sz w:val="28"/>
          <w:szCs w:val="28"/>
        </w:rPr>
        <w:t>2</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_Toc14092 </w:instrText>
      </w:r>
      <w:r>
        <w:rPr>
          <w:rFonts w:hint="eastAsia" w:ascii="宋体" w:hAnsi="宋体"/>
          <w:bCs/>
          <w:sz w:val="28"/>
          <w:szCs w:val="28"/>
        </w:rPr>
        <w:fldChar w:fldCharType="separate"/>
      </w:r>
      <w:r>
        <w:rPr>
          <w:rFonts w:hint="default" w:eastAsia="Times New Roman"/>
          <w:sz w:val="28"/>
          <w:szCs w:val="28"/>
        </w:rPr>
        <w:t>3</w:t>
      </w:r>
      <w:r>
        <w:rPr>
          <w:rFonts w:hint="eastAsia"/>
          <w:sz w:val="28"/>
          <w:szCs w:val="28"/>
        </w:rPr>
        <w:t xml:space="preserve">  </w:t>
      </w:r>
      <w:r>
        <w:rPr>
          <w:rFonts w:hint="eastAsia"/>
          <w:sz w:val="28"/>
          <w:szCs w:val="28"/>
          <w:lang w:val="en-US" w:eastAsia="zh-CN"/>
        </w:rPr>
        <w:t>基本规定</w:t>
      </w:r>
      <w:r>
        <w:rPr>
          <w:sz w:val="28"/>
          <w:szCs w:val="28"/>
        </w:rPr>
        <w:tab/>
      </w:r>
      <w:r>
        <w:rPr>
          <w:sz w:val="28"/>
          <w:szCs w:val="28"/>
        </w:rPr>
        <w:fldChar w:fldCharType="begin"/>
      </w:r>
      <w:r>
        <w:rPr>
          <w:sz w:val="28"/>
          <w:szCs w:val="28"/>
        </w:rPr>
        <w:instrText xml:space="preserve"> PAGEREF _Toc14092 \h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_Toc14578 </w:instrText>
      </w:r>
      <w:r>
        <w:rPr>
          <w:rFonts w:hint="eastAsia" w:ascii="宋体" w:hAnsi="宋体"/>
          <w:bCs/>
          <w:sz w:val="28"/>
          <w:szCs w:val="28"/>
        </w:rPr>
        <w:fldChar w:fldCharType="separate"/>
      </w:r>
      <w:r>
        <w:rPr>
          <w:rFonts w:hint="default" w:ascii="Times New Roman" w:hAnsi="Times New Roman" w:eastAsia="Times New Roman" w:cs="Times New Roman"/>
          <w:bCs w:val="0"/>
          <w:sz w:val="28"/>
          <w:szCs w:val="28"/>
          <w:lang w:val="en-US" w:eastAsia="zh-CN"/>
        </w:rPr>
        <w:t>3</w:t>
      </w:r>
      <w:r>
        <w:rPr>
          <w:rFonts w:hint="default" w:ascii="Times New Roman" w:hAnsi="Times New Roman" w:cs="Times New Roman"/>
          <w:bCs w:val="0"/>
          <w:sz w:val="28"/>
          <w:szCs w:val="28"/>
          <w:lang w:val="en-US" w:eastAsia="zh-CN"/>
        </w:rPr>
        <w:t>.</w:t>
      </w:r>
      <w:r>
        <w:rPr>
          <w:rFonts w:hint="default" w:ascii="Times New Roman" w:hAnsi="Times New Roman" w:eastAsia="Times New Roman" w:cs="Times New Roman"/>
          <w:bCs w:val="0"/>
          <w:sz w:val="28"/>
          <w:szCs w:val="28"/>
          <w:lang w:val="en-US" w:eastAsia="zh-CN"/>
        </w:rPr>
        <w:t>1</w:t>
      </w:r>
      <w:r>
        <w:rPr>
          <w:rFonts w:hint="eastAsia"/>
          <w:sz w:val="28"/>
          <w:szCs w:val="28"/>
          <w:lang w:val="en-US" w:eastAsia="zh-CN"/>
        </w:rPr>
        <w:t xml:space="preserve">  一般规定</w:t>
      </w:r>
      <w:r>
        <w:rPr>
          <w:sz w:val="28"/>
          <w:szCs w:val="28"/>
        </w:rPr>
        <w:tab/>
      </w:r>
      <w:r>
        <w:rPr>
          <w:sz w:val="28"/>
          <w:szCs w:val="28"/>
        </w:rPr>
        <w:fldChar w:fldCharType="begin"/>
      </w:r>
      <w:r>
        <w:rPr>
          <w:sz w:val="28"/>
          <w:szCs w:val="28"/>
        </w:rPr>
        <w:instrText xml:space="preserve"> PAGEREF _Toc14578 \h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_Toc11964 </w:instrText>
      </w:r>
      <w:r>
        <w:rPr>
          <w:rFonts w:hint="eastAsia" w:ascii="宋体" w:hAnsi="宋体"/>
          <w:bCs/>
          <w:sz w:val="28"/>
          <w:szCs w:val="28"/>
        </w:rPr>
        <w:fldChar w:fldCharType="separate"/>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设计</w:t>
      </w:r>
      <w:r>
        <w:rPr>
          <w:rFonts w:hint="eastAsia"/>
          <w:sz w:val="28"/>
          <w:szCs w:val="28"/>
          <w:lang w:val="en-US" w:eastAsia="zh-CN"/>
        </w:rPr>
        <w:t>规定</w:t>
      </w:r>
      <w:r>
        <w:rPr>
          <w:sz w:val="28"/>
          <w:szCs w:val="28"/>
        </w:rPr>
        <w:tab/>
      </w:r>
      <w:r>
        <w:rPr>
          <w:sz w:val="28"/>
          <w:szCs w:val="28"/>
        </w:rPr>
        <w:fldChar w:fldCharType="begin"/>
      </w:r>
      <w:r>
        <w:rPr>
          <w:sz w:val="28"/>
          <w:szCs w:val="28"/>
        </w:rPr>
        <w:instrText xml:space="preserve"> PAGEREF _Toc11964 \h </w:instrText>
      </w:r>
      <w:r>
        <w:rPr>
          <w:sz w:val="28"/>
          <w:szCs w:val="28"/>
        </w:rPr>
        <w:fldChar w:fldCharType="separate"/>
      </w:r>
      <w:r>
        <w:rPr>
          <w:sz w:val="28"/>
          <w:szCs w:val="28"/>
        </w:rPr>
        <w:t>4</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_Toc12651 </w:instrText>
      </w:r>
      <w:r>
        <w:rPr>
          <w:rFonts w:hint="eastAsia" w:ascii="宋体" w:hAnsi="宋体"/>
          <w:bCs/>
          <w:sz w:val="28"/>
          <w:szCs w:val="28"/>
        </w:rPr>
        <w:fldChar w:fldCharType="separate"/>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评价规定</w:t>
      </w:r>
      <w:r>
        <w:rPr>
          <w:sz w:val="28"/>
          <w:szCs w:val="28"/>
        </w:rPr>
        <w:tab/>
      </w:r>
      <w:r>
        <w:rPr>
          <w:sz w:val="28"/>
          <w:szCs w:val="28"/>
        </w:rPr>
        <w:fldChar w:fldCharType="begin"/>
      </w:r>
      <w:r>
        <w:rPr>
          <w:sz w:val="28"/>
          <w:szCs w:val="28"/>
        </w:rPr>
        <w:instrText xml:space="preserve"> PAGEREF _Toc12651 \h </w:instrText>
      </w:r>
      <w:r>
        <w:rPr>
          <w:sz w:val="28"/>
          <w:szCs w:val="28"/>
        </w:rPr>
        <w:fldChar w:fldCharType="separate"/>
      </w:r>
      <w:r>
        <w:rPr>
          <w:sz w:val="28"/>
          <w:szCs w:val="28"/>
        </w:rPr>
        <w:t>5</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_Toc19553 </w:instrText>
      </w:r>
      <w:r>
        <w:rPr>
          <w:rFonts w:hint="eastAsia" w:ascii="宋体" w:hAnsi="宋体"/>
          <w:bCs/>
          <w:sz w:val="28"/>
          <w:szCs w:val="28"/>
        </w:rPr>
        <w:fldChar w:fldCharType="separate"/>
      </w:r>
      <w:r>
        <w:rPr>
          <w:rFonts w:hint="eastAsia" w:eastAsia="Times New Roman"/>
          <w:sz w:val="28"/>
          <w:szCs w:val="28"/>
          <w:lang w:val="en-US" w:eastAsia="zh-CN"/>
        </w:rPr>
        <w:t>4</w:t>
      </w:r>
      <w:r>
        <w:rPr>
          <w:rFonts w:hint="eastAsia"/>
          <w:sz w:val="28"/>
          <w:szCs w:val="28"/>
          <w:lang w:val="en-US" w:eastAsia="zh-CN"/>
        </w:rPr>
        <w:t xml:space="preserve">  绿色建筑设计说明专篇</w:t>
      </w:r>
      <w:r>
        <w:rPr>
          <w:sz w:val="28"/>
          <w:szCs w:val="28"/>
        </w:rPr>
        <w:tab/>
      </w:r>
      <w:r>
        <w:rPr>
          <w:sz w:val="28"/>
          <w:szCs w:val="28"/>
        </w:rPr>
        <w:fldChar w:fldCharType="begin"/>
      </w:r>
      <w:r>
        <w:rPr>
          <w:sz w:val="28"/>
          <w:szCs w:val="28"/>
        </w:rPr>
        <w:instrText xml:space="preserve"> PAGEREF _Toc19553 \h </w:instrText>
      </w:r>
      <w:r>
        <w:rPr>
          <w:sz w:val="28"/>
          <w:szCs w:val="28"/>
        </w:rPr>
        <w:fldChar w:fldCharType="separate"/>
      </w:r>
      <w:r>
        <w:rPr>
          <w:sz w:val="28"/>
          <w:szCs w:val="28"/>
        </w:rPr>
        <w:t>8</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_Toc20812 </w:instrText>
      </w:r>
      <w:r>
        <w:rPr>
          <w:rFonts w:hint="eastAsia" w:ascii="宋体" w:hAnsi="宋体"/>
          <w:bCs/>
          <w:sz w:val="28"/>
          <w:szCs w:val="28"/>
        </w:rPr>
        <w:fldChar w:fldCharType="separate"/>
      </w:r>
      <w:r>
        <w:rPr>
          <w:rFonts w:hint="default" w:ascii="Times New Roman" w:hAnsi="Times New Roman" w:eastAsia="Times New Roman" w:cs="Times New Roman"/>
          <w:sz w:val="28"/>
          <w:szCs w:val="28"/>
          <w:lang w:val="en-US" w:eastAsia="zh-CN"/>
        </w:rPr>
        <w:t>4</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default"/>
          <w:sz w:val="28"/>
          <w:szCs w:val="28"/>
          <w:lang w:val="en-US" w:eastAsia="zh-CN"/>
        </w:rPr>
        <w:t xml:space="preserve">  中山市绿色建筑设计说明专篇-总则</w:t>
      </w:r>
      <w:r>
        <w:rPr>
          <w:sz w:val="28"/>
          <w:szCs w:val="28"/>
        </w:rPr>
        <w:tab/>
      </w:r>
      <w:r>
        <w:rPr>
          <w:sz w:val="28"/>
          <w:szCs w:val="28"/>
        </w:rPr>
        <w:fldChar w:fldCharType="begin"/>
      </w:r>
      <w:r>
        <w:rPr>
          <w:sz w:val="28"/>
          <w:szCs w:val="28"/>
        </w:rPr>
        <w:instrText xml:space="preserve"> PAGEREF _Toc20812 \h </w:instrText>
      </w:r>
      <w:r>
        <w:rPr>
          <w:sz w:val="28"/>
          <w:szCs w:val="28"/>
        </w:rPr>
        <w:fldChar w:fldCharType="separate"/>
      </w:r>
      <w:r>
        <w:rPr>
          <w:sz w:val="28"/>
          <w:szCs w:val="28"/>
        </w:rPr>
        <w:t>8</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_Toc1557 </w:instrText>
      </w:r>
      <w:r>
        <w:rPr>
          <w:rFonts w:hint="eastAsia" w:ascii="宋体" w:hAnsi="宋体"/>
          <w:bCs/>
          <w:sz w:val="28"/>
          <w:szCs w:val="28"/>
        </w:rPr>
        <w:fldChar w:fldCharType="separate"/>
      </w:r>
      <w:r>
        <w:rPr>
          <w:rFonts w:hint="default" w:ascii="Times New Roman" w:hAnsi="Times New Roman" w:eastAsia="Times New Roman" w:cs="Times New Roman"/>
          <w:bCs w:val="0"/>
          <w:sz w:val="28"/>
          <w:szCs w:val="28"/>
          <w:lang w:val="en-US" w:eastAsia="zh-CN"/>
        </w:rPr>
        <w:t>4</w:t>
      </w:r>
      <w:r>
        <w:rPr>
          <w:rFonts w:hint="default" w:ascii="Times New Roman" w:hAnsi="Times New Roman" w:eastAsia="宋体" w:cs="Times New Roman"/>
          <w:bCs w:val="0"/>
          <w:sz w:val="28"/>
          <w:szCs w:val="28"/>
          <w:lang w:val="en-US" w:eastAsia="zh-CN"/>
        </w:rPr>
        <w:t>.</w:t>
      </w:r>
      <w:r>
        <w:rPr>
          <w:rFonts w:hint="default" w:ascii="Times New Roman" w:hAnsi="Times New Roman" w:eastAsia="Times New Roman" w:cs="Times New Roman"/>
          <w:bCs w:val="0"/>
          <w:sz w:val="28"/>
          <w:szCs w:val="28"/>
          <w:lang w:val="en-US" w:eastAsia="zh-CN"/>
        </w:rPr>
        <w:t>2</w:t>
      </w:r>
      <w:r>
        <w:rPr>
          <w:rFonts w:hint="default" w:ascii="Times New Roman" w:hAnsi="Times New Roman" w:eastAsia="宋体" w:cs="Times New Roman"/>
          <w:bCs w:val="0"/>
          <w:sz w:val="28"/>
          <w:szCs w:val="28"/>
          <w:lang w:val="en-US" w:eastAsia="zh-CN"/>
        </w:rPr>
        <w:t xml:space="preserve">  中山市绿色建筑设计说明专篇-</w:t>
      </w:r>
      <w:r>
        <w:rPr>
          <w:rFonts w:hint="default"/>
          <w:bCs w:val="0"/>
          <w:sz w:val="28"/>
          <w:szCs w:val="28"/>
          <w:lang w:val="en-US" w:eastAsia="zh-CN"/>
        </w:rPr>
        <w:t>规划、建筑、景观</w:t>
      </w:r>
      <w:r>
        <w:rPr>
          <w:sz w:val="28"/>
          <w:szCs w:val="28"/>
        </w:rPr>
        <w:tab/>
      </w:r>
      <w:r>
        <w:rPr>
          <w:sz w:val="28"/>
          <w:szCs w:val="28"/>
        </w:rPr>
        <w:fldChar w:fldCharType="begin"/>
      </w:r>
      <w:r>
        <w:rPr>
          <w:sz w:val="28"/>
          <w:szCs w:val="28"/>
        </w:rPr>
        <w:instrText xml:space="preserve"> PAGEREF _Toc1557 \h </w:instrText>
      </w:r>
      <w:r>
        <w:rPr>
          <w:sz w:val="28"/>
          <w:szCs w:val="28"/>
        </w:rPr>
        <w:fldChar w:fldCharType="separate"/>
      </w:r>
      <w:r>
        <w:rPr>
          <w:sz w:val="28"/>
          <w:szCs w:val="28"/>
        </w:rPr>
        <w:t>17</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_Toc3660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eastAsia="宋体" w:cs="Times New Roman"/>
          <w:bCs/>
          <w:sz w:val="28"/>
          <w:szCs w:val="28"/>
          <w:lang w:val="en-US" w:eastAsia="zh-CN"/>
        </w:rPr>
        <w:t>.</w:t>
      </w:r>
      <w:r>
        <w:rPr>
          <w:rFonts w:hint="default" w:ascii="Times New Roman" w:hAnsi="Times New Roman" w:eastAsia="Times New Roman" w:cs="Times New Roman"/>
          <w:bCs/>
          <w:sz w:val="28"/>
          <w:szCs w:val="28"/>
          <w:lang w:val="en-US" w:eastAsia="zh-CN"/>
        </w:rPr>
        <w:t>3</w:t>
      </w:r>
      <w:r>
        <w:rPr>
          <w:rFonts w:hint="eastAsia"/>
          <w:bCs/>
          <w:sz w:val="28"/>
          <w:szCs w:val="28"/>
          <w:lang w:val="en-US" w:eastAsia="zh-CN"/>
        </w:rPr>
        <w:t xml:space="preserve">  </w:t>
      </w:r>
      <w:r>
        <w:rPr>
          <w:rFonts w:hint="default" w:ascii="Times New Roman" w:hAnsi="Times New Roman" w:eastAsia="宋体" w:cs="Times New Roman"/>
          <w:bCs/>
          <w:sz w:val="28"/>
          <w:szCs w:val="28"/>
          <w:lang w:val="en-US" w:eastAsia="zh-CN"/>
        </w:rPr>
        <w:t>中山市绿色建筑设计说明专篇-结构</w:t>
      </w:r>
      <w:r>
        <w:rPr>
          <w:sz w:val="28"/>
          <w:szCs w:val="28"/>
        </w:rPr>
        <w:tab/>
      </w:r>
      <w:r>
        <w:rPr>
          <w:sz w:val="28"/>
          <w:szCs w:val="28"/>
        </w:rPr>
        <w:fldChar w:fldCharType="begin"/>
      </w:r>
      <w:r>
        <w:rPr>
          <w:sz w:val="28"/>
          <w:szCs w:val="28"/>
        </w:rPr>
        <w:instrText xml:space="preserve"> PAGEREF _Toc3660 \h </w:instrText>
      </w:r>
      <w:r>
        <w:rPr>
          <w:sz w:val="28"/>
          <w:szCs w:val="28"/>
        </w:rPr>
        <w:fldChar w:fldCharType="separate"/>
      </w:r>
      <w:r>
        <w:rPr>
          <w:sz w:val="28"/>
          <w:szCs w:val="28"/>
        </w:rPr>
        <w:t>42</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_Toc28261 </w:instrText>
      </w:r>
      <w:r>
        <w:rPr>
          <w:rFonts w:hint="eastAsia" w:ascii="宋体" w:hAnsi="宋体"/>
          <w:bCs/>
          <w:sz w:val="28"/>
          <w:szCs w:val="28"/>
        </w:rPr>
        <w:fldChar w:fldCharType="separate"/>
      </w:r>
      <w:r>
        <w:rPr>
          <w:rFonts w:hint="default" w:ascii="Times New Roman" w:hAnsi="Times New Roman" w:eastAsia="Times New Roman" w:cs="Times New Roman"/>
          <w:bCs w:val="0"/>
          <w:sz w:val="28"/>
          <w:szCs w:val="28"/>
          <w:lang w:val="en-US" w:eastAsia="zh-CN"/>
        </w:rPr>
        <w:t>4</w:t>
      </w:r>
      <w:r>
        <w:rPr>
          <w:rFonts w:hint="default" w:ascii="Times New Roman" w:hAnsi="Times New Roman" w:eastAsia="宋体" w:cs="Times New Roman"/>
          <w:bCs w:val="0"/>
          <w:sz w:val="28"/>
          <w:szCs w:val="28"/>
          <w:lang w:val="en-US" w:eastAsia="zh-CN"/>
        </w:rPr>
        <w:t>.</w:t>
      </w:r>
      <w:r>
        <w:rPr>
          <w:rFonts w:hint="default" w:ascii="Times New Roman" w:hAnsi="Times New Roman" w:eastAsia="Times New Roman" w:cs="Times New Roman"/>
          <w:bCs w:val="0"/>
          <w:sz w:val="28"/>
          <w:szCs w:val="28"/>
          <w:lang w:val="en-US" w:eastAsia="zh-CN"/>
        </w:rPr>
        <w:t>4</w:t>
      </w:r>
      <w:r>
        <w:rPr>
          <w:rFonts w:hint="default" w:ascii="Times New Roman" w:hAnsi="Times New Roman" w:eastAsia="宋体" w:cs="Times New Roman"/>
          <w:bCs w:val="0"/>
          <w:sz w:val="28"/>
          <w:szCs w:val="28"/>
          <w:lang w:val="en-US" w:eastAsia="zh-CN"/>
        </w:rPr>
        <w:t xml:space="preserve">  中山市绿色建筑设计说明专篇-给排水</w:t>
      </w:r>
      <w:r>
        <w:rPr>
          <w:sz w:val="28"/>
          <w:szCs w:val="28"/>
        </w:rPr>
        <w:tab/>
      </w:r>
      <w:r>
        <w:rPr>
          <w:sz w:val="28"/>
          <w:szCs w:val="28"/>
        </w:rPr>
        <w:fldChar w:fldCharType="begin"/>
      </w:r>
      <w:r>
        <w:rPr>
          <w:sz w:val="28"/>
          <w:szCs w:val="28"/>
        </w:rPr>
        <w:instrText xml:space="preserve"> PAGEREF _Toc28261 \h </w:instrText>
      </w:r>
      <w:r>
        <w:rPr>
          <w:sz w:val="28"/>
          <w:szCs w:val="28"/>
        </w:rPr>
        <w:fldChar w:fldCharType="separate"/>
      </w:r>
      <w:r>
        <w:rPr>
          <w:sz w:val="28"/>
          <w:szCs w:val="28"/>
        </w:rPr>
        <w:t>46</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_Toc24206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eastAsia="宋体" w:cs="Times New Roman"/>
          <w:bCs/>
          <w:sz w:val="28"/>
          <w:szCs w:val="28"/>
          <w:lang w:val="en-US" w:eastAsia="zh-CN"/>
        </w:rPr>
        <w:t>.</w:t>
      </w:r>
      <w:r>
        <w:rPr>
          <w:rFonts w:hint="default" w:ascii="Times New Roman" w:hAnsi="Times New Roman" w:eastAsia="Times New Roman" w:cs="Times New Roman"/>
          <w:bCs/>
          <w:sz w:val="28"/>
          <w:szCs w:val="28"/>
          <w:lang w:val="en-US" w:eastAsia="zh-CN"/>
        </w:rPr>
        <w:t>5</w:t>
      </w:r>
      <w:r>
        <w:rPr>
          <w:rFonts w:hint="eastAsia" w:ascii="Times New Roman" w:hAnsi="Times New Roman" w:cs="Times New Roman"/>
          <w:bCs/>
          <w:sz w:val="28"/>
          <w:szCs w:val="28"/>
          <w:lang w:val="en-US" w:eastAsia="zh-CN"/>
        </w:rPr>
        <w:t xml:space="preserve">  </w:t>
      </w:r>
      <w:r>
        <w:rPr>
          <w:rFonts w:hint="default" w:ascii="Times New Roman" w:hAnsi="Times New Roman" w:eastAsia="宋体" w:cs="Times New Roman"/>
          <w:bCs/>
          <w:sz w:val="28"/>
          <w:szCs w:val="28"/>
          <w:lang w:val="en-US" w:eastAsia="zh-CN"/>
        </w:rPr>
        <w:t>中山市绿色建筑设计说明专篇-电气</w:t>
      </w:r>
      <w:r>
        <w:rPr>
          <w:sz w:val="28"/>
          <w:szCs w:val="28"/>
        </w:rPr>
        <w:tab/>
      </w:r>
      <w:r>
        <w:rPr>
          <w:sz w:val="28"/>
          <w:szCs w:val="28"/>
        </w:rPr>
        <w:fldChar w:fldCharType="begin"/>
      </w:r>
      <w:r>
        <w:rPr>
          <w:sz w:val="28"/>
          <w:szCs w:val="28"/>
        </w:rPr>
        <w:instrText xml:space="preserve"> PAGEREF _Toc24206 \h </w:instrText>
      </w:r>
      <w:r>
        <w:rPr>
          <w:sz w:val="28"/>
          <w:szCs w:val="28"/>
        </w:rPr>
        <w:fldChar w:fldCharType="separate"/>
      </w:r>
      <w:r>
        <w:rPr>
          <w:sz w:val="28"/>
          <w:szCs w:val="28"/>
        </w:rPr>
        <w:t>52</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_Toc11433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eastAsia="宋体" w:cs="Times New Roman"/>
          <w:bCs/>
          <w:sz w:val="28"/>
          <w:szCs w:val="28"/>
          <w:lang w:val="en-US" w:eastAsia="zh-CN"/>
        </w:rPr>
        <w:t>.</w:t>
      </w:r>
      <w:r>
        <w:rPr>
          <w:rFonts w:hint="default" w:ascii="Times New Roman" w:hAnsi="Times New Roman" w:eastAsia="Times New Roman" w:cs="Times New Roman"/>
          <w:bCs/>
          <w:sz w:val="28"/>
          <w:szCs w:val="28"/>
          <w:lang w:val="en-US" w:eastAsia="zh-CN"/>
        </w:rPr>
        <w:t>6</w:t>
      </w:r>
      <w:r>
        <w:rPr>
          <w:rFonts w:hint="eastAsia" w:ascii="Times New Roman" w:hAnsi="Times New Roman" w:cs="Times New Roman"/>
          <w:bCs/>
          <w:sz w:val="28"/>
          <w:szCs w:val="28"/>
          <w:lang w:val="en-US" w:eastAsia="zh-CN"/>
        </w:rPr>
        <w:t xml:space="preserve">  </w:t>
      </w:r>
      <w:r>
        <w:rPr>
          <w:rFonts w:hint="default" w:ascii="Times New Roman" w:hAnsi="Times New Roman" w:eastAsia="宋体" w:cs="Times New Roman"/>
          <w:bCs/>
          <w:sz w:val="28"/>
          <w:szCs w:val="28"/>
          <w:lang w:val="en-US" w:eastAsia="zh-CN"/>
        </w:rPr>
        <w:t>中山市绿色建筑设计说明专篇-暖通</w:t>
      </w:r>
      <w:r>
        <w:rPr>
          <w:sz w:val="28"/>
          <w:szCs w:val="28"/>
        </w:rPr>
        <w:tab/>
      </w:r>
      <w:r>
        <w:rPr>
          <w:sz w:val="28"/>
          <w:szCs w:val="28"/>
        </w:rPr>
        <w:fldChar w:fldCharType="begin"/>
      </w:r>
      <w:r>
        <w:rPr>
          <w:sz w:val="28"/>
          <w:szCs w:val="28"/>
        </w:rPr>
        <w:instrText xml:space="preserve"> PAGEREF _Toc11433 \h </w:instrText>
      </w:r>
      <w:r>
        <w:rPr>
          <w:sz w:val="28"/>
          <w:szCs w:val="28"/>
        </w:rPr>
        <w:fldChar w:fldCharType="separate"/>
      </w:r>
      <w:r>
        <w:rPr>
          <w:sz w:val="28"/>
          <w:szCs w:val="28"/>
        </w:rPr>
        <w:t>58</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_Toc14022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cs="Times New Roman"/>
          <w:bCs/>
          <w:sz w:val="28"/>
          <w:szCs w:val="28"/>
          <w:lang w:val="en-US" w:eastAsia="zh-CN"/>
        </w:rPr>
        <w:t>.</w:t>
      </w:r>
      <w:r>
        <w:rPr>
          <w:rFonts w:hint="default" w:ascii="Times New Roman" w:hAnsi="Times New Roman" w:eastAsia="Times New Roman" w:cs="Times New Roman"/>
          <w:bCs/>
          <w:sz w:val="28"/>
          <w:szCs w:val="28"/>
          <w:lang w:val="en-US" w:eastAsia="zh-CN"/>
        </w:rPr>
        <w:t>7</w:t>
      </w:r>
      <w:r>
        <w:rPr>
          <w:rFonts w:hint="default" w:ascii="Times New Roman" w:hAnsi="Times New Roman" w:cs="Times New Roman"/>
          <w:bCs/>
          <w:sz w:val="28"/>
          <w:szCs w:val="28"/>
          <w:lang w:val="en-US" w:eastAsia="zh-CN"/>
        </w:rPr>
        <w:t xml:space="preserve"> </w:t>
      </w:r>
      <w:r>
        <w:rPr>
          <w:rFonts w:hint="eastAsia"/>
          <w:bCs/>
          <w:sz w:val="28"/>
          <w:szCs w:val="28"/>
          <w:lang w:val="en-US" w:eastAsia="zh-CN"/>
        </w:rPr>
        <w:t xml:space="preserve"> </w:t>
      </w:r>
      <w:r>
        <w:rPr>
          <w:rFonts w:hint="default"/>
          <w:bCs/>
          <w:sz w:val="28"/>
          <w:szCs w:val="28"/>
          <w:lang w:val="en-US" w:eastAsia="zh-CN"/>
        </w:rPr>
        <w:t>中山市绿色建筑设计说明专篇填写要求</w:t>
      </w:r>
      <w:r>
        <w:rPr>
          <w:sz w:val="28"/>
          <w:szCs w:val="28"/>
        </w:rPr>
        <w:tab/>
      </w:r>
      <w:r>
        <w:rPr>
          <w:sz w:val="28"/>
          <w:szCs w:val="28"/>
        </w:rPr>
        <w:fldChar w:fldCharType="begin"/>
      </w:r>
      <w:r>
        <w:rPr>
          <w:sz w:val="28"/>
          <w:szCs w:val="28"/>
        </w:rPr>
        <w:instrText xml:space="preserve"> PAGEREF _Toc14022 \h </w:instrText>
      </w:r>
      <w:r>
        <w:rPr>
          <w:sz w:val="28"/>
          <w:szCs w:val="28"/>
        </w:rPr>
        <w:fldChar w:fldCharType="separate"/>
      </w:r>
      <w:r>
        <w:rPr>
          <w:sz w:val="28"/>
          <w:szCs w:val="28"/>
        </w:rPr>
        <w:t>64</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_Toc2711 </w:instrText>
      </w:r>
      <w:r>
        <w:rPr>
          <w:rFonts w:hint="eastAsia" w:ascii="宋体" w:hAnsi="宋体"/>
          <w:bCs/>
          <w:sz w:val="28"/>
          <w:szCs w:val="28"/>
        </w:rPr>
        <w:fldChar w:fldCharType="separate"/>
      </w:r>
      <w:r>
        <w:rPr>
          <w:rFonts w:hint="eastAsia"/>
          <w:sz w:val="28"/>
          <w:szCs w:val="28"/>
        </w:rPr>
        <w:t>附录</w:t>
      </w:r>
      <w:r>
        <w:rPr>
          <w:rFonts w:hint="eastAsia"/>
          <w:sz w:val="28"/>
          <w:szCs w:val="28"/>
          <w:lang w:val="en-US" w:eastAsia="zh-CN"/>
        </w:rPr>
        <w:t>A</w:t>
      </w:r>
      <w:r>
        <w:rPr>
          <w:rFonts w:hint="eastAsia"/>
          <w:sz w:val="28"/>
          <w:szCs w:val="28"/>
        </w:rPr>
        <w:t xml:space="preserve"> 绿色建筑性能评价申报材料清单</w:t>
      </w:r>
      <w:r>
        <w:rPr>
          <w:sz w:val="28"/>
          <w:szCs w:val="28"/>
        </w:rPr>
        <w:tab/>
      </w:r>
      <w:r>
        <w:rPr>
          <w:sz w:val="28"/>
          <w:szCs w:val="28"/>
        </w:rPr>
        <w:fldChar w:fldCharType="begin"/>
      </w:r>
      <w:r>
        <w:rPr>
          <w:sz w:val="28"/>
          <w:szCs w:val="28"/>
        </w:rPr>
        <w:instrText xml:space="preserve"> PAGEREF _Toc2711 \h </w:instrText>
      </w:r>
      <w:r>
        <w:rPr>
          <w:sz w:val="28"/>
          <w:szCs w:val="28"/>
        </w:rPr>
        <w:fldChar w:fldCharType="separate"/>
      </w:r>
      <w:r>
        <w:rPr>
          <w:sz w:val="28"/>
          <w:szCs w:val="28"/>
        </w:rPr>
        <w:t>65</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_Toc2650 </w:instrText>
      </w:r>
      <w:r>
        <w:rPr>
          <w:rFonts w:hint="eastAsia" w:ascii="宋体" w:hAnsi="宋体"/>
          <w:bCs/>
          <w:sz w:val="28"/>
          <w:szCs w:val="28"/>
        </w:rPr>
        <w:fldChar w:fldCharType="separate"/>
      </w:r>
      <w:r>
        <w:rPr>
          <w:rFonts w:hint="eastAsia"/>
          <w:sz w:val="28"/>
          <w:szCs w:val="28"/>
          <w:lang w:val="en-US" w:eastAsia="zh-CN"/>
        </w:rPr>
        <w:t>附录B 一星级绿色建筑各专业推荐得分条文</w:t>
      </w:r>
      <w:r>
        <w:rPr>
          <w:sz w:val="28"/>
          <w:szCs w:val="28"/>
        </w:rPr>
        <w:tab/>
      </w:r>
      <w:r>
        <w:rPr>
          <w:sz w:val="28"/>
          <w:szCs w:val="28"/>
        </w:rPr>
        <w:fldChar w:fldCharType="begin"/>
      </w:r>
      <w:r>
        <w:rPr>
          <w:sz w:val="28"/>
          <w:szCs w:val="28"/>
        </w:rPr>
        <w:instrText xml:space="preserve"> PAGEREF _Toc2650 \h </w:instrText>
      </w:r>
      <w:r>
        <w:rPr>
          <w:sz w:val="28"/>
          <w:szCs w:val="28"/>
        </w:rPr>
        <w:fldChar w:fldCharType="separate"/>
      </w:r>
      <w:r>
        <w:rPr>
          <w:sz w:val="28"/>
          <w:szCs w:val="28"/>
        </w:rPr>
        <w:t>74</w:t>
      </w:r>
      <w:r>
        <w:rPr>
          <w:sz w:val="28"/>
          <w:szCs w:val="28"/>
        </w:rPr>
        <w:fldChar w:fldCharType="end"/>
      </w:r>
      <w:r>
        <w:rPr>
          <w:rFonts w:hint="eastAsia" w:ascii="宋体" w:hAnsi="宋体"/>
          <w:bCs/>
          <w:sz w:val="28"/>
          <w:szCs w:val="28"/>
        </w:rPr>
        <w:fldChar w:fldCharType="end"/>
      </w:r>
    </w:p>
    <w:p>
      <w:pPr>
        <w:pStyle w:val="14"/>
        <w:tabs>
          <w:tab w:val="right" w:pos="2800"/>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_Toc25695 </w:instrText>
      </w:r>
      <w:r>
        <w:rPr>
          <w:rFonts w:hint="eastAsia" w:ascii="宋体" w:hAnsi="宋体"/>
          <w:bCs/>
          <w:sz w:val="28"/>
          <w:szCs w:val="28"/>
        </w:rPr>
        <w:fldChar w:fldCharType="separate"/>
      </w:r>
      <w:r>
        <w:rPr>
          <w:rFonts w:hint="eastAsia"/>
          <w:sz w:val="28"/>
          <w:szCs w:val="28"/>
          <w:lang w:val="en-US" w:eastAsia="zh-CN"/>
        </w:rPr>
        <w:t>附录C 二次专项设计执行绿色建筑标准的承诺函</w:t>
      </w:r>
      <w:r>
        <w:rPr>
          <w:sz w:val="28"/>
          <w:szCs w:val="28"/>
        </w:rPr>
        <w:tab/>
      </w:r>
      <w:r>
        <w:rPr>
          <w:sz w:val="28"/>
          <w:szCs w:val="28"/>
        </w:rPr>
        <w:fldChar w:fldCharType="begin"/>
      </w:r>
      <w:r>
        <w:rPr>
          <w:sz w:val="28"/>
          <w:szCs w:val="28"/>
        </w:rPr>
        <w:instrText xml:space="preserve"> PAGEREF _Toc25695 \h </w:instrText>
      </w:r>
      <w:r>
        <w:rPr>
          <w:sz w:val="28"/>
          <w:szCs w:val="28"/>
        </w:rPr>
        <w:fldChar w:fldCharType="separate"/>
      </w:r>
      <w:r>
        <w:rPr>
          <w:sz w:val="28"/>
          <w:szCs w:val="28"/>
        </w:rPr>
        <w:t>75</w:t>
      </w:r>
      <w:r>
        <w:rPr>
          <w:sz w:val="28"/>
          <w:szCs w:val="28"/>
        </w:rPr>
        <w:fldChar w:fldCharType="end"/>
      </w:r>
      <w:r>
        <w:rPr>
          <w:rFonts w:hint="eastAsia" w:ascii="宋体" w:hAnsi="宋体"/>
          <w:bCs/>
          <w:sz w:val="28"/>
          <w:szCs w:val="28"/>
        </w:rPr>
        <w:fldChar w:fldCharType="end"/>
      </w:r>
    </w:p>
    <w:p>
      <w:pPr>
        <w:spacing w:line="560" w:lineRule="exact"/>
        <w:jc w:val="center"/>
        <w:rPr>
          <w:rFonts w:hint="eastAsia" w:ascii="宋体" w:hAnsi="宋体"/>
          <w:bCs/>
          <w:szCs w:val="28"/>
        </w:rPr>
        <w:sectPr>
          <w:footerReference r:id="rId6" w:type="default"/>
          <w:pgSz w:w="11906" w:h="16838"/>
          <w:pgMar w:top="2098" w:right="1588" w:bottom="209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napToGrid w:val="0"/>
        <w:spacing w:line="360" w:lineRule="auto"/>
        <w:rPr>
          <w:rFonts w:hint="default"/>
        </w:rPr>
      </w:pPr>
      <w:bookmarkStart w:id="34" w:name="_Toc17399"/>
      <w:r>
        <w:rPr>
          <w:rFonts w:hint="eastAsia" w:ascii="宋体" w:hAnsi="宋体"/>
          <w:bCs/>
          <w:szCs w:val="28"/>
        </w:rPr>
        <w:fldChar w:fldCharType="end"/>
      </w:r>
      <w:bookmarkStart w:id="35" w:name="_Toc31360"/>
      <w:bookmarkStart w:id="36" w:name="_Toc5827"/>
      <w:bookmarkStart w:id="37" w:name="_Toc29932"/>
      <w:bookmarkStart w:id="38" w:name="_Toc626"/>
      <w:bookmarkStart w:id="39" w:name="_Toc21655"/>
      <w:bookmarkStart w:id="40" w:name="_Toc25716"/>
      <w:bookmarkStart w:id="41" w:name="_Toc22791"/>
      <w:bookmarkStart w:id="42" w:name="_Toc1459"/>
      <w:bookmarkStart w:id="43" w:name="_Toc18183"/>
      <w:bookmarkStart w:id="44" w:name="_Toc5598"/>
      <w:bookmarkStart w:id="45" w:name="_Toc6295"/>
      <w:bookmarkStart w:id="46" w:name="_Toc21274"/>
      <w:bookmarkStart w:id="47" w:name="_Toc9257"/>
      <w:bookmarkStart w:id="48" w:name="_Toc120"/>
      <w:bookmarkStart w:id="49" w:name="_Toc21001"/>
      <w:bookmarkStart w:id="50" w:name="_Toc30905"/>
      <w:bookmarkStart w:id="51" w:name="_Toc2738"/>
      <w:bookmarkStart w:id="52" w:name="_Toc17242"/>
      <w:bookmarkStart w:id="53" w:name="_Toc17324"/>
      <w:bookmarkStart w:id="54" w:name="_Toc6368"/>
      <w:bookmarkStart w:id="55" w:name="_Toc5795"/>
      <w:bookmarkStart w:id="56" w:name="_Toc11018"/>
      <w:bookmarkStart w:id="57" w:name="_Toc12931"/>
      <w:bookmarkStart w:id="58" w:name="_Toc4604"/>
      <w:r>
        <w:rPr>
          <w:rFonts w:hint="default"/>
        </w:rPr>
        <w:t>1  总  则</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adjustRightInd w:val="0"/>
        <w:snapToGrid w:val="0"/>
        <w:spacing w:before="93" w:beforeLines="30" w:after="93" w:afterLines="30" w:line="360" w:lineRule="auto"/>
        <w:jc w:val="left"/>
        <w:outlineLvl w:val="9"/>
        <w:rPr>
          <w:rFonts w:hint="default" w:ascii="Times New Roman" w:hAnsi="Times New Roman" w:cs="Times New Roman"/>
          <w:color w:val="auto"/>
          <w:sz w:val="28"/>
          <w:szCs w:val="28"/>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1</w:t>
      </w:r>
      <w:r>
        <w:rPr>
          <w:rFonts w:hint="eastAsia" w:ascii="Times New Roman" w:hAnsi="Times New Roman" w:cs="Times New Roman"/>
          <w:sz w:val="28"/>
          <w:szCs w:val="28"/>
          <w:lang w:val="en-US" w:eastAsia="zh-CN"/>
        </w:rPr>
        <w:t xml:space="preserve"> </w:t>
      </w:r>
      <w:r>
        <w:rPr>
          <w:rFonts w:hint="eastAsia" w:ascii="Times New Roman" w:hAnsi="Times New Roman" w:cs="Times New Roman"/>
          <w:szCs w:val="28"/>
          <w:lang w:val="en-US" w:eastAsia="zh-CN"/>
        </w:rPr>
        <w:t xml:space="preserve"> </w:t>
      </w:r>
      <w:r>
        <w:rPr>
          <w:rFonts w:hint="default" w:ascii="Times New Roman" w:hAnsi="Times New Roman" w:cs="Times New Roman"/>
          <w:sz w:val="28"/>
          <w:szCs w:val="28"/>
        </w:rPr>
        <w:t>为贯彻执行节约资源和保护环境的国家技术经济政策，推进中山市建筑业的可持续发展，规范绿色建筑设计，依照《绿色建筑评价标准》（GB/T</w:t>
      </w:r>
      <w:r>
        <w:rPr>
          <w:rFonts w:hint="default" w:ascii="Times New Roman" w:hAnsi="Times New Roman" w:cs="Times New Roman"/>
          <w:sz w:val="28"/>
          <w:szCs w:val="28"/>
          <w:lang w:val="en-US" w:eastAsia="zh-CN"/>
        </w:rPr>
        <w:t xml:space="preserve"> </w:t>
      </w:r>
      <w:r>
        <w:rPr>
          <w:rFonts w:hint="default" w:ascii="Times New Roman" w:hAnsi="Times New Roman" w:eastAsia="Times New Roman" w:cs="Times New Roman"/>
          <w:sz w:val="28"/>
          <w:szCs w:val="28"/>
        </w:rPr>
        <w:t>50378</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20</w:t>
      </w:r>
      <w:r>
        <w:rPr>
          <w:rFonts w:hint="eastAsia" w:ascii="Times New Roman" w:hAnsi="Times New Roman" w:eastAsia="Times New Roman" w:cs="Times New Roman"/>
          <w:sz w:val="28"/>
          <w:szCs w:val="28"/>
          <w:lang w:val="en-US" w:eastAsia="zh-CN"/>
        </w:rPr>
        <w:t>19</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广东省绿色建筑条例</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[广东省第十三届人民代表大会常务委员会公告（第</w:t>
      </w:r>
      <w:r>
        <w:rPr>
          <w:rFonts w:hint="eastAsia" w:ascii="Times New Roman" w:hAnsi="Times New Roman" w:eastAsia="Times New Roman" w:cs="Times New Roman"/>
          <w:color w:val="auto"/>
          <w:sz w:val="28"/>
          <w:szCs w:val="28"/>
          <w:lang w:val="en-US" w:eastAsia="zh-CN"/>
        </w:rPr>
        <w:t>74</w:t>
      </w:r>
      <w:r>
        <w:rPr>
          <w:rFonts w:hint="eastAsia" w:ascii="Times New Roman" w:hAnsi="Times New Roman" w:cs="Times New Roman"/>
          <w:color w:val="auto"/>
          <w:sz w:val="28"/>
          <w:szCs w:val="28"/>
          <w:lang w:val="en-US" w:eastAsia="zh-CN"/>
        </w:rPr>
        <w:t>号）]</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《广东省绿色建筑</w:t>
      </w:r>
      <w:r>
        <w:rPr>
          <w:rFonts w:hint="eastAsia" w:ascii="Times New Roman" w:hAnsi="Times New Roman" w:cs="Times New Roman"/>
          <w:color w:val="auto"/>
          <w:sz w:val="28"/>
          <w:szCs w:val="28"/>
          <w:lang w:val="en-US" w:eastAsia="zh-CN"/>
        </w:rPr>
        <w:t>设计规范</w:t>
      </w:r>
      <w:r>
        <w:rPr>
          <w:rFonts w:hint="default" w:ascii="Times New Roman" w:hAnsi="Times New Roman" w:cs="Times New Roman"/>
          <w:color w:val="auto"/>
          <w:sz w:val="28"/>
          <w:szCs w:val="28"/>
        </w:rPr>
        <w:t xml:space="preserve">》（DBJ/T </w:t>
      </w:r>
      <w:r>
        <w:rPr>
          <w:rFonts w:hint="default" w:ascii="Times New Roman" w:hAnsi="Times New Roman" w:eastAsia="Times New Roman" w:cs="Times New Roman"/>
          <w:color w:val="auto"/>
          <w:sz w:val="28"/>
          <w:szCs w:val="28"/>
        </w:rPr>
        <w:t>15</w:t>
      </w:r>
      <w:r>
        <w:rPr>
          <w:rFonts w:hint="default" w:ascii="Times New Roman" w:hAnsi="Times New Roman" w:cs="Times New Roman"/>
          <w:color w:val="auto"/>
          <w:sz w:val="28"/>
          <w:szCs w:val="28"/>
        </w:rPr>
        <w:t>-</w:t>
      </w:r>
      <w:r>
        <w:rPr>
          <w:rFonts w:hint="eastAsia" w:ascii="Times New Roman" w:hAnsi="Times New Roman" w:eastAsia="Times New Roman" w:cs="Times New Roman"/>
          <w:color w:val="auto"/>
          <w:sz w:val="28"/>
          <w:szCs w:val="28"/>
          <w:lang w:val="en-US" w:eastAsia="zh-CN"/>
        </w:rPr>
        <w:t>201</w:t>
      </w:r>
      <w:r>
        <w:rPr>
          <w:rFonts w:hint="default" w:ascii="Times New Roman" w:hAnsi="Times New Roman" w:cs="Times New Roman"/>
          <w:color w:val="auto"/>
          <w:sz w:val="28"/>
          <w:szCs w:val="28"/>
        </w:rPr>
        <w:t>-</w:t>
      </w:r>
      <w:r>
        <w:rPr>
          <w:rFonts w:hint="eastAsia" w:ascii="Times New Roman" w:hAnsi="Times New Roman" w:eastAsia="Times New Roman" w:cs="Times New Roman"/>
          <w:color w:val="auto"/>
          <w:sz w:val="28"/>
          <w:szCs w:val="28"/>
          <w:lang w:val="en-US" w:eastAsia="zh-CN"/>
        </w:rPr>
        <w:t>2020</w:t>
      </w:r>
      <w:r>
        <w:rPr>
          <w:rFonts w:hint="default" w:ascii="Times New Roman" w:hAnsi="Times New Roman" w:cs="Times New Roman"/>
          <w:color w:val="auto"/>
          <w:sz w:val="28"/>
          <w:szCs w:val="28"/>
        </w:rPr>
        <w:t>）和</w:t>
      </w:r>
      <w:r>
        <w:rPr>
          <w:rFonts w:hint="default" w:ascii="Times New Roman" w:hAnsi="Times New Roman" w:cs="Times New Roman"/>
          <w:color w:val="auto"/>
          <w:sz w:val="28"/>
          <w:szCs w:val="28"/>
          <w:lang w:eastAsia="zh-CN"/>
        </w:rPr>
        <w:t>《中山市住房和城乡建设局关于组织开展一星级绿色建筑评价标识的通知》（</w:t>
      </w:r>
      <w:r>
        <w:rPr>
          <w:rFonts w:hint="default" w:ascii="Times New Roman" w:hAnsi="Times New Roman" w:cs="Times New Roman"/>
          <w:color w:val="auto"/>
          <w:sz w:val="28"/>
          <w:szCs w:val="28"/>
          <w:lang w:val="en-US" w:eastAsia="zh-CN"/>
        </w:rPr>
        <w:t>中建通〔</w:t>
      </w:r>
      <w:r>
        <w:rPr>
          <w:rFonts w:hint="eastAsia" w:ascii="Times New Roman" w:hAnsi="Times New Roman" w:cs="Times New Roman"/>
          <w:color w:val="auto"/>
          <w:sz w:val="28"/>
          <w:szCs w:val="28"/>
          <w:lang w:val="en-US" w:eastAsia="zh-CN"/>
        </w:rPr>
        <w:t>2014</w:t>
      </w:r>
      <w:r>
        <w:rPr>
          <w:rFonts w:hint="default" w:ascii="Times New Roman" w:hAnsi="Times New Roman" w:cs="Times New Roman"/>
          <w:color w:val="auto"/>
          <w:sz w:val="28"/>
          <w:szCs w:val="28"/>
          <w:lang w:val="en-US" w:eastAsia="zh-CN"/>
        </w:rPr>
        <w:t>〕</w:t>
      </w:r>
      <w:r>
        <w:rPr>
          <w:rFonts w:hint="default" w:ascii="Times New Roman" w:hAnsi="Times New Roman" w:eastAsia="Times New Roman" w:cs="Times New Roman"/>
          <w:color w:val="auto"/>
          <w:sz w:val="28"/>
          <w:szCs w:val="28"/>
          <w:lang w:val="en-US" w:eastAsia="zh-CN"/>
        </w:rPr>
        <w:t>131</w:t>
      </w:r>
      <w:r>
        <w:rPr>
          <w:rFonts w:hint="default" w:ascii="Times New Roman" w:hAnsi="Times New Roman" w:cs="Times New Roman"/>
          <w:color w:val="auto"/>
          <w:sz w:val="28"/>
          <w:szCs w:val="28"/>
          <w:lang w:val="en-US" w:eastAsia="zh-CN"/>
        </w:rPr>
        <w:t>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，制定本指南</w:t>
      </w:r>
      <w:r>
        <w:rPr>
          <w:rFonts w:hint="default" w:ascii="Times New Roman" w:hAnsi="Times New Roman" w:cs="Times New Roman"/>
          <w:color w:val="auto"/>
          <w:sz w:val="28"/>
          <w:szCs w:val="28"/>
          <w:lang w:eastAsia="zh-CN"/>
        </w:rPr>
        <w:t>。</w:t>
      </w:r>
    </w:p>
    <w:p>
      <w:pPr>
        <w:adjustRightInd w:val="0"/>
        <w:snapToGrid w:val="0"/>
        <w:spacing w:before="93" w:beforeLines="30" w:after="93" w:afterLines="30" w:line="360" w:lineRule="auto"/>
        <w:jc w:val="left"/>
        <w:outlineLvl w:val="9"/>
        <w:rPr>
          <w:rFonts w:hint="default" w:ascii="Times New Roman" w:hAnsi="Times New Roman" w:eastAsia="宋体" w:cs="Times New Roman"/>
          <w:color w:val="auto"/>
          <w:sz w:val="28"/>
          <w:szCs w:val="28"/>
        </w:rPr>
      </w:pPr>
      <w:r>
        <w:rPr>
          <w:rFonts w:hint="default" w:ascii="Times New Roman" w:hAnsi="Times New Roman" w:eastAsia="Times New Roman" w:cs="Times New Roman"/>
          <w:color w:val="auto"/>
          <w:sz w:val="28"/>
          <w:szCs w:val="28"/>
        </w:rPr>
        <w:t>1</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0</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2</w:t>
      </w:r>
      <w:r>
        <w:rPr>
          <w:rFonts w:hint="eastAsia" w:ascii="Times New Roman" w:hAnsi="Times New Roman" w:cs="Times New Roman"/>
          <w:color w:val="auto"/>
          <w:sz w:val="28"/>
          <w:szCs w:val="28"/>
          <w:lang w:val="en-US" w:eastAsia="zh-CN"/>
        </w:rPr>
        <w:t xml:space="preserve">  本指南适用于</w:t>
      </w:r>
      <w:r>
        <w:rPr>
          <w:rFonts w:hint="default" w:ascii="Times New Roman" w:hAnsi="Times New Roman" w:eastAsia="宋体" w:cs="Times New Roman"/>
          <w:color w:val="auto"/>
          <w:sz w:val="28"/>
          <w:szCs w:val="28"/>
        </w:rPr>
        <w:t>中山市</w:t>
      </w:r>
      <w:r>
        <w:rPr>
          <w:rFonts w:hint="eastAsia" w:ascii="Times New Roman" w:hAnsi="Times New Roman" w:cs="Times New Roman"/>
          <w:color w:val="auto"/>
          <w:sz w:val="28"/>
          <w:szCs w:val="28"/>
          <w:lang w:val="en-US" w:eastAsia="zh-CN"/>
        </w:rPr>
        <w:t>范围</w:t>
      </w:r>
      <w:r>
        <w:rPr>
          <w:rFonts w:hint="eastAsia" w:ascii="Times New Roman" w:hAnsi="Times New Roman" w:cs="Times New Roman"/>
          <w:color w:val="auto"/>
          <w:kern w:val="0"/>
          <w:sz w:val="28"/>
          <w:szCs w:val="28"/>
          <w:lang w:val="en-US" w:eastAsia="zh-CN"/>
        </w:rPr>
        <w:t>内新建、改建和扩建</w:t>
      </w:r>
      <w:r>
        <w:rPr>
          <w:rFonts w:hint="default" w:ascii="Times New Roman" w:hAnsi="Times New Roman" w:eastAsia="宋体" w:cs="Times New Roman"/>
          <w:color w:val="auto"/>
          <w:kern w:val="0"/>
          <w:sz w:val="28"/>
          <w:szCs w:val="28"/>
        </w:rPr>
        <w:t>民用</w:t>
      </w:r>
      <w:r>
        <w:rPr>
          <w:rFonts w:hint="eastAsia" w:ascii="Times New Roman" w:hAnsi="Times New Roman" w:cs="Times New Roman"/>
          <w:color w:val="auto"/>
          <w:kern w:val="0"/>
          <w:sz w:val="28"/>
          <w:szCs w:val="28"/>
          <w:lang w:val="en-US" w:eastAsia="zh-CN"/>
        </w:rPr>
        <w:t>建筑工程中的绿色建筑</w:t>
      </w:r>
      <w:r>
        <w:rPr>
          <w:rFonts w:hint="default" w:ascii="Times New Roman" w:hAnsi="Times New Roman" w:eastAsia="宋体" w:cs="Times New Roman"/>
          <w:color w:val="auto"/>
          <w:sz w:val="28"/>
          <w:szCs w:val="28"/>
        </w:rPr>
        <w:t>设计</w:t>
      </w:r>
      <w:r>
        <w:rPr>
          <w:rFonts w:hint="default" w:ascii="Times New Roman" w:hAnsi="Times New Roman" w:cs="Times New Roman"/>
          <w:color w:val="auto"/>
          <w:sz w:val="28"/>
          <w:szCs w:val="28"/>
          <w:lang w:eastAsia="zh-CN"/>
        </w:rPr>
        <w:t>、审查、</w:t>
      </w:r>
      <w:r>
        <w:rPr>
          <w:rFonts w:hint="eastAsia" w:ascii="Times New Roman" w:hAnsi="Times New Roman" w:cs="Times New Roman"/>
          <w:color w:val="auto"/>
          <w:sz w:val="28"/>
          <w:szCs w:val="28"/>
          <w:lang w:val="en-US" w:eastAsia="zh-CN"/>
        </w:rPr>
        <w:t>预评价</w:t>
      </w:r>
      <w:r>
        <w:rPr>
          <w:rFonts w:hint="default" w:ascii="Times New Roman" w:hAnsi="Times New Roman" w:eastAsia="宋体" w:cs="Times New Roman"/>
          <w:color w:val="auto"/>
          <w:sz w:val="28"/>
          <w:szCs w:val="28"/>
          <w:lang w:eastAsia="zh-CN"/>
        </w:rPr>
        <w:t>及</w:t>
      </w:r>
      <w:r>
        <w:rPr>
          <w:rFonts w:hint="eastAsia" w:ascii="Times New Roman" w:hAnsi="Times New Roman" w:cs="Times New Roman"/>
          <w:color w:val="auto"/>
          <w:sz w:val="28"/>
          <w:szCs w:val="28"/>
          <w:lang w:val="en-US" w:eastAsia="zh-CN"/>
        </w:rPr>
        <w:t>评价</w:t>
      </w:r>
      <w:r>
        <w:rPr>
          <w:rFonts w:hint="default" w:ascii="Times New Roman" w:hAnsi="Times New Roman" w:eastAsia="宋体" w:cs="Times New Roman"/>
          <w:color w:val="auto"/>
          <w:sz w:val="28"/>
          <w:szCs w:val="28"/>
        </w:rPr>
        <w:t>。</w:t>
      </w:r>
    </w:p>
    <w:p>
      <w:pPr>
        <w:adjustRightInd w:val="0"/>
        <w:snapToGrid w:val="0"/>
        <w:spacing w:before="93" w:beforeLines="30" w:after="93" w:afterLines="30" w:line="360" w:lineRule="auto"/>
        <w:jc w:val="left"/>
        <w:outlineLvl w:val="9"/>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val="en-US"/>
        </w:rPr>
        <w:t>1</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0</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3</w:t>
      </w:r>
      <w:r>
        <w:rPr>
          <w:rFonts w:hint="eastAsia" w:ascii="Times New Roman" w:hAnsi="Times New Roman" w:cs="Times New Roman"/>
          <w:color w:val="auto"/>
          <w:sz w:val="28"/>
          <w:szCs w:val="28"/>
          <w:lang w:val="en-US" w:eastAsia="zh-CN"/>
        </w:rPr>
        <w:t xml:space="preserve">  </w:t>
      </w:r>
      <w:r>
        <w:rPr>
          <w:rFonts w:hint="eastAsia" w:ascii="宋体" w:hAnsi="宋体" w:eastAsia="宋体" w:cs="宋体"/>
          <w:i w:val="0"/>
          <w:caps w:val="0"/>
          <w:color w:val="auto"/>
          <w:spacing w:val="0"/>
          <w:sz w:val="28"/>
          <w:szCs w:val="28"/>
          <w:shd w:val="clear" w:color="auto" w:fill="FFFFFF"/>
        </w:rPr>
        <w:t>新建民用建筑应当按照绿色建筑标准进行</w:t>
      </w:r>
      <w:r>
        <w:rPr>
          <w:rFonts w:hint="eastAsia" w:ascii="宋体" w:hAnsi="宋体" w:cs="宋体"/>
          <w:i w:val="0"/>
          <w:caps w:val="0"/>
          <w:color w:val="auto"/>
          <w:spacing w:val="0"/>
          <w:sz w:val="28"/>
          <w:szCs w:val="28"/>
          <w:shd w:val="clear" w:color="auto" w:fill="FFFFFF"/>
          <w:lang w:val="en-US" w:eastAsia="zh-CN"/>
        </w:rPr>
        <w:t>建设</w:t>
      </w:r>
      <w:r>
        <w:rPr>
          <w:rFonts w:hint="eastAsia" w:ascii="宋体" w:hAnsi="宋体" w:eastAsia="宋体" w:cs="宋体"/>
          <w:i w:val="0"/>
          <w:caps w:val="0"/>
          <w:color w:val="auto"/>
          <w:spacing w:val="0"/>
          <w:sz w:val="28"/>
          <w:szCs w:val="28"/>
          <w:shd w:val="clear" w:color="auto" w:fill="FFFFFF"/>
        </w:rPr>
        <w:t>。大型公共建筑和国家机关办公建筑、国有资金参与投资建设的其他公共建筑应当按照高于最低等级绿色建筑标准进行</w:t>
      </w:r>
      <w:r>
        <w:rPr>
          <w:rFonts w:hint="eastAsia" w:ascii="宋体" w:hAnsi="宋体" w:cs="宋体"/>
          <w:i w:val="0"/>
          <w:caps w:val="0"/>
          <w:color w:val="auto"/>
          <w:spacing w:val="0"/>
          <w:sz w:val="28"/>
          <w:szCs w:val="28"/>
          <w:shd w:val="clear" w:color="auto" w:fill="FFFFFF"/>
          <w:lang w:val="en-US" w:eastAsia="zh-CN"/>
        </w:rPr>
        <w:t>建设</w:t>
      </w:r>
      <w:r>
        <w:rPr>
          <w:rFonts w:hint="eastAsia" w:ascii="宋体" w:hAnsi="宋体" w:eastAsia="宋体" w:cs="宋体"/>
          <w:i w:val="0"/>
          <w:caps w:val="0"/>
          <w:color w:val="auto"/>
          <w:spacing w:val="0"/>
          <w:sz w:val="28"/>
          <w:szCs w:val="28"/>
          <w:shd w:val="clear" w:color="auto" w:fill="FFFFFF"/>
          <w:lang w:eastAsia="zh-CN"/>
        </w:rPr>
        <w:t>。</w:t>
      </w:r>
    </w:p>
    <w:p>
      <w:pPr>
        <w:adjustRightInd w:val="0"/>
        <w:snapToGrid w:val="0"/>
        <w:spacing w:before="93" w:beforeLines="30" w:after="93" w:afterLines="30" w:line="360" w:lineRule="auto"/>
        <w:jc w:val="left"/>
        <w:outlineLvl w:val="9"/>
        <w:rPr>
          <w:rFonts w:hint="eastAsia" w:ascii="Times New Roman" w:hAnsi="Times New Roman" w:eastAsia="宋体" w:cs="Times New Roman"/>
          <w:sz w:val="28"/>
          <w:szCs w:val="28"/>
          <w:lang w:eastAsia="zh-CN"/>
        </w:rPr>
      </w:pPr>
      <w:r>
        <w:rPr>
          <w:rFonts w:hint="default" w:ascii="Times New Roman" w:hAnsi="Times New Roman" w:eastAsia="Times New Roman" w:cs="Times New Roman"/>
          <w:color w:val="auto"/>
          <w:sz w:val="28"/>
          <w:szCs w:val="28"/>
        </w:rPr>
        <w:t>1</w:t>
      </w:r>
      <w:r>
        <w:rPr>
          <w:rFonts w:hint="default" w:ascii="Times New Roman" w:hAnsi="Times New Roman" w:cs="Times New Roman"/>
          <w:color w:val="auto"/>
          <w:sz w:val="28"/>
          <w:szCs w:val="28"/>
        </w:rPr>
        <w:t>.</w:t>
      </w:r>
      <w:r>
        <w:rPr>
          <w:rFonts w:hint="default" w:ascii="Times New Roman" w:hAnsi="Times New Roman" w:eastAsia="Times New Roman" w:cs="Times New Roman"/>
          <w:color w:val="auto"/>
          <w:sz w:val="28"/>
          <w:szCs w:val="28"/>
        </w:rPr>
        <w:t>0</w:t>
      </w:r>
      <w:r>
        <w:rPr>
          <w:rFonts w:hint="default" w:ascii="Times New Roman" w:hAnsi="Times New Roman" w:cs="Times New Roman"/>
          <w:color w:val="auto"/>
          <w:sz w:val="28"/>
          <w:szCs w:val="28"/>
        </w:rPr>
        <w:t>.</w:t>
      </w:r>
      <w:r>
        <w:rPr>
          <w:rFonts w:hint="default" w:ascii="Times New Roman" w:hAnsi="Times New Roman" w:eastAsia="Times New Roman" w:cs="Times New Roman"/>
          <w:color w:val="auto"/>
          <w:sz w:val="28"/>
          <w:szCs w:val="28"/>
          <w:lang w:val="en-US" w:eastAsia="zh-CN"/>
        </w:rPr>
        <w:t>4</w:t>
      </w:r>
      <w:r>
        <w:rPr>
          <w:rFonts w:hint="eastAsia" w:ascii="Times New Roman" w:hAnsi="Times New Roman" w:cs="Times New Roman"/>
          <w:color w:val="auto"/>
          <w:sz w:val="28"/>
          <w:szCs w:val="28"/>
          <w:lang w:val="en-US" w:eastAsia="zh-CN"/>
        </w:rPr>
        <w:t xml:space="preserve">  </w:t>
      </w:r>
      <w:r>
        <w:rPr>
          <w:sz w:val="28"/>
          <w:szCs w:val="28"/>
        </w:rPr>
        <w:t>绿色设计应统筹考虑建筑全生命期内节能、节地、节水、节材、保护环境和室内外环境营造之间的</w:t>
      </w:r>
      <w:r>
        <w:rPr>
          <w:rFonts w:hint="eastAsia"/>
          <w:sz w:val="28"/>
          <w:szCs w:val="28"/>
          <w:lang w:val="en-US" w:eastAsia="zh-CN"/>
        </w:rPr>
        <w:t>平衡</w:t>
      </w:r>
      <w:r>
        <w:rPr>
          <w:sz w:val="28"/>
          <w:szCs w:val="28"/>
        </w:rPr>
        <w:t>，体现经济效益、社会效益和环境效益的统一</w:t>
      </w:r>
      <w:r>
        <w:rPr>
          <w:rFonts w:hint="eastAsia"/>
          <w:sz w:val="28"/>
          <w:szCs w:val="28"/>
          <w:lang w:eastAsia="zh-CN"/>
        </w:rPr>
        <w:t>。</w:t>
      </w:r>
    </w:p>
    <w:p>
      <w:pPr>
        <w:adjustRightInd w:val="0"/>
        <w:snapToGrid w:val="0"/>
        <w:spacing w:before="93" w:beforeLines="30" w:after="93" w:afterLines="30" w:line="360" w:lineRule="auto"/>
        <w:ind w:left="0" w:firstLine="0" w:firstLineChars="0"/>
        <w:jc w:val="left"/>
        <w:outlineLvl w:val="9"/>
        <w:rPr>
          <w:b/>
          <w:sz w:val="36"/>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default" w:ascii="Times New Roman" w:hAnsi="Times New Roman" w:eastAsia="Times New Roman" w:cs="Times New Roman"/>
          <w:sz w:val="28"/>
          <w:szCs w:val="28"/>
          <w:lang w:val="en-US" w:eastAsia="zh-CN"/>
        </w:rPr>
        <w:t>5</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绿色建筑的设计除应符合本指南外，尚应符合国家</w:t>
      </w:r>
      <w:r>
        <w:rPr>
          <w:rFonts w:hint="default" w:ascii="Times New Roman" w:hAnsi="Times New Roman" w:cs="Times New Roman"/>
          <w:sz w:val="28"/>
          <w:szCs w:val="28"/>
          <w:lang w:eastAsia="zh-CN"/>
        </w:rPr>
        <w:t>、广东省及我市</w:t>
      </w:r>
      <w:r>
        <w:rPr>
          <w:rFonts w:hint="eastAsia"/>
          <w:sz w:val="28"/>
          <w:szCs w:val="28"/>
          <w:lang w:eastAsia="zh-CN"/>
        </w:rPr>
        <w:t>的法律法规和</w:t>
      </w:r>
      <w:r>
        <w:rPr>
          <w:rFonts w:hint="eastAsia"/>
          <w:sz w:val="28"/>
          <w:szCs w:val="28"/>
        </w:rPr>
        <w:t>现行</w:t>
      </w:r>
      <w:r>
        <w:rPr>
          <w:rFonts w:hint="eastAsia"/>
          <w:sz w:val="28"/>
          <w:szCs w:val="28"/>
          <w:lang w:eastAsia="zh-CN"/>
        </w:rPr>
        <w:t>的</w:t>
      </w:r>
      <w:r>
        <w:rPr>
          <w:rFonts w:hint="eastAsia"/>
          <w:sz w:val="28"/>
          <w:szCs w:val="28"/>
        </w:rPr>
        <w:t>有关</w:t>
      </w:r>
      <w:r>
        <w:rPr>
          <w:rFonts w:hint="eastAsia"/>
          <w:sz w:val="28"/>
          <w:szCs w:val="28"/>
          <w:lang w:eastAsia="zh-CN"/>
        </w:rPr>
        <w:t>强制性</w:t>
      </w:r>
      <w:r>
        <w:rPr>
          <w:rFonts w:hint="eastAsia"/>
          <w:sz w:val="28"/>
          <w:szCs w:val="28"/>
        </w:rPr>
        <w:t>标准。</w:t>
      </w:r>
      <w:bookmarkStart w:id="59" w:name="_Toc438203898"/>
      <w:bookmarkStart w:id="60" w:name="_Toc438204138"/>
      <w:bookmarkStart w:id="61" w:name="_Toc438459487"/>
      <w:bookmarkStart w:id="62" w:name="_Toc704"/>
    </w:p>
    <w:p>
      <w:pPr>
        <w:adjustRightInd w:val="0"/>
        <w:snapToGrid w:val="0"/>
        <w:spacing w:before="93" w:beforeLines="30" w:after="93" w:afterLines="30" w:line="312" w:lineRule="auto"/>
        <w:jc w:val="both"/>
        <w:outlineLvl w:val="0"/>
        <w:rPr>
          <w:rFonts w:hint="eastAsia" w:ascii="宋体" w:hAnsi="宋体" w:eastAsia="宋体" w:cs="宋体"/>
          <w:b/>
          <w:sz w:val="36"/>
        </w:rPr>
      </w:pPr>
      <w:bookmarkStart w:id="63" w:name="_Toc7110"/>
      <w:bookmarkStart w:id="64" w:name="_Toc30396"/>
      <w:bookmarkStart w:id="65" w:name="_Toc17382"/>
      <w:bookmarkStart w:id="66" w:name="_Toc12840"/>
      <w:bookmarkStart w:id="67" w:name="_Toc28290"/>
    </w:p>
    <w:p>
      <w:pPr>
        <w:adjustRightInd w:val="0"/>
        <w:snapToGrid w:val="0"/>
        <w:spacing w:before="93" w:beforeLines="30" w:after="93" w:afterLines="30" w:line="312" w:lineRule="auto"/>
        <w:jc w:val="both"/>
        <w:outlineLvl w:val="0"/>
        <w:rPr>
          <w:rFonts w:hint="eastAsia" w:ascii="宋体" w:hAnsi="宋体" w:eastAsia="宋体" w:cs="宋体"/>
          <w:b/>
          <w:bCs w:val="0"/>
          <w:sz w:val="32"/>
          <w:szCs w:val="32"/>
        </w:rPr>
      </w:pPr>
    </w:p>
    <w:p>
      <w:pPr>
        <w:pStyle w:val="3"/>
        <w:adjustRightInd/>
        <w:snapToGrid/>
        <w:spacing w:before="350" w:beforeLines="0" w:after="330" w:afterLines="0" w:line="360" w:lineRule="auto"/>
        <w:rPr>
          <w:sz w:val="32"/>
          <w:szCs w:val="32"/>
        </w:rPr>
      </w:pPr>
      <w:bookmarkStart w:id="68" w:name="_Toc21711"/>
      <w:bookmarkStart w:id="69" w:name="_Toc23866"/>
      <w:bookmarkStart w:id="70" w:name="_Toc11995"/>
      <w:bookmarkStart w:id="71" w:name="_Toc12992"/>
      <w:bookmarkStart w:id="72" w:name="_Toc7092"/>
      <w:bookmarkStart w:id="73" w:name="_Toc25365"/>
      <w:bookmarkStart w:id="74" w:name="_Toc22509"/>
      <w:bookmarkStart w:id="75" w:name="_Toc30491"/>
      <w:bookmarkStart w:id="76" w:name="_Toc18520"/>
      <w:bookmarkStart w:id="77" w:name="_Toc31529"/>
      <w:bookmarkStart w:id="78" w:name="_Toc4860"/>
      <w:bookmarkStart w:id="79" w:name="_Toc30143"/>
      <w:bookmarkStart w:id="80" w:name="_Toc23907"/>
      <w:bookmarkStart w:id="81" w:name="_Toc2457"/>
      <w:bookmarkStart w:id="82" w:name="_Toc28827"/>
      <w:bookmarkStart w:id="83" w:name="_Toc27175"/>
      <w:bookmarkStart w:id="84" w:name="_Toc20111"/>
      <w:bookmarkStart w:id="85" w:name="_Toc9349"/>
      <w:r>
        <w:rPr>
          <w:rFonts w:hint="eastAsia" w:eastAsia="Times New Roman"/>
          <w:szCs w:val="32"/>
        </w:rPr>
        <w:t>2</w:t>
      </w:r>
      <w:r>
        <w:rPr>
          <w:rFonts w:hint="eastAsia"/>
          <w:szCs w:val="32"/>
        </w:rPr>
        <w:t xml:space="preserve"> </w:t>
      </w:r>
      <w:r>
        <w:rPr>
          <w:rFonts w:hint="eastAsia"/>
          <w:szCs w:val="32"/>
          <w:lang w:val="en-US" w:eastAsia="zh-CN"/>
        </w:rPr>
        <w:t xml:space="preserve"> </w:t>
      </w:r>
      <w:r>
        <w:rPr>
          <w:rFonts w:hint="eastAsia"/>
          <w:szCs w:val="32"/>
        </w:rPr>
        <w:t>术</w:t>
      </w:r>
      <w:r>
        <w:rPr>
          <w:rFonts w:hint="eastAsia"/>
          <w:szCs w:val="32"/>
          <w:lang w:val="en-US" w:eastAsia="zh-CN"/>
        </w:rPr>
        <w:t xml:space="preserve">  </w:t>
      </w:r>
      <w:r>
        <w:rPr>
          <w:rFonts w:hint="eastAsia"/>
          <w:szCs w:val="32"/>
        </w:rPr>
        <w:t>语</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adjustRightInd w:val="0"/>
        <w:snapToGrid w:val="0"/>
        <w:spacing w:before="93" w:beforeLines="30" w:after="93" w:afterLines="30" w:line="312" w:lineRule="auto"/>
        <w:rPr>
          <w:sz w:val="28"/>
          <w:szCs w:val="28"/>
        </w:rPr>
      </w:pPr>
      <w:bookmarkStart w:id="86" w:name="_Toc32272"/>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1</w:t>
      </w:r>
      <w:r>
        <w:rPr>
          <w:rFonts w:hint="eastAsia"/>
          <w:sz w:val="28"/>
          <w:szCs w:val="28"/>
          <w:lang w:val="en-US" w:eastAsia="zh-CN"/>
        </w:rPr>
        <w:t xml:space="preserve">  </w:t>
      </w:r>
      <w:r>
        <w:rPr>
          <w:sz w:val="28"/>
          <w:szCs w:val="28"/>
        </w:rPr>
        <w:t>绿色建筑</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building</w:t>
      </w:r>
    </w:p>
    <w:p>
      <w:pPr>
        <w:adjustRightInd w:val="0"/>
        <w:snapToGrid w:val="0"/>
        <w:spacing w:before="93" w:beforeLines="30" w:after="93" w:afterLines="30" w:line="312" w:lineRule="auto"/>
        <w:ind w:firstLine="580" w:firstLineChars="200"/>
        <w:rPr>
          <w:rFonts w:hint="eastAsia" w:ascii="宋体" w:hAnsi="宋体" w:eastAsia="宋体" w:cs="宋体"/>
          <w:sz w:val="21"/>
          <w:szCs w:val="21"/>
          <w:lang w:eastAsia="zh-CN"/>
        </w:rPr>
      </w:pPr>
      <w:r>
        <w:rPr>
          <w:rFonts w:hint="eastAsia" w:ascii="宋体" w:hAnsi="宋体" w:eastAsia="宋体" w:cs="宋体"/>
          <w:b w:val="0"/>
          <w:bCs w:val="0"/>
          <w:i w:val="0"/>
          <w:caps w:val="0"/>
          <w:color w:val="333333"/>
          <w:spacing w:val="5"/>
          <w:sz w:val="28"/>
          <w:szCs w:val="28"/>
          <w:shd w:val="clear" w:color="auto" w:fill="FFFFFF"/>
        </w:rPr>
        <w:t>在建筑全寿命期内，节约用地、用水、能源、建材等资源，保护环境、减少污染，为人们提供健康、适用、高效的使用空间，实现人与自然和谐共生的高质量民用建筑。</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2</w:t>
      </w:r>
      <w:r>
        <w:rPr>
          <w:rFonts w:hint="eastAsia"/>
          <w:sz w:val="28"/>
          <w:szCs w:val="28"/>
          <w:lang w:val="en-US" w:eastAsia="zh-CN"/>
        </w:rPr>
        <w:t xml:space="preserve">  </w:t>
      </w:r>
      <w:r>
        <w:rPr>
          <w:sz w:val="28"/>
          <w:szCs w:val="28"/>
        </w:rPr>
        <w:t>绿色设计</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design</w:t>
      </w:r>
    </w:p>
    <w:p>
      <w:pPr>
        <w:adjustRightInd w:val="0"/>
        <w:snapToGrid w:val="0"/>
        <w:spacing w:before="93" w:beforeLines="30" w:after="93" w:afterLines="30" w:line="312" w:lineRule="auto"/>
        <w:ind w:firstLine="560" w:firstLineChars="200"/>
        <w:rPr>
          <w:sz w:val="28"/>
          <w:szCs w:val="28"/>
        </w:rPr>
      </w:pPr>
      <w:r>
        <w:rPr>
          <w:sz w:val="28"/>
          <w:szCs w:val="28"/>
        </w:rPr>
        <w:t>在</w:t>
      </w:r>
      <w:r>
        <w:rPr>
          <w:rFonts w:hint="eastAsia"/>
          <w:sz w:val="28"/>
          <w:szCs w:val="28"/>
          <w:lang w:val="en-US" w:eastAsia="zh-CN"/>
        </w:rPr>
        <w:t>建筑</w:t>
      </w:r>
      <w:r>
        <w:rPr>
          <w:sz w:val="28"/>
          <w:szCs w:val="28"/>
        </w:rPr>
        <w:t>设计中体现可持续发展的理念，在满足建筑功能的基础上，实现建筑全</w:t>
      </w:r>
      <w:r>
        <w:rPr>
          <w:rFonts w:hint="eastAsia"/>
          <w:sz w:val="28"/>
          <w:szCs w:val="28"/>
          <w:lang w:val="en-US" w:eastAsia="zh-CN"/>
        </w:rPr>
        <w:t>寿命周</w:t>
      </w:r>
      <w:r>
        <w:rPr>
          <w:sz w:val="28"/>
          <w:szCs w:val="28"/>
        </w:rPr>
        <w:t>期内的资源节约和环境保护，为人们提供健康、适用和高效的使用空间。</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3</w:t>
      </w:r>
      <w:r>
        <w:rPr>
          <w:rFonts w:hint="eastAsia"/>
          <w:sz w:val="28"/>
          <w:szCs w:val="28"/>
          <w:lang w:val="en-US" w:eastAsia="zh-CN"/>
        </w:rPr>
        <w:t xml:space="preserve">  </w:t>
      </w:r>
      <w:r>
        <w:rPr>
          <w:sz w:val="28"/>
          <w:szCs w:val="28"/>
        </w:rPr>
        <w:t>绿色建筑增量成本</w:t>
      </w:r>
      <w:r>
        <w:rPr>
          <w:rFonts w:hint="eastAsia"/>
          <w:sz w:val="28"/>
          <w:szCs w:val="28"/>
          <w:lang w:val="en-US" w:eastAsia="zh-CN"/>
        </w:rPr>
        <w:t xml:space="preserve">  </w:t>
      </w:r>
      <w:r>
        <w:rPr>
          <w:sz w:val="28"/>
          <w:szCs w:val="28"/>
        </w:rPr>
        <w:t>incremental</w:t>
      </w:r>
      <w:r>
        <w:rPr>
          <w:rFonts w:hint="eastAsia"/>
          <w:sz w:val="28"/>
          <w:szCs w:val="28"/>
          <w:lang w:val="en-US" w:eastAsia="zh-CN"/>
        </w:rPr>
        <w:t xml:space="preserve"> </w:t>
      </w:r>
      <w:r>
        <w:rPr>
          <w:sz w:val="28"/>
          <w:szCs w:val="28"/>
        </w:rPr>
        <w:t>cost</w:t>
      </w:r>
      <w:r>
        <w:rPr>
          <w:rFonts w:hint="eastAsia"/>
          <w:sz w:val="28"/>
          <w:szCs w:val="28"/>
          <w:lang w:val="en-US" w:eastAsia="zh-CN"/>
        </w:rPr>
        <w:t xml:space="preserve"> </w:t>
      </w:r>
      <w:r>
        <w:rPr>
          <w:sz w:val="28"/>
          <w:szCs w:val="28"/>
        </w:rPr>
        <w:t>of</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building</w:t>
      </w:r>
    </w:p>
    <w:p>
      <w:pPr>
        <w:adjustRightInd w:val="0"/>
        <w:snapToGrid w:val="0"/>
        <w:spacing w:before="93" w:beforeLines="30" w:after="93" w:afterLines="30" w:line="312" w:lineRule="auto"/>
        <w:ind w:firstLine="560" w:firstLineChars="200"/>
        <w:rPr>
          <w:sz w:val="28"/>
          <w:szCs w:val="28"/>
        </w:rPr>
      </w:pPr>
      <w:r>
        <w:rPr>
          <w:sz w:val="28"/>
          <w:szCs w:val="28"/>
        </w:rPr>
        <w:t>因实施绿色建筑理念和策略而产生的投资成本的增加值。</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4</w:t>
      </w:r>
      <w:r>
        <w:rPr>
          <w:rFonts w:hint="eastAsia"/>
          <w:sz w:val="28"/>
          <w:szCs w:val="28"/>
          <w:lang w:val="en-US" w:eastAsia="zh-CN"/>
        </w:rPr>
        <w:t xml:space="preserve">  </w:t>
      </w:r>
      <w:r>
        <w:rPr>
          <w:sz w:val="28"/>
          <w:szCs w:val="28"/>
        </w:rPr>
        <w:t>绿色建材</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building</w:t>
      </w:r>
      <w:r>
        <w:rPr>
          <w:rFonts w:hint="eastAsia"/>
          <w:sz w:val="28"/>
          <w:szCs w:val="28"/>
          <w:lang w:val="en-US" w:eastAsia="zh-CN"/>
        </w:rPr>
        <w:t xml:space="preserve"> </w:t>
      </w:r>
      <w:r>
        <w:rPr>
          <w:sz w:val="28"/>
          <w:szCs w:val="28"/>
        </w:rPr>
        <w:t>material</w:t>
      </w:r>
    </w:p>
    <w:p>
      <w:pPr>
        <w:adjustRightInd w:val="0"/>
        <w:snapToGrid w:val="0"/>
        <w:spacing w:before="93" w:beforeLines="30" w:after="93" w:afterLines="30" w:line="312" w:lineRule="auto"/>
        <w:ind w:firstLine="560" w:firstLineChars="200"/>
        <w:rPr>
          <w:sz w:val="28"/>
          <w:szCs w:val="28"/>
        </w:rPr>
      </w:pPr>
      <w:r>
        <w:rPr>
          <w:sz w:val="28"/>
          <w:szCs w:val="28"/>
        </w:rPr>
        <w:t>在全寿命期内可减少对资源的消耗、减轻对生态环境的影响，具有节能、减排、安全、健康、便利和可循环特征的建材产品。</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5</w:t>
      </w:r>
      <w:r>
        <w:rPr>
          <w:rFonts w:hint="eastAsia"/>
          <w:sz w:val="28"/>
          <w:szCs w:val="28"/>
          <w:lang w:val="en-US" w:eastAsia="zh-CN"/>
        </w:rPr>
        <w:t xml:space="preserve">  </w:t>
      </w:r>
      <w:r>
        <w:rPr>
          <w:sz w:val="28"/>
          <w:szCs w:val="28"/>
        </w:rPr>
        <w:t>全装修</w:t>
      </w:r>
      <w:r>
        <w:rPr>
          <w:rFonts w:hint="eastAsia"/>
          <w:sz w:val="28"/>
          <w:szCs w:val="28"/>
          <w:lang w:val="en-US" w:eastAsia="zh-CN"/>
        </w:rPr>
        <w:t xml:space="preserve">  </w:t>
      </w:r>
      <w:r>
        <w:rPr>
          <w:sz w:val="28"/>
          <w:szCs w:val="28"/>
        </w:rPr>
        <w:t>decorated</w:t>
      </w:r>
    </w:p>
    <w:p>
      <w:pPr>
        <w:adjustRightInd w:val="0"/>
        <w:snapToGrid w:val="0"/>
        <w:spacing w:before="93" w:beforeLines="30" w:after="93" w:afterLines="30" w:line="312" w:lineRule="auto"/>
        <w:ind w:firstLine="560" w:firstLineChars="200"/>
        <w:rPr>
          <w:sz w:val="28"/>
          <w:szCs w:val="28"/>
        </w:rPr>
      </w:pPr>
      <w:r>
        <w:rPr>
          <w:sz w:val="28"/>
          <w:szCs w:val="28"/>
        </w:rPr>
        <w:t>在交付前，住宅建筑内部墙面、顶面、地面全部铺贴、粉刷完成，门窗、固定家具、设备管线、开关插座及厨房、卫生间固定设施安装到位；公共建筑公共区域的固定面全部铺贴、粉刷完成，水、暖、电、通风等基本设备全部安装到位。</w:t>
      </w:r>
    </w:p>
    <w:p>
      <w:pPr>
        <w:keepNext w:val="0"/>
        <w:keepLines w:val="0"/>
        <w:pageBreakBefore w:val="0"/>
        <w:kinsoku/>
        <w:wordWrap/>
        <w:overflowPunct/>
        <w:topLinePunct w:val="0"/>
        <w:autoSpaceDE/>
        <w:autoSpaceDN/>
        <w:bidi w:val="0"/>
        <w:spacing w:line="460" w:lineRule="atLeast"/>
        <w:ind w:right="0" w:rightChars="0"/>
        <w:jc w:val="both"/>
        <w:textAlignment w:val="auto"/>
        <w:outlineLvl w:val="0"/>
        <w:rPr>
          <w:rFonts w:hint="default" w:ascii="Times New Roman" w:hAnsi="Times New Roman" w:cs="Times New Roman"/>
          <w:b/>
          <w:sz w:val="32"/>
          <w:szCs w:val="32"/>
        </w:rPr>
      </w:pPr>
      <w:bookmarkStart w:id="87" w:name="_Toc18231"/>
      <w:bookmarkStart w:id="88" w:name="_Toc10064"/>
      <w:bookmarkStart w:id="89" w:name="_Toc5526"/>
      <w:bookmarkStart w:id="90" w:name="_Toc26894"/>
      <w:bookmarkStart w:id="91" w:name="_Toc5784"/>
      <w:bookmarkStart w:id="92" w:name="_Toc8569"/>
    </w:p>
    <w:p>
      <w:pPr>
        <w:keepNext w:val="0"/>
        <w:keepLines w:val="0"/>
        <w:pageBreakBefore w:val="0"/>
        <w:kinsoku/>
        <w:wordWrap/>
        <w:overflowPunct/>
        <w:topLinePunct w:val="0"/>
        <w:autoSpaceDE/>
        <w:autoSpaceDN/>
        <w:bidi w:val="0"/>
        <w:spacing w:line="460" w:lineRule="atLeast"/>
        <w:ind w:right="0" w:rightChars="0"/>
        <w:jc w:val="both"/>
        <w:textAlignment w:val="auto"/>
        <w:outlineLvl w:val="0"/>
        <w:rPr>
          <w:rFonts w:hint="default" w:ascii="Times New Roman" w:hAnsi="Times New Roman" w:cs="Times New Roman"/>
          <w:b/>
          <w:sz w:val="32"/>
          <w:szCs w:val="32"/>
        </w:rPr>
      </w:pPr>
    </w:p>
    <w:p>
      <w:pPr>
        <w:pStyle w:val="3"/>
        <w:keepNext/>
        <w:keepLines/>
        <w:snapToGrid w:val="0"/>
        <w:spacing w:line="360" w:lineRule="auto"/>
        <w:rPr>
          <w:rFonts w:hint="default" w:ascii="宋体" w:hAnsi="宋体"/>
          <w:b w:val="0"/>
          <w:sz w:val="32"/>
          <w:szCs w:val="32"/>
          <w:lang w:val="en-US" w:eastAsia="zh-CN"/>
        </w:rPr>
      </w:pPr>
      <w:bookmarkStart w:id="93" w:name="_Toc3551"/>
      <w:bookmarkStart w:id="94" w:name="_Toc14787"/>
      <w:bookmarkStart w:id="95" w:name="_Toc21547"/>
      <w:bookmarkStart w:id="96" w:name="_Toc29282"/>
      <w:bookmarkStart w:id="97" w:name="_Toc30976"/>
      <w:bookmarkStart w:id="98" w:name="_Toc21508"/>
      <w:bookmarkStart w:id="99" w:name="_Toc7827"/>
      <w:bookmarkStart w:id="100" w:name="_Toc14092"/>
      <w:bookmarkStart w:id="101" w:name="_Toc29856"/>
      <w:bookmarkStart w:id="102" w:name="_Toc13365"/>
      <w:bookmarkStart w:id="103" w:name="_Toc20602"/>
      <w:bookmarkStart w:id="104" w:name="_Toc11607"/>
      <w:bookmarkStart w:id="105" w:name="_Toc8098"/>
      <w:bookmarkStart w:id="106" w:name="_Toc21223"/>
      <w:bookmarkStart w:id="107" w:name="_Toc8796"/>
      <w:bookmarkStart w:id="108" w:name="_Toc18857"/>
      <w:bookmarkStart w:id="109" w:name="_Toc13082"/>
      <w:bookmarkStart w:id="110" w:name="_Toc1948"/>
      <w:r>
        <w:rPr>
          <w:rFonts w:hint="default" w:eastAsia="Times New Roman"/>
        </w:rPr>
        <w:t>3</w:t>
      </w:r>
      <w:r>
        <w:rPr>
          <w:rFonts w:hint="eastAsia"/>
        </w:rPr>
        <w:t xml:space="preserve">  </w:t>
      </w:r>
      <w:r>
        <w:rPr>
          <w:rFonts w:hint="eastAsia"/>
          <w:lang w:val="en-US" w:eastAsia="zh-CN"/>
        </w:rPr>
        <w:t>基本规定</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4"/>
        <w:keepNext/>
        <w:keepLines/>
        <w:snapToGrid w:val="0"/>
        <w:spacing w:line="360" w:lineRule="auto"/>
      </w:pPr>
      <w:bookmarkStart w:id="111" w:name="_Toc1890"/>
      <w:bookmarkStart w:id="112" w:name="_Toc3680"/>
      <w:bookmarkStart w:id="113" w:name="_Toc2011"/>
      <w:bookmarkStart w:id="114" w:name="_Toc1886"/>
      <w:bookmarkStart w:id="115" w:name="_Toc1025"/>
      <w:bookmarkStart w:id="116" w:name="_Toc29586"/>
      <w:bookmarkStart w:id="117" w:name="_Toc8713"/>
      <w:bookmarkStart w:id="118" w:name="_Toc14578"/>
      <w:bookmarkStart w:id="119" w:name="_Toc8987"/>
      <w:bookmarkStart w:id="120" w:name="_Toc24041"/>
      <w:bookmarkStart w:id="121" w:name="_Toc14641"/>
      <w:bookmarkStart w:id="122" w:name="_Toc22008"/>
      <w:bookmarkStart w:id="123" w:name="_Toc13031"/>
      <w:bookmarkStart w:id="124" w:name="_Toc13842"/>
      <w:bookmarkStart w:id="125" w:name="_Toc26840"/>
      <w:bookmarkStart w:id="126" w:name="_Toc23446"/>
      <w:bookmarkStart w:id="127" w:name="_Toc14291"/>
      <w:bookmarkStart w:id="128" w:name="_Toc14326"/>
      <w:r>
        <w:rPr>
          <w:rFonts w:hint="default" w:ascii="Times New Roman" w:hAnsi="Times New Roman" w:eastAsia="Times New Roman" w:cs="Times New Roman"/>
          <w:b/>
          <w:bCs w:val="0"/>
          <w:lang w:val="en-US" w:eastAsia="zh-CN"/>
        </w:rPr>
        <w:t>3</w:t>
      </w:r>
      <w:r>
        <w:rPr>
          <w:rFonts w:hint="default" w:ascii="Times New Roman" w:hAnsi="Times New Roman" w:cs="Times New Roman"/>
          <w:b/>
          <w:bCs w:val="0"/>
          <w:lang w:val="en-US" w:eastAsia="zh-CN"/>
        </w:rPr>
        <w:t>.</w:t>
      </w:r>
      <w:r>
        <w:rPr>
          <w:rFonts w:hint="default" w:ascii="Times New Roman" w:hAnsi="Times New Roman" w:eastAsia="Times New Roman" w:cs="Times New Roman"/>
          <w:b/>
          <w:bCs w:val="0"/>
          <w:lang w:val="en-US" w:eastAsia="zh-CN"/>
        </w:rPr>
        <w:t>1</w:t>
      </w:r>
      <w:r>
        <w:rPr>
          <w:rFonts w:hint="eastAsia"/>
          <w:lang w:val="en-US" w:eastAsia="zh-CN"/>
        </w:rPr>
        <w:t xml:space="preserve">  一般规定</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keepNext w:val="0"/>
        <w:keepLines w:val="0"/>
        <w:pageBreakBefore w:val="0"/>
        <w:kinsoku/>
        <w:wordWrap/>
        <w:overflowPunct/>
        <w:topLinePunct w:val="0"/>
        <w:autoSpaceDE/>
        <w:autoSpaceDN/>
        <w:bidi w:val="0"/>
        <w:snapToGrid w:val="0"/>
        <w:spacing w:line="360" w:lineRule="auto"/>
        <w:ind w:right="0" w:rightChars="0"/>
        <w:textAlignment w:val="auto"/>
        <w:outlineLvl w:val="9"/>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绿色建筑设计应综合考虑建筑全寿命周期的技术与经济特性，采用有利于促进建筑与环境可持续发展的场地、建筑形式、技术、设备和材料。</w:t>
      </w:r>
    </w:p>
    <w:p>
      <w:pPr>
        <w:adjustRightInd/>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绿色建筑设计应体现共享、平衡、集成的理念。规划、建筑、结构、暖通空调、给水排水、建筑电气、景观等各专业在建筑设计各阶段均应紧密配合、相互协调。</w:t>
      </w:r>
    </w:p>
    <w:p>
      <w:pPr>
        <w:adjustRightInd/>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3</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绿色建筑设计应遵循因地制宜的原则，结合</w:t>
      </w:r>
      <w:r>
        <w:rPr>
          <w:rFonts w:hint="eastAsia" w:ascii="宋体" w:hAnsi="宋体" w:eastAsia="宋体" w:cs="宋体"/>
          <w:sz w:val="28"/>
          <w:szCs w:val="28"/>
          <w:lang w:eastAsia="zh-CN"/>
        </w:rPr>
        <w:t>中山市</w:t>
      </w:r>
      <w:r>
        <w:rPr>
          <w:rFonts w:hint="eastAsia" w:ascii="宋体" w:hAnsi="宋体" w:eastAsia="宋体" w:cs="宋体"/>
          <w:sz w:val="28"/>
          <w:szCs w:val="28"/>
        </w:rPr>
        <w:t>的气候、资源、生态环境、经济</w:t>
      </w:r>
      <w:r>
        <w:rPr>
          <w:rFonts w:hint="eastAsia" w:ascii="宋体" w:hAnsi="宋体" w:eastAsia="宋体" w:cs="宋体"/>
          <w:sz w:val="28"/>
          <w:szCs w:val="28"/>
          <w:lang w:eastAsia="zh-CN"/>
        </w:rPr>
        <w:t>和</w:t>
      </w:r>
      <w:r>
        <w:rPr>
          <w:rFonts w:hint="eastAsia" w:ascii="宋体" w:hAnsi="宋体" w:eastAsia="宋体" w:cs="宋体"/>
          <w:sz w:val="28"/>
          <w:szCs w:val="28"/>
        </w:rPr>
        <w:t>人文等特点进行</w:t>
      </w:r>
      <w:r>
        <w:rPr>
          <w:rFonts w:hint="eastAsia" w:ascii="宋体" w:hAnsi="宋体" w:eastAsia="宋体" w:cs="宋体"/>
          <w:sz w:val="28"/>
          <w:szCs w:val="28"/>
          <w:lang w:eastAsia="zh-CN"/>
        </w:rPr>
        <w:t>，</w:t>
      </w:r>
      <w:r>
        <w:rPr>
          <w:rFonts w:hint="eastAsia" w:ascii="宋体" w:hAnsi="宋体" w:eastAsia="宋体" w:cs="宋体"/>
          <w:sz w:val="28"/>
          <w:szCs w:val="28"/>
        </w:rPr>
        <w:t>宜在设计理念、方法、技术应用等方面进行创新。</w:t>
      </w:r>
    </w:p>
    <w:p>
      <w:pPr>
        <w:adjustRightInd/>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4</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绿色建筑的室内外环境设计应以规划为引领，建筑技术措施优先，设备系统根据需求优化配置。遵循</w:t>
      </w:r>
      <w:r>
        <w:rPr>
          <w:rFonts w:hint="eastAsia" w:ascii="宋体" w:hAnsi="宋体" w:cs="宋体"/>
          <w:sz w:val="28"/>
          <w:szCs w:val="28"/>
          <w:lang w:eastAsia="zh-CN"/>
        </w:rPr>
        <w:t>“</w:t>
      </w:r>
      <w:r>
        <w:rPr>
          <w:rFonts w:hint="eastAsia" w:ascii="宋体" w:hAnsi="宋体" w:eastAsia="宋体" w:cs="宋体"/>
          <w:sz w:val="28"/>
          <w:szCs w:val="28"/>
        </w:rPr>
        <w:t>被动优先，主动优化</w:t>
      </w:r>
      <w:r>
        <w:rPr>
          <w:rFonts w:hint="eastAsia" w:ascii="宋体" w:hAnsi="宋体" w:cs="宋体"/>
          <w:sz w:val="28"/>
          <w:szCs w:val="28"/>
          <w:lang w:eastAsia="zh-CN"/>
        </w:rPr>
        <w:t>”</w:t>
      </w:r>
      <w:r>
        <w:rPr>
          <w:rFonts w:hint="eastAsia" w:ascii="宋体" w:hAnsi="宋体" w:cs="宋体"/>
          <w:sz w:val="28"/>
          <w:szCs w:val="28"/>
          <w:lang w:val="en-US" w:eastAsia="zh-CN"/>
        </w:rPr>
        <w:t>的原则。</w:t>
      </w:r>
    </w:p>
    <w:p>
      <w:pPr>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5</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绿色建筑设计应</w:t>
      </w:r>
      <w:r>
        <w:rPr>
          <w:rFonts w:hint="eastAsia" w:ascii="宋体" w:hAnsi="宋体" w:eastAsia="宋体" w:cs="宋体"/>
          <w:sz w:val="28"/>
          <w:szCs w:val="28"/>
          <w:lang w:eastAsia="zh-CN"/>
        </w:rPr>
        <w:t>严格执行下述</w:t>
      </w:r>
      <w:r>
        <w:rPr>
          <w:rFonts w:hint="eastAsia" w:ascii="宋体" w:hAnsi="宋体" w:eastAsia="宋体" w:cs="宋体"/>
          <w:sz w:val="28"/>
          <w:szCs w:val="28"/>
        </w:rPr>
        <w:t>规定：</w:t>
      </w:r>
    </w:p>
    <w:p>
      <w:pPr>
        <w:keepNext w:val="0"/>
        <w:keepLines w:val="0"/>
        <w:pageBreakBefore w:val="0"/>
        <w:kinsoku/>
        <w:wordWrap/>
        <w:overflowPunct/>
        <w:topLinePunct w:val="0"/>
        <w:autoSpaceDE/>
        <w:autoSpaceDN/>
        <w:bidi w:val="0"/>
        <w:snapToGrid w:val="0"/>
        <w:spacing w:line="360" w:lineRule="auto"/>
        <w:ind w:right="0" w:rightChars="0" w:firstLine="560" w:firstLineChars="200"/>
        <w:textAlignment w:val="auto"/>
        <w:outlineLvl w:val="9"/>
        <w:rPr>
          <w:rFonts w:hint="eastAsia" w:ascii="宋体" w:hAnsi="宋体" w:eastAsia="宋体" w:cs="宋体"/>
          <w:color w:val="auto"/>
          <w:sz w:val="28"/>
          <w:szCs w:val="28"/>
          <w:lang w:val="en-US" w:eastAsia="zh-CN"/>
        </w:rPr>
      </w:pPr>
      <w:r>
        <w:rPr>
          <w:rFonts w:hint="default" w:ascii="Times New Roman" w:hAnsi="Times New Roman" w:eastAsia="Times New Roman" w:cs="Times New Roman"/>
          <w:color w:val="auto"/>
          <w:sz w:val="28"/>
          <w:szCs w:val="28"/>
          <w:lang w:val="en-US" w:eastAsia="zh-CN"/>
        </w:rPr>
        <w:t>1</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eastAsia" w:ascii="宋体" w:hAnsi="宋体" w:eastAsia="宋体" w:cs="宋体"/>
          <w:color w:val="auto"/>
          <w:sz w:val="28"/>
          <w:szCs w:val="28"/>
          <w:lang w:eastAsia="zh-CN"/>
        </w:rPr>
        <w:t>蒸压加气混凝土砌块自承重墙体不应采用强度等级</w:t>
      </w:r>
      <w:r>
        <w:rPr>
          <w:rFonts w:hint="eastAsia" w:ascii="宋体" w:hAnsi="宋体" w:eastAsia="宋体" w:cs="宋体"/>
          <w:color w:val="auto"/>
          <w:sz w:val="28"/>
          <w:szCs w:val="28"/>
          <w:lang w:val="en-US" w:eastAsia="zh-CN"/>
        </w:rPr>
        <w:t>A</w:t>
      </w:r>
      <w:r>
        <w:rPr>
          <w:rFonts w:hint="eastAsia" w:ascii="宋体" w:hAnsi="宋体" w:eastAsia="Times New Roman"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eastAsia="Times New Roman" w:cs="宋体"/>
          <w:color w:val="auto"/>
          <w:sz w:val="28"/>
          <w:szCs w:val="28"/>
          <w:lang w:val="en-US" w:eastAsia="zh-CN"/>
        </w:rPr>
        <w:t>0</w:t>
      </w:r>
      <w:r>
        <w:rPr>
          <w:rFonts w:hint="eastAsia" w:ascii="宋体" w:hAnsi="宋体" w:eastAsia="宋体" w:cs="宋体"/>
          <w:color w:val="auto"/>
          <w:sz w:val="28"/>
          <w:szCs w:val="28"/>
          <w:lang w:val="en-US" w:eastAsia="zh-CN"/>
        </w:rPr>
        <w:t>以下的蒸压加气混凝土砌块砌筑。</w:t>
      </w:r>
    </w:p>
    <w:p>
      <w:pPr>
        <w:keepNext w:val="0"/>
        <w:keepLines w:val="0"/>
        <w:pageBreakBefore w:val="0"/>
        <w:kinsoku/>
        <w:wordWrap/>
        <w:overflowPunct/>
        <w:topLinePunct w:val="0"/>
        <w:autoSpaceDE/>
        <w:autoSpaceDN/>
        <w:bidi w:val="0"/>
        <w:snapToGrid w:val="0"/>
        <w:spacing w:line="360" w:lineRule="auto"/>
        <w:ind w:left="0" w:leftChars="0" w:right="0" w:rightChars="0" w:firstLine="560" w:firstLineChars="200"/>
        <w:textAlignment w:val="auto"/>
        <w:outlineLvl w:val="9"/>
        <w:rPr>
          <w:rFonts w:hint="eastAsia" w:ascii="宋体" w:hAnsi="宋体" w:eastAsia="宋体" w:cs="宋体"/>
          <w:color w:val="auto"/>
          <w:sz w:val="28"/>
          <w:szCs w:val="28"/>
        </w:rPr>
      </w:pPr>
      <w:r>
        <w:rPr>
          <w:rFonts w:hint="default" w:ascii="Times New Roman" w:hAnsi="Times New Roman" w:eastAsia="Times New Roman" w:cs="Times New Roman"/>
          <w:color w:val="auto"/>
          <w:sz w:val="28"/>
          <w:szCs w:val="28"/>
          <w:lang w:val="en-US" w:eastAsia="zh-CN"/>
        </w:rPr>
        <w:t>2</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eastAsia" w:ascii="宋体" w:hAnsi="宋体" w:eastAsia="宋体" w:cs="宋体"/>
          <w:color w:val="auto"/>
          <w:sz w:val="28"/>
          <w:szCs w:val="28"/>
        </w:rPr>
        <w:t>外墙</w:t>
      </w:r>
      <w:r>
        <w:rPr>
          <w:rFonts w:hint="eastAsia" w:ascii="宋体" w:hAnsi="宋体" w:cs="宋体"/>
          <w:color w:val="auto"/>
          <w:sz w:val="28"/>
          <w:szCs w:val="28"/>
          <w:lang w:val="en-US" w:eastAsia="zh-CN"/>
        </w:rPr>
        <w:t>及</w:t>
      </w:r>
      <w:r>
        <w:rPr>
          <w:rFonts w:hint="eastAsia" w:ascii="宋体" w:hAnsi="宋体" w:eastAsia="宋体" w:cs="宋体"/>
          <w:color w:val="auto"/>
          <w:sz w:val="28"/>
          <w:szCs w:val="28"/>
        </w:rPr>
        <w:t>结构性热桥当需要采用复合保温构造时，</w:t>
      </w:r>
      <w:r>
        <w:rPr>
          <w:rFonts w:hint="eastAsia" w:ascii="宋体" w:hAnsi="宋体" w:eastAsia="宋体" w:cs="宋体"/>
          <w:color w:val="auto"/>
          <w:sz w:val="28"/>
          <w:szCs w:val="28"/>
          <w:lang w:eastAsia="zh-CN"/>
        </w:rPr>
        <w:t>应</w:t>
      </w:r>
      <w:r>
        <w:rPr>
          <w:rFonts w:hint="eastAsia" w:ascii="宋体" w:hAnsi="宋体" w:eastAsia="宋体" w:cs="宋体"/>
          <w:color w:val="auto"/>
          <w:sz w:val="28"/>
          <w:szCs w:val="28"/>
        </w:rPr>
        <w:t>采用内保温</w:t>
      </w:r>
      <w:r>
        <w:rPr>
          <w:rFonts w:hint="eastAsia" w:ascii="宋体" w:hAnsi="宋体" w:eastAsia="宋体" w:cs="宋体"/>
          <w:color w:val="auto"/>
          <w:sz w:val="28"/>
          <w:szCs w:val="28"/>
          <w:lang w:eastAsia="zh-CN"/>
        </w:rPr>
        <w:t>或夹芯</w:t>
      </w:r>
      <w:r>
        <w:rPr>
          <w:rFonts w:hint="eastAsia" w:ascii="宋体" w:hAnsi="宋体" w:eastAsia="宋体" w:cs="宋体"/>
          <w:color w:val="auto"/>
          <w:sz w:val="28"/>
          <w:szCs w:val="28"/>
        </w:rPr>
        <w:t>保温，不</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rPr>
        <w:t>采用外保温。</w:t>
      </w:r>
    </w:p>
    <w:p>
      <w:pPr>
        <w:keepNext w:val="0"/>
        <w:keepLines w:val="0"/>
        <w:pageBreakBefore w:val="0"/>
        <w:kinsoku/>
        <w:wordWrap/>
        <w:overflowPunct/>
        <w:topLinePunct w:val="0"/>
        <w:autoSpaceDE/>
        <w:autoSpaceDN/>
        <w:bidi w:val="0"/>
        <w:snapToGrid w:val="0"/>
        <w:spacing w:line="360" w:lineRule="auto"/>
        <w:ind w:right="0" w:righ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因项目特殊性确需采用</w:t>
      </w:r>
      <w:r>
        <w:rPr>
          <w:rFonts w:hint="eastAsia" w:ascii="宋体" w:hAnsi="宋体" w:cs="宋体"/>
          <w:color w:val="auto"/>
          <w:sz w:val="28"/>
          <w:szCs w:val="28"/>
          <w:lang w:val="en-US" w:eastAsia="zh-CN"/>
        </w:rPr>
        <w:t>机械锚固式干挂</w:t>
      </w:r>
      <w:r>
        <w:rPr>
          <w:rFonts w:hint="eastAsia" w:ascii="宋体" w:hAnsi="宋体" w:eastAsia="宋体" w:cs="宋体"/>
          <w:color w:val="auto"/>
          <w:sz w:val="28"/>
          <w:szCs w:val="28"/>
        </w:rPr>
        <w:t>外墙外保温时，</w:t>
      </w:r>
      <w:r>
        <w:rPr>
          <w:rFonts w:hint="eastAsia" w:ascii="宋体" w:hAnsi="宋体" w:cs="宋体"/>
          <w:color w:val="auto"/>
          <w:sz w:val="28"/>
          <w:szCs w:val="28"/>
          <w:lang w:val="en-US" w:eastAsia="zh-CN"/>
        </w:rPr>
        <w:t>建设单位应牵头组织责任各方</w:t>
      </w:r>
      <w:r>
        <w:rPr>
          <w:rFonts w:hint="eastAsia" w:ascii="宋体" w:hAnsi="宋体" w:eastAsia="宋体" w:cs="宋体"/>
          <w:color w:val="auto"/>
          <w:sz w:val="28"/>
          <w:szCs w:val="28"/>
        </w:rPr>
        <w:t>进行充分技术论证</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明确各方责任并形成论证报告。</w:t>
      </w:r>
    </w:p>
    <w:p>
      <w:pPr>
        <w:keepNext w:val="0"/>
        <w:keepLines w:val="0"/>
        <w:pageBreakBefore w:val="0"/>
        <w:numPr>
          <w:ilvl w:val="0"/>
          <w:numId w:val="0"/>
        </w:numPr>
        <w:kinsoku/>
        <w:wordWrap/>
        <w:overflowPunct/>
        <w:topLinePunct w:val="0"/>
        <w:autoSpaceDE/>
        <w:autoSpaceDN/>
        <w:bidi w:val="0"/>
        <w:snapToGrid w:val="0"/>
        <w:spacing w:line="360" w:lineRule="auto"/>
        <w:ind w:left="0" w:leftChars="0" w:right="0" w:rightChars="0" w:firstLine="560" w:firstLineChars="200"/>
        <w:textAlignment w:val="auto"/>
        <w:outlineLvl w:val="9"/>
        <w:rPr>
          <w:rFonts w:hint="eastAsia" w:ascii="宋体" w:hAnsi="宋体" w:eastAsia="宋体" w:cs="宋体"/>
          <w:color w:val="auto"/>
          <w:sz w:val="28"/>
          <w:szCs w:val="28"/>
          <w:lang w:val="en-US" w:eastAsia="zh-CN"/>
        </w:rPr>
      </w:pPr>
      <w:r>
        <w:rPr>
          <w:rFonts w:hint="default" w:ascii="Times New Roman" w:hAnsi="Times New Roman" w:eastAsia="Times New Roman" w:cs="Times New Roman"/>
          <w:color w:val="auto"/>
          <w:sz w:val="28"/>
          <w:szCs w:val="28"/>
          <w:lang w:val="en-US" w:eastAsia="zh-CN"/>
        </w:rPr>
        <w:t>3</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保温砂浆等浆体类保温材料的设计厚度不应大于</w:t>
      </w:r>
      <w:r>
        <w:rPr>
          <w:rFonts w:hint="eastAsia" w:ascii="宋体" w:hAnsi="宋体" w:eastAsia="Times New Roman" w:cs="宋体"/>
          <w:color w:val="auto"/>
          <w:sz w:val="28"/>
          <w:szCs w:val="28"/>
          <w:lang w:val="en-US" w:eastAsia="zh-CN"/>
        </w:rPr>
        <w:t>30</w:t>
      </w:r>
      <w:r>
        <w:rPr>
          <w:rFonts w:hint="eastAsia" w:ascii="宋体" w:hAnsi="宋体" w:eastAsia="宋体" w:cs="宋体"/>
          <w:color w:val="auto"/>
          <w:sz w:val="28"/>
          <w:szCs w:val="28"/>
          <w:lang w:val="en-US" w:eastAsia="zh-CN"/>
        </w:rPr>
        <w:t>mm。</w:t>
      </w:r>
    </w:p>
    <w:p>
      <w:pPr>
        <w:keepNext w:val="0"/>
        <w:keepLines w:val="0"/>
        <w:pageBreakBefore w:val="0"/>
        <w:numPr>
          <w:ilvl w:val="0"/>
          <w:numId w:val="0"/>
        </w:numPr>
        <w:kinsoku/>
        <w:wordWrap/>
        <w:overflowPunct/>
        <w:topLinePunct w:val="0"/>
        <w:autoSpaceDE/>
        <w:autoSpaceDN/>
        <w:bidi w:val="0"/>
        <w:snapToGrid w:val="0"/>
        <w:spacing w:line="360" w:lineRule="auto"/>
        <w:ind w:left="0" w:leftChars="0" w:right="0" w:rightChars="0" w:firstLine="560" w:firstLineChars="200"/>
        <w:textAlignment w:val="auto"/>
        <w:outlineLvl w:val="9"/>
        <w:rPr>
          <w:rFonts w:hint="eastAsia" w:ascii="宋体" w:hAnsi="宋体" w:eastAsia="宋体" w:cs="宋体"/>
          <w:i w:val="0"/>
          <w:iCs w:val="0"/>
          <w:color w:val="auto"/>
          <w:sz w:val="28"/>
          <w:szCs w:val="28"/>
          <w:lang w:val="en-US" w:eastAsia="zh-CN"/>
        </w:rPr>
      </w:pPr>
      <w:r>
        <w:rPr>
          <w:rFonts w:hint="default" w:ascii="Times New Roman" w:hAnsi="Times New Roman" w:eastAsia="Times New Roman" w:cs="Times New Roman"/>
          <w:i w:val="0"/>
          <w:iCs w:val="0"/>
          <w:color w:val="auto"/>
          <w:sz w:val="28"/>
          <w:szCs w:val="28"/>
          <w:lang w:val="en-US" w:eastAsia="zh-CN"/>
        </w:rPr>
        <w:t>4</w:t>
      </w:r>
      <w:r>
        <w:rPr>
          <w:rFonts w:hint="eastAsia" w:ascii="宋体" w:hAnsi="宋体" w:cs="宋体"/>
          <w:i w:val="0"/>
          <w:iCs w:val="0"/>
          <w:color w:val="auto"/>
          <w:sz w:val="28"/>
          <w:szCs w:val="28"/>
          <w:lang w:val="en-US" w:eastAsia="zh-CN"/>
        </w:rPr>
        <w:t xml:space="preserve">  采用的</w:t>
      </w:r>
      <w:r>
        <w:rPr>
          <w:rFonts w:hint="eastAsia" w:ascii="宋体" w:hAnsi="宋体" w:eastAsia="宋体" w:cs="宋体"/>
          <w:i w:val="0"/>
          <w:iCs w:val="0"/>
          <w:color w:val="auto"/>
          <w:sz w:val="28"/>
          <w:szCs w:val="28"/>
          <w:lang w:val="en-US" w:eastAsia="zh-CN"/>
        </w:rPr>
        <w:t>绿色建筑技术措施，相关详细构造应在施工图中明确表述。</w:t>
      </w:r>
    </w:p>
    <w:p>
      <w:pPr>
        <w:numPr>
          <w:ilvl w:val="0"/>
          <w:numId w:val="0"/>
        </w:numPr>
        <w:adjustRightInd/>
        <w:snapToGrid w:val="0"/>
        <w:spacing w:before="0" w:beforeLines="0" w:after="0" w:afterLines="0" w:line="360" w:lineRule="auto"/>
        <w:ind w:left="0" w:firstLine="560" w:firstLineChars="200"/>
        <w:outlineLvl w:val="9"/>
        <w:rPr>
          <w:rFonts w:hint="eastAsia" w:ascii="宋体" w:hAnsi="宋体" w:eastAsia="宋体" w:cs="宋体"/>
          <w:sz w:val="28"/>
          <w:szCs w:val="28"/>
        </w:rPr>
      </w:pPr>
      <w:r>
        <w:rPr>
          <w:rFonts w:hint="default" w:ascii="Times New Roman" w:hAnsi="Times New Roman" w:eastAsia="Times New Roman" w:cs="Times New Roman"/>
          <w:color w:val="auto"/>
          <w:sz w:val="28"/>
          <w:szCs w:val="28"/>
          <w:lang w:val="en-US" w:eastAsia="zh-CN"/>
        </w:rPr>
        <w:t>5</w:t>
      </w:r>
      <w:r>
        <w:rPr>
          <w:rFonts w:hint="eastAsia" w:ascii="宋体" w:hAnsi="宋体" w:cs="宋体"/>
          <w:color w:val="auto"/>
          <w:sz w:val="28"/>
          <w:szCs w:val="28"/>
          <w:lang w:val="en-US" w:eastAsia="zh-CN"/>
        </w:rPr>
        <w:t xml:space="preserve">  建筑专业施工图中需明确要求</w:t>
      </w:r>
      <w:r>
        <w:rPr>
          <w:rFonts w:hint="eastAsia" w:ascii="宋体" w:hAnsi="宋体" w:eastAsia="宋体" w:cs="宋体"/>
          <w:color w:val="auto"/>
          <w:sz w:val="28"/>
          <w:szCs w:val="28"/>
          <w:lang w:val="en-US" w:eastAsia="zh-CN"/>
        </w:rPr>
        <w:t>厨卫等墙体抹灰砂浆找平层拉伸粘结强度平均值应不小于</w:t>
      </w:r>
      <w:r>
        <w:rPr>
          <w:rFonts w:hint="eastAsia" w:ascii="宋体" w:hAnsi="宋体" w:eastAsia="Times New Roman" w:cs="宋体"/>
          <w:color w:val="auto"/>
          <w:sz w:val="28"/>
          <w:szCs w:val="28"/>
          <w:lang w:val="en-US" w:eastAsia="zh-CN"/>
        </w:rPr>
        <w:t>0</w:t>
      </w:r>
      <w:r>
        <w:rPr>
          <w:rFonts w:hint="eastAsia" w:ascii="宋体" w:hAnsi="宋体" w:eastAsia="宋体" w:cs="宋体"/>
          <w:color w:val="auto"/>
          <w:sz w:val="28"/>
          <w:szCs w:val="28"/>
          <w:lang w:val="en-US" w:eastAsia="zh-CN"/>
        </w:rPr>
        <w:t>.</w:t>
      </w:r>
      <w:r>
        <w:rPr>
          <w:rFonts w:hint="eastAsia" w:ascii="宋体" w:hAnsi="宋体" w:eastAsia="Times New Roman" w:cs="宋体"/>
          <w:color w:val="auto"/>
          <w:sz w:val="28"/>
          <w:szCs w:val="28"/>
          <w:lang w:val="en-US" w:eastAsia="zh-CN"/>
        </w:rPr>
        <w:t>25</w:t>
      </w:r>
      <w:r>
        <w:rPr>
          <w:rFonts w:hint="eastAsia" w:ascii="宋体" w:hAnsi="宋体" w:eastAsia="宋体" w:cs="宋体"/>
          <w:color w:val="auto"/>
          <w:sz w:val="28"/>
          <w:szCs w:val="28"/>
          <w:lang w:val="en-US" w:eastAsia="zh-CN"/>
        </w:rPr>
        <w:t>MPa、阴阳角方正允许偏差应在（</w:t>
      </w:r>
      <w:r>
        <w:rPr>
          <w:rFonts w:hint="default" w:ascii="Times New Roman" w:hAnsi="Times New Roman" w:eastAsia="Times New Roman" w:cs="Times New Roman"/>
          <w:color w:val="auto"/>
          <w:sz w:val="28"/>
          <w:szCs w:val="28"/>
          <w:lang w:val="en-US" w:eastAsia="zh-CN"/>
        </w:rPr>
        <w:t>0</w:t>
      </w:r>
      <w:r>
        <w:rPr>
          <w:rFonts w:hint="default" w:ascii="Times New Roman" w:hAnsi="Times New Roman" w:eastAsia="宋体" w:cs="Times New Roman"/>
          <w:sz w:val="28"/>
          <w:szCs w:val="28"/>
        </w:rPr>
        <w:t>～</w:t>
      </w:r>
      <w:r>
        <w:rPr>
          <w:rFonts w:hint="default" w:ascii="Times New Roman" w:hAnsi="Times New Roman" w:eastAsia="宋体" w:cs="Times New Roman"/>
          <w:color w:val="auto"/>
          <w:sz w:val="28"/>
          <w:szCs w:val="28"/>
          <w:lang w:val="en-US" w:eastAsia="zh-CN"/>
        </w:rPr>
        <w:t>＋</w:t>
      </w:r>
      <w:r>
        <w:rPr>
          <w:rFonts w:hint="default" w:ascii="Times New Roman" w:hAnsi="Times New Roman" w:eastAsia="Times New Roman" w:cs="Times New Roman"/>
          <w:color w:val="auto"/>
          <w:sz w:val="28"/>
          <w:szCs w:val="28"/>
          <w:lang w:val="en-US" w:eastAsia="zh-CN"/>
        </w:rPr>
        <w:t>4</w:t>
      </w:r>
      <w:r>
        <w:rPr>
          <w:rFonts w:hint="eastAsia" w:ascii="宋体" w:hAnsi="宋体" w:eastAsia="宋体" w:cs="宋体"/>
          <w:color w:val="auto"/>
          <w:sz w:val="28"/>
          <w:szCs w:val="28"/>
          <w:lang w:val="en-US" w:eastAsia="zh-CN"/>
        </w:rPr>
        <w:t>）mm范围内。</w:t>
      </w:r>
    </w:p>
    <w:p>
      <w:pPr>
        <w:keepNext w:val="0"/>
        <w:keepLines w:val="0"/>
        <w:pageBreakBefore w:val="0"/>
        <w:kinsoku/>
        <w:wordWrap/>
        <w:overflowPunct/>
        <w:topLinePunct w:val="0"/>
        <w:autoSpaceDE/>
        <w:autoSpaceDN/>
        <w:bidi w:val="0"/>
        <w:snapToGrid w:val="0"/>
        <w:spacing w:line="360" w:lineRule="auto"/>
        <w:ind w:left="0" w:leftChars="0" w:right="0" w:rightChars="0" w:firstLine="0" w:firstLineChars="0"/>
        <w:jc w:val="left"/>
        <w:textAlignment w:val="auto"/>
        <w:outlineLvl w:val="0"/>
        <w:rPr>
          <w:rFonts w:hint="default" w:ascii="Times New Roman" w:hAnsi="Times New Roman" w:cs="Times New Roman"/>
          <w:color w:val="auto"/>
          <w:sz w:val="28"/>
          <w:szCs w:val="28"/>
          <w:lang w:val="en-US" w:eastAsia="zh-CN"/>
        </w:rPr>
      </w:pPr>
      <w:bookmarkStart w:id="129" w:name="_Toc22969"/>
      <w:bookmarkStart w:id="130" w:name="_Toc17925"/>
      <w:bookmarkStart w:id="131" w:name="_Toc5088"/>
      <w:bookmarkStart w:id="132" w:name="_Toc12733"/>
      <w:bookmarkStart w:id="133" w:name="_Toc30731"/>
      <w:bookmarkStart w:id="134" w:name="_Toc19332"/>
      <w:bookmarkStart w:id="135" w:name="_Toc26150"/>
      <w:bookmarkStart w:id="136" w:name="_Toc10945"/>
      <w:bookmarkStart w:id="137" w:name="_Toc14549"/>
      <w:bookmarkStart w:id="138" w:name="_Toc9489"/>
      <w:bookmarkStart w:id="139" w:name="_Toc23564"/>
      <w:bookmarkStart w:id="140" w:name="_Toc7366"/>
      <w:bookmarkStart w:id="141" w:name="_Toc12670"/>
      <w:bookmarkStart w:id="142" w:name="_Toc32078"/>
      <w:bookmarkStart w:id="143" w:name="_Toc13411"/>
      <w:bookmarkStart w:id="144" w:name="_Toc20596"/>
      <w:bookmarkStart w:id="145" w:name="_Toc10227"/>
      <w:r>
        <w:rPr>
          <w:rFonts w:hint="eastAsia" w:ascii="Times New Roman" w:hAnsi="Times New Roman" w:eastAsia="Times New Roman" w:cs="Times New Roman"/>
          <w:sz w:val="28"/>
          <w:szCs w:val="28"/>
          <w:lang w:val="en-US" w:eastAsia="zh-CN"/>
        </w:rPr>
        <w:t>3</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1</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default" w:ascii="Times New Roman" w:hAnsi="Times New Roman" w:cs="Times New Roman"/>
          <w:color w:val="auto"/>
          <w:sz w:val="28"/>
          <w:szCs w:val="28"/>
          <w:lang w:val="en-US" w:eastAsia="zh-CN"/>
        </w:rPr>
        <w:t>未通过绿色建筑设计审查</w:t>
      </w:r>
      <w:r>
        <w:rPr>
          <w:rFonts w:hint="eastAsia" w:ascii="Times New Roman" w:hAnsi="Times New Roman" w:cs="Times New Roman"/>
          <w:color w:val="auto"/>
          <w:sz w:val="28"/>
          <w:szCs w:val="28"/>
          <w:lang w:val="en-US" w:eastAsia="zh-CN"/>
        </w:rPr>
        <w:t>的</w:t>
      </w:r>
      <w:r>
        <w:rPr>
          <w:rFonts w:hint="default" w:ascii="Times New Roman" w:hAnsi="Times New Roman" w:cs="Times New Roman"/>
          <w:color w:val="auto"/>
          <w:sz w:val="28"/>
          <w:szCs w:val="28"/>
          <w:lang w:val="en-US" w:eastAsia="zh-CN"/>
        </w:rPr>
        <w:t>项目，施工图审查机构不得核发施工图审查合格证书。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adjustRightInd/>
        <w:snapToGrid w:val="0"/>
        <w:spacing w:before="93" w:beforeLines="30" w:after="93" w:afterLines="30" w:line="360" w:lineRule="auto"/>
        <w:ind w:firstLine="56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施工图设计文件变更绿色建筑等级的，应当重新审查。</w:t>
      </w:r>
    </w:p>
    <w:p>
      <w:pPr>
        <w:pStyle w:val="4"/>
        <w:rPr>
          <w:rFonts w:hint="eastAsia" w:ascii="Times New Roman" w:hAnsi="Times New Roman" w:cs="Times New Roman"/>
          <w:color w:val="auto"/>
          <w:sz w:val="30"/>
          <w:szCs w:val="30"/>
          <w:lang w:val="en-US" w:eastAsia="zh-CN"/>
        </w:rPr>
      </w:pPr>
      <w:bookmarkStart w:id="146" w:name="_Toc10196"/>
      <w:bookmarkStart w:id="147" w:name="_Toc32186"/>
      <w:bookmarkStart w:id="148" w:name="_Toc27866"/>
      <w:bookmarkStart w:id="149" w:name="_Toc21663"/>
      <w:bookmarkStart w:id="150" w:name="_Toc400"/>
      <w:bookmarkStart w:id="151" w:name="_Toc6670"/>
      <w:bookmarkStart w:id="152" w:name="_Toc29726"/>
      <w:bookmarkStart w:id="153" w:name="_Toc25476"/>
      <w:bookmarkStart w:id="154" w:name="_Toc11964"/>
      <w:bookmarkStart w:id="155" w:name="_Toc2544"/>
      <w:bookmarkStart w:id="156" w:name="_Toc29049"/>
      <w:bookmarkStart w:id="157" w:name="_Toc3318"/>
      <w:bookmarkStart w:id="158" w:name="_Toc1380"/>
      <w:bookmarkStart w:id="159" w:name="_Toc32453"/>
      <w:bookmarkStart w:id="160" w:name="_Toc16031"/>
      <w:bookmarkStart w:id="161" w:name="_Toc26415"/>
      <w:bookmarkStart w:id="162" w:name="_Toc3266"/>
      <w:bookmarkStart w:id="163" w:name="_Toc32123"/>
      <w:r>
        <w:rPr>
          <w:rFonts w:hint="default" w:ascii="Times New Roman" w:hAnsi="Times New Roman" w:eastAsia="Times New Roman" w:cs="Times New Roman"/>
          <w:color w:val="auto"/>
          <w:sz w:val="30"/>
          <w:szCs w:val="30"/>
          <w:lang w:val="en-US" w:eastAsia="zh-CN"/>
        </w:rPr>
        <w:t>3</w:t>
      </w:r>
      <w:r>
        <w:rPr>
          <w:rFonts w:hint="default" w:ascii="Times New Roman" w:hAnsi="Times New Roman" w:cs="Times New Roman"/>
          <w:color w:val="auto"/>
          <w:sz w:val="30"/>
          <w:szCs w:val="30"/>
          <w:lang w:val="en-US" w:eastAsia="zh-CN"/>
        </w:rPr>
        <w:t>.</w:t>
      </w:r>
      <w:r>
        <w:rPr>
          <w:rFonts w:hint="default" w:ascii="Times New Roman" w:hAnsi="Times New Roman" w:eastAsia="Times New Roman" w:cs="Times New Roman"/>
          <w:color w:val="auto"/>
          <w:sz w:val="30"/>
          <w:szCs w:val="30"/>
          <w:lang w:val="en-US" w:eastAsia="zh-CN"/>
        </w:rPr>
        <w:t>2</w:t>
      </w:r>
      <w:r>
        <w:rPr>
          <w:rFonts w:hint="default" w:ascii="Times New Roman" w:hAnsi="Times New Roman" w:cs="Times New Roman"/>
          <w:color w:val="auto"/>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color w:val="auto"/>
          <w:sz w:val="30"/>
          <w:szCs w:val="30"/>
          <w:lang w:val="en-US" w:eastAsia="zh-CN"/>
        </w:rPr>
        <w:t>设计</w:t>
      </w:r>
      <w:r>
        <w:rPr>
          <w:rFonts w:hint="eastAsia"/>
          <w:szCs w:val="30"/>
          <w:lang w:val="en-US" w:eastAsia="zh-CN"/>
        </w:rPr>
        <w:t>规定</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adjustRightInd w:val="0"/>
        <w:snapToGrid w:val="0"/>
        <w:spacing w:before="93" w:beforeLines="30" w:after="93" w:afterLines="30" w:line="360" w:lineRule="auto"/>
        <w:jc w:val="left"/>
        <w:outlineLvl w:val="1"/>
        <w:rPr>
          <w:rFonts w:hint="eastAsia" w:ascii="宋体" w:hAnsi="宋体" w:eastAsia="宋体" w:cs="宋体"/>
          <w:b/>
          <w:sz w:val="28"/>
          <w:szCs w:val="28"/>
          <w:lang w:eastAsia="zh-CN"/>
        </w:rPr>
      </w:pPr>
      <w:bookmarkStart w:id="164" w:name="_Toc29289"/>
      <w:bookmarkStart w:id="165" w:name="_Toc3128"/>
      <w:bookmarkStart w:id="166" w:name="_Toc891"/>
      <w:bookmarkStart w:id="167" w:name="_Toc16065"/>
      <w:bookmarkStart w:id="168" w:name="_Toc320"/>
      <w:bookmarkStart w:id="169" w:name="_Toc29205"/>
      <w:bookmarkStart w:id="170" w:name="_Toc18681"/>
      <w:bookmarkStart w:id="171" w:name="_Toc28304"/>
      <w:bookmarkStart w:id="172" w:name="_Toc7120"/>
      <w:bookmarkStart w:id="173" w:name="_Toc21139"/>
      <w:bookmarkStart w:id="174" w:name="_Toc7949"/>
      <w:bookmarkStart w:id="175" w:name="_Toc24341"/>
      <w:bookmarkStart w:id="176" w:name="_Toc18653"/>
      <w:bookmarkStart w:id="177" w:name="_Toc17572"/>
      <w:bookmarkStart w:id="178" w:name="_Toc1477"/>
      <w:bookmarkStart w:id="179" w:name="_Toc1419"/>
      <w:bookmarkStart w:id="180" w:name="_Toc260"/>
      <w:r>
        <w:rPr>
          <w:rFonts w:hint="default" w:ascii="Times New Roman" w:hAnsi="Times New Roman" w:eastAsia="Times New Roman" w:cs="Times New Roman"/>
          <w:sz w:val="28"/>
          <w:szCs w:val="28"/>
          <w:lang w:val="en-US" w:eastAsia="zh-CN"/>
        </w:rPr>
        <w:t>3</w:t>
      </w:r>
      <w:r>
        <w:rPr>
          <w:rFonts w:hint="eastAsia"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cs="宋体"/>
          <w:sz w:val="28"/>
          <w:szCs w:val="28"/>
          <w:lang w:val="en-US" w:eastAsia="zh-CN"/>
        </w:rPr>
        <w:t xml:space="preserve">  中山市绿色建筑设计说明专篇</w:t>
      </w:r>
      <w:r>
        <w:rPr>
          <w:rFonts w:hint="eastAsia" w:ascii="宋体" w:hAnsi="宋体" w:eastAsia="宋体" w:cs="宋体"/>
          <w:sz w:val="28"/>
          <w:szCs w:val="28"/>
          <w:lang w:val="en-US" w:eastAsia="zh-CN"/>
        </w:rPr>
        <w:t>应</w:t>
      </w:r>
      <w:r>
        <w:rPr>
          <w:rFonts w:hint="eastAsia" w:ascii="宋体" w:hAnsi="宋体" w:eastAsia="宋体" w:cs="宋体"/>
          <w:sz w:val="28"/>
          <w:szCs w:val="28"/>
        </w:rPr>
        <w:t>含</w:t>
      </w:r>
      <w:r>
        <w:rPr>
          <w:rFonts w:hint="eastAsia" w:ascii="宋体" w:hAnsi="宋体" w:eastAsia="宋体" w:cs="宋体"/>
          <w:bCs/>
          <w:sz w:val="28"/>
          <w:szCs w:val="28"/>
        </w:rPr>
        <w:t>总则</w:t>
      </w:r>
      <w:r>
        <w:rPr>
          <w:rFonts w:hint="eastAsia" w:ascii="宋体" w:hAnsi="宋体" w:cs="宋体"/>
          <w:bCs/>
          <w:sz w:val="28"/>
          <w:szCs w:val="28"/>
          <w:lang w:eastAsia="zh-CN"/>
        </w:rPr>
        <w:t>，</w:t>
      </w:r>
      <w:r>
        <w:rPr>
          <w:rFonts w:hint="eastAsia" w:ascii="宋体" w:hAnsi="宋体" w:eastAsia="宋体" w:cs="宋体"/>
          <w:bCs/>
          <w:sz w:val="28"/>
          <w:szCs w:val="28"/>
        </w:rPr>
        <w:t>规划、建筑、</w:t>
      </w:r>
      <w:r>
        <w:rPr>
          <w:rFonts w:hint="eastAsia" w:ascii="宋体" w:hAnsi="宋体" w:eastAsia="宋体" w:cs="宋体"/>
          <w:bCs/>
          <w:sz w:val="28"/>
          <w:szCs w:val="28"/>
          <w:lang w:eastAsia="zh-CN"/>
        </w:rPr>
        <w:t>景观</w:t>
      </w:r>
      <w:r>
        <w:rPr>
          <w:rFonts w:hint="eastAsia" w:ascii="宋体" w:hAnsi="宋体" w:cs="宋体"/>
          <w:bCs/>
          <w:sz w:val="28"/>
          <w:szCs w:val="28"/>
          <w:lang w:eastAsia="zh-CN"/>
        </w:rPr>
        <w:t>，</w:t>
      </w:r>
      <w:r>
        <w:rPr>
          <w:rFonts w:hint="eastAsia" w:ascii="宋体" w:hAnsi="宋体" w:eastAsia="宋体" w:cs="宋体"/>
          <w:bCs/>
          <w:sz w:val="28"/>
          <w:szCs w:val="28"/>
        </w:rPr>
        <w:t>结构</w:t>
      </w:r>
      <w:r>
        <w:rPr>
          <w:rFonts w:hint="eastAsia" w:ascii="宋体" w:hAnsi="宋体" w:cs="宋体"/>
          <w:bCs/>
          <w:sz w:val="28"/>
          <w:szCs w:val="28"/>
          <w:lang w:eastAsia="zh-CN"/>
        </w:rPr>
        <w:t>，</w:t>
      </w:r>
      <w:r>
        <w:rPr>
          <w:rFonts w:hint="eastAsia" w:ascii="宋体" w:hAnsi="宋体" w:eastAsia="宋体" w:cs="宋体"/>
          <w:bCs/>
          <w:sz w:val="28"/>
          <w:szCs w:val="28"/>
        </w:rPr>
        <w:t>给排水</w:t>
      </w:r>
      <w:r>
        <w:rPr>
          <w:rFonts w:hint="eastAsia" w:ascii="宋体" w:hAnsi="宋体" w:cs="宋体"/>
          <w:bCs/>
          <w:sz w:val="28"/>
          <w:szCs w:val="28"/>
          <w:lang w:eastAsia="zh-CN"/>
        </w:rPr>
        <w:t>，</w:t>
      </w:r>
      <w:r>
        <w:rPr>
          <w:rFonts w:hint="eastAsia" w:ascii="宋体" w:hAnsi="宋体" w:eastAsia="宋体" w:cs="宋体"/>
          <w:bCs/>
          <w:sz w:val="28"/>
          <w:szCs w:val="28"/>
        </w:rPr>
        <w:t>电气</w:t>
      </w:r>
      <w:r>
        <w:rPr>
          <w:rFonts w:hint="eastAsia" w:ascii="宋体" w:hAnsi="宋体" w:cs="宋体"/>
          <w:bCs/>
          <w:sz w:val="28"/>
          <w:szCs w:val="28"/>
          <w:lang w:val="en-US" w:eastAsia="zh-CN"/>
        </w:rPr>
        <w:t>和</w:t>
      </w:r>
      <w:r>
        <w:rPr>
          <w:rFonts w:hint="eastAsia" w:ascii="宋体" w:hAnsi="宋体" w:eastAsia="宋体" w:cs="宋体"/>
          <w:bCs/>
          <w:sz w:val="28"/>
          <w:szCs w:val="28"/>
        </w:rPr>
        <w:t>暖通等六部分</w:t>
      </w:r>
      <w:r>
        <w:rPr>
          <w:rFonts w:hint="eastAsia" w:ascii="宋体" w:hAnsi="宋体" w:eastAsia="宋体" w:cs="宋体"/>
          <w:bCs/>
          <w:sz w:val="28"/>
          <w:szCs w:val="28"/>
          <w:lang w:eastAsia="zh-CN"/>
        </w:rPr>
        <w: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adjustRightInd w:val="0"/>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rPr>
        <w:t>项目建议书的编制应符合所在区域低碳生态的规划要求，应设绿色建筑专篇，提出需达到的绿色建筑目标要求，并将实施绿色建筑增量成本列入投资估算。</w:t>
      </w:r>
    </w:p>
    <w:p>
      <w:pPr>
        <w:adjustRightInd w:val="0"/>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eastAsia" w:ascii="宋体" w:hAnsi="宋体" w:cs="宋体"/>
          <w:sz w:val="28"/>
          <w:szCs w:val="28"/>
          <w:lang w:val="en-US" w:eastAsia="zh-CN"/>
        </w:rPr>
        <w:t xml:space="preserve">  </w:t>
      </w:r>
      <w:r>
        <w:rPr>
          <w:rFonts w:hint="eastAsia" w:ascii="宋体" w:hAnsi="宋体" w:eastAsia="宋体" w:cs="宋体"/>
          <w:sz w:val="28"/>
          <w:szCs w:val="28"/>
        </w:rPr>
        <w:t>项目可行性研究报告的编制应符合区域低碳生态规划的要求，应设绿色建筑专篇，并针对本规范提出的要求进行全面的分析论证，确定绿色建筑的实施策略。</w:t>
      </w:r>
    </w:p>
    <w:p>
      <w:pPr>
        <w:adjustRightInd w:val="0"/>
        <w:snapToGrid w:val="0"/>
        <w:spacing w:before="93" w:beforeLines="30" w:after="93" w:afterLines="30" w:line="360" w:lineRule="auto"/>
        <w:rPr>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w:t>
      </w:r>
      <w:r>
        <w:rPr>
          <w:sz w:val="28"/>
          <w:szCs w:val="28"/>
        </w:rPr>
        <w:t>详细规划的编制单位应依据</w:t>
      </w:r>
      <w:r>
        <w:rPr>
          <w:rFonts w:hint="eastAsia"/>
          <w:sz w:val="28"/>
          <w:szCs w:val="28"/>
          <w:lang w:val="en-US" w:eastAsia="zh-CN"/>
        </w:rPr>
        <w:t xml:space="preserve">广东省标准《广东省绿色建筑设计规范》DBJ/T </w:t>
      </w:r>
      <w:r>
        <w:rPr>
          <w:rFonts w:hint="eastAsia" w:eastAsia="Times New Roman"/>
          <w:sz w:val="28"/>
          <w:szCs w:val="28"/>
          <w:lang w:val="en-US" w:eastAsia="zh-CN"/>
        </w:rPr>
        <w:t>15</w:t>
      </w:r>
      <w:r>
        <w:rPr>
          <w:rFonts w:hint="eastAsia"/>
          <w:sz w:val="28"/>
          <w:szCs w:val="28"/>
          <w:lang w:val="en-US" w:eastAsia="zh-CN"/>
        </w:rPr>
        <w:t>-</w:t>
      </w:r>
      <w:r>
        <w:rPr>
          <w:rFonts w:hint="eastAsia" w:eastAsia="Times New Roman"/>
          <w:sz w:val="28"/>
          <w:szCs w:val="28"/>
          <w:lang w:val="en-US" w:eastAsia="zh-CN"/>
        </w:rPr>
        <w:t>201</w:t>
      </w:r>
      <w:r>
        <w:rPr>
          <w:rFonts w:hint="eastAsia"/>
          <w:sz w:val="28"/>
          <w:szCs w:val="28"/>
          <w:lang w:val="en-US" w:eastAsia="zh-CN"/>
        </w:rPr>
        <w:t>-</w:t>
      </w:r>
      <w:r>
        <w:rPr>
          <w:rFonts w:hint="eastAsia" w:eastAsia="Times New Roman"/>
          <w:sz w:val="28"/>
          <w:szCs w:val="28"/>
          <w:lang w:val="en-US" w:eastAsia="zh-CN"/>
        </w:rPr>
        <w:t>2020</w:t>
      </w:r>
      <w:r>
        <w:rPr>
          <w:rFonts w:hint="eastAsia"/>
          <w:sz w:val="28"/>
          <w:szCs w:val="28"/>
          <w:lang w:val="en-US" w:eastAsia="zh-CN"/>
        </w:rPr>
        <w:t>第</w:t>
      </w:r>
      <w:r>
        <w:rPr>
          <w:rFonts w:eastAsia="Times New Roman"/>
          <w:sz w:val="28"/>
          <w:szCs w:val="28"/>
        </w:rPr>
        <w:t>4</w:t>
      </w:r>
      <w:r>
        <w:rPr>
          <w:sz w:val="28"/>
          <w:szCs w:val="28"/>
        </w:rPr>
        <w:t>.</w:t>
      </w:r>
      <w:r>
        <w:rPr>
          <w:rFonts w:eastAsia="Times New Roman"/>
          <w:sz w:val="28"/>
          <w:szCs w:val="28"/>
        </w:rPr>
        <w:t>1</w:t>
      </w:r>
      <w:r>
        <w:rPr>
          <w:sz w:val="28"/>
          <w:szCs w:val="28"/>
        </w:rPr>
        <w:t>节</w:t>
      </w:r>
      <w:r>
        <w:rPr>
          <w:rFonts w:hint="eastAsia"/>
          <w:sz w:val="28"/>
          <w:szCs w:val="28"/>
          <w:lang w:eastAsia="zh-CN"/>
        </w:rPr>
        <w:t>“</w:t>
      </w:r>
      <w:r>
        <w:rPr>
          <w:sz w:val="28"/>
          <w:szCs w:val="28"/>
        </w:rPr>
        <w:t>规划设计</w:t>
      </w:r>
      <w:r>
        <w:rPr>
          <w:rFonts w:hint="eastAsia"/>
          <w:sz w:val="28"/>
          <w:szCs w:val="28"/>
          <w:lang w:eastAsia="zh-CN"/>
        </w:rPr>
        <w:t>”</w:t>
      </w:r>
      <w:r>
        <w:rPr>
          <w:sz w:val="28"/>
          <w:szCs w:val="28"/>
        </w:rPr>
        <w:t>的要求进行规划编制，规划应体现相应内容，明确项目绿色建筑星级目标。</w:t>
      </w:r>
    </w:p>
    <w:p>
      <w:pPr>
        <w:adjustRightInd w:val="0"/>
        <w:snapToGrid w:val="0"/>
        <w:spacing w:before="93" w:beforeLines="30" w:after="93" w:afterLines="30" w:line="360" w:lineRule="auto"/>
        <w:rPr>
          <w:rFonts w:hint="eastAsia" w:ascii="宋体" w:hAnsi="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5</w:t>
      </w:r>
      <w:r>
        <w:rPr>
          <w:rFonts w:hint="eastAsia" w:ascii="宋体" w:hAnsi="宋体" w:cs="宋体"/>
          <w:sz w:val="28"/>
          <w:szCs w:val="28"/>
          <w:lang w:val="en-US" w:eastAsia="zh-CN"/>
        </w:rPr>
        <w:t xml:space="preserve">  </w:t>
      </w:r>
      <w:r>
        <w:rPr>
          <w:rFonts w:hint="eastAsia" w:ascii="宋体" w:hAnsi="宋体" w:cs="宋体"/>
          <w:sz w:val="28"/>
          <w:szCs w:val="28"/>
        </w:rPr>
        <w:t>方案设计投标文件应根据设计招标文件中的绿色建筑设计要求，设</w:t>
      </w:r>
      <w:r>
        <w:rPr>
          <w:rFonts w:hint="eastAsia" w:ascii="宋体" w:hAnsi="宋体" w:cs="宋体"/>
          <w:sz w:val="28"/>
          <w:szCs w:val="28"/>
          <w:lang w:val="en-US" w:eastAsia="zh-CN"/>
        </w:rPr>
        <w:t>置</w:t>
      </w:r>
      <w:r>
        <w:rPr>
          <w:rFonts w:hint="eastAsia" w:ascii="宋体" w:hAnsi="宋体" w:cs="宋体"/>
          <w:sz w:val="28"/>
          <w:szCs w:val="28"/>
        </w:rPr>
        <w:t>绿色建筑专篇。</w:t>
      </w:r>
      <w:r>
        <w:rPr>
          <w:rFonts w:hint="eastAsia" w:ascii="宋体" w:hAnsi="宋体" w:cs="宋体"/>
          <w:sz w:val="28"/>
          <w:szCs w:val="28"/>
          <w:lang w:val="en-US" w:eastAsia="zh-CN"/>
        </w:rPr>
        <w:t>方案设计文件</w:t>
      </w:r>
      <w:r>
        <w:rPr>
          <w:rFonts w:hint="eastAsia" w:ascii="宋体" w:hAnsi="宋体" w:cs="宋体"/>
          <w:sz w:val="28"/>
          <w:szCs w:val="28"/>
        </w:rPr>
        <w:t>应</w:t>
      </w:r>
      <w:r>
        <w:rPr>
          <w:rFonts w:hint="eastAsia" w:ascii="宋体" w:hAnsi="宋体" w:cs="宋体"/>
          <w:sz w:val="28"/>
          <w:szCs w:val="28"/>
          <w:lang w:val="en-US" w:eastAsia="zh-CN"/>
        </w:rPr>
        <w:t>设</w:t>
      </w:r>
      <w:r>
        <w:rPr>
          <w:rFonts w:hint="eastAsia" w:ascii="宋体" w:hAnsi="宋体" w:cs="宋体"/>
          <w:sz w:val="28"/>
          <w:szCs w:val="28"/>
        </w:rPr>
        <w:t>绿色</w:t>
      </w:r>
      <w:r>
        <w:rPr>
          <w:rFonts w:hint="eastAsia" w:ascii="宋体" w:hAnsi="宋体" w:cs="宋体"/>
          <w:sz w:val="28"/>
          <w:szCs w:val="28"/>
          <w:lang w:val="en-US" w:eastAsia="zh-CN"/>
        </w:rPr>
        <w:t>建筑专篇，其中应包括项目的绿色</w:t>
      </w:r>
      <w:r>
        <w:rPr>
          <w:rFonts w:hint="eastAsia" w:ascii="宋体" w:hAnsi="宋体" w:cs="宋体"/>
          <w:sz w:val="28"/>
          <w:szCs w:val="28"/>
        </w:rPr>
        <w:t>建筑目标、设计采用的手段及技术等。</w:t>
      </w:r>
    </w:p>
    <w:p>
      <w:pPr>
        <w:adjustRightInd w:val="0"/>
        <w:snapToGrid w:val="0"/>
        <w:spacing w:before="93" w:beforeLines="30" w:after="93" w:afterLines="30" w:line="360" w:lineRule="auto"/>
        <w:rPr>
          <w:rFonts w:hint="eastAsia" w:ascii="宋体" w:hAnsi="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eastAsia" w:ascii="宋体" w:hAnsi="宋体" w:cs="宋体"/>
          <w:sz w:val="28"/>
          <w:szCs w:val="28"/>
        </w:rPr>
        <w:t>初步设计说明中应设绿色建筑</w:t>
      </w:r>
      <w:r>
        <w:rPr>
          <w:rFonts w:hint="eastAsia" w:ascii="宋体" w:hAnsi="宋体" w:cs="宋体"/>
          <w:sz w:val="28"/>
          <w:szCs w:val="28"/>
          <w:lang w:val="en-US" w:eastAsia="zh-CN"/>
        </w:rPr>
        <w:t>设计说明</w:t>
      </w:r>
      <w:r>
        <w:rPr>
          <w:rFonts w:hint="eastAsia" w:ascii="宋体" w:hAnsi="宋体" w:cs="宋体"/>
          <w:sz w:val="28"/>
          <w:szCs w:val="28"/>
        </w:rPr>
        <w:t>专篇，</w:t>
      </w:r>
      <w:r>
        <w:rPr>
          <w:rFonts w:hint="eastAsia" w:ascii="宋体" w:hAnsi="宋体" w:cs="宋体"/>
          <w:sz w:val="28"/>
          <w:szCs w:val="28"/>
          <w:lang w:val="en-US" w:eastAsia="zh-CN"/>
        </w:rPr>
        <w:t>专篇应体现</w:t>
      </w:r>
      <w:r>
        <w:rPr>
          <w:rFonts w:hint="eastAsia" w:ascii="宋体" w:hAnsi="宋体" w:cs="宋体"/>
          <w:sz w:val="28"/>
          <w:szCs w:val="28"/>
        </w:rPr>
        <w:t>各专业</w:t>
      </w:r>
      <w:r>
        <w:rPr>
          <w:rFonts w:hint="eastAsia" w:ascii="宋体" w:hAnsi="宋体" w:cs="宋体"/>
          <w:sz w:val="28"/>
          <w:szCs w:val="28"/>
          <w:lang w:val="en-US" w:eastAsia="zh-CN"/>
        </w:rPr>
        <w:t>相关绿色建筑</w:t>
      </w:r>
      <w:r>
        <w:rPr>
          <w:rFonts w:hint="eastAsia" w:ascii="宋体" w:hAnsi="宋体" w:cs="宋体"/>
          <w:sz w:val="28"/>
          <w:szCs w:val="28"/>
        </w:rPr>
        <w:t>设计内容。</w:t>
      </w:r>
    </w:p>
    <w:p>
      <w:pPr>
        <w:adjustRightInd w:val="0"/>
        <w:snapToGrid w:val="0"/>
        <w:spacing w:before="93" w:beforeLines="30" w:after="93" w:afterLines="30" w:line="360" w:lineRule="auto"/>
        <w:rPr>
          <w:rFonts w:hint="eastAsia"/>
          <w:b w:val="0"/>
          <w:bCs w:val="0"/>
          <w:sz w:val="28"/>
          <w:szCs w:val="28"/>
          <w:lang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7</w:t>
      </w:r>
      <w:r>
        <w:rPr>
          <w:rFonts w:hint="eastAsia" w:ascii="宋体" w:hAnsi="宋体" w:cs="宋体"/>
          <w:sz w:val="28"/>
          <w:szCs w:val="28"/>
          <w:lang w:val="en-US" w:eastAsia="zh-CN"/>
        </w:rPr>
        <w:t xml:space="preserve">  </w:t>
      </w:r>
      <w:r>
        <w:rPr>
          <w:rFonts w:hint="eastAsia" w:ascii="宋体" w:hAnsi="宋体" w:cs="宋体"/>
          <w:sz w:val="28"/>
          <w:szCs w:val="28"/>
        </w:rPr>
        <w:t>施工图设</w:t>
      </w:r>
      <w:r>
        <w:rPr>
          <w:sz w:val="28"/>
          <w:szCs w:val="28"/>
        </w:rPr>
        <w:t>计说明应设绿色建筑</w:t>
      </w:r>
      <w:r>
        <w:rPr>
          <w:rFonts w:hint="eastAsia"/>
          <w:sz w:val="28"/>
          <w:szCs w:val="28"/>
          <w:lang w:val="en-US" w:eastAsia="zh-CN"/>
        </w:rPr>
        <w:t>设计说明</w:t>
      </w:r>
      <w:r>
        <w:rPr>
          <w:sz w:val="28"/>
          <w:szCs w:val="28"/>
        </w:rPr>
        <w:t>专篇，</w:t>
      </w:r>
      <w:r>
        <w:rPr>
          <w:rFonts w:hint="eastAsia"/>
          <w:sz w:val="28"/>
          <w:szCs w:val="28"/>
          <w:lang w:val="en-US" w:eastAsia="zh-CN"/>
        </w:rPr>
        <w:t>建筑专业应含中山市绿色建筑设计说明专篇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总则</w:t>
      </w:r>
      <w:r>
        <w:rPr>
          <w:rFonts w:hint="eastAsia" w:ascii="宋体" w:hAnsi="宋体" w:cs="宋体"/>
          <w:bCs/>
          <w:sz w:val="28"/>
          <w:szCs w:val="28"/>
          <w:lang w:val="en-US" w:eastAsia="zh-CN"/>
        </w:rPr>
        <w:t>和</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规划、建筑、</w:t>
      </w:r>
      <w:r>
        <w:rPr>
          <w:rFonts w:hint="eastAsia" w:ascii="宋体" w:hAnsi="宋体" w:cs="宋体"/>
          <w:bCs/>
          <w:sz w:val="28"/>
          <w:szCs w:val="28"/>
          <w:lang w:eastAsia="zh-CN"/>
        </w:rPr>
        <w:t>景观</w:t>
      </w:r>
      <w:r>
        <w:rPr>
          <w:rFonts w:hint="eastAsia" w:ascii="宋体" w:hAnsi="宋体" w:cs="宋体"/>
          <w:bCs/>
          <w:sz w:val="28"/>
          <w:szCs w:val="28"/>
        </w:rPr>
        <w:t>；</w:t>
      </w:r>
      <w:r>
        <w:rPr>
          <w:rFonts w:hint="eastAsia" w:ascii="宋体" w:hAnsi="宋体" w:cs="宋体"/>
          <w:bCs/>
          <w:sz w:val="28"/>
          <w:szCs w:val="28"/>
          <w:lang w:val="en-US" w:eastAsia="zh-CN"/>
        </w:rPr>
        <w:t>结构专业应含</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结构</w:t>
      </w:r>
      <w:r>
        <w:rPr>
          <w:rFonts w:hint="eastAsia" w:ascii="宋体" w:hAnsi="宋体" w:cs="宋体"/>
          <w:bCs/>
          <w:sz w:val="28"/>
          <w:szCs w:val="28"/>
          <w:lang w:eastAsia="zh-CN"/>
        </w:rPr>
        <w:t>；</w:t>
      </w:r>
      <w:r>
        <w:rPr>
          <w:rFonts w:hint="eastAsia" w:ascii="宋体" w:hAnsi="宋体" w:cs="宋体"/>
          <w:bCs/>
          <w:sz w:val="28"/>
          <w:szCs w:val="28"/>
          <w:lang w:val="en-US" w:eastAsia="zh-CN"/>
        </w:rPr>
        <w:t>给排水专业应含</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给排水</w:t>
      </w:r>
      <w:r>
        <w:rPr>
          <w:rFonts w:hint="eastAsia" w:ascii="宋体" w:hAnsi="宋体" w:cs="宋体"/>
          <w:bCs/>
          <w:sz w:val="28"/>
          <w:szCs w:val="28"/>
          <w:lang w:eastAsia="zh-CN"/>
        </w:rPr>
        <w:t>；</w:t>
      </w:r>
      <w:r>
        <w:rPr>
          <w:rFonts w:hint="eastAsia" w:ascii="宋体" w:hAnsi="宋体" w:cs="宋体"/>
          <w:bCs/>
          <w:sz w:val="28"/>
          <w:szCs w:val="28"/>
          <w:lang w:val="en-US" w:eastAsia="zh-CN"/>
        </w:rPr>
        <w:t>电气专业应含</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电气；</w:t>
      </w:r>
      <w:r>
        <w:rPr>
          <w:rFonts w:hint="eastAsia" w:ascii="宋体" w:hAnsi="宋体" w:cs="宋体"/>
          <w:bCs/>
          <w:sz w:val="28"/>
          <w:szCs w:val="28"/>
          <w:lang w:val="en-US" w:eastAsia="zh-CN"/>
        </w:rPr>
        <w:t>暖通专业应含</w:t>
      </w:r>
      <w:r>
        <w:rPr>
          <w:rFonts w:hint="eastAsia"/>
          <w:sz w:val="28"/>
          <w:szCs w:val="28"/>
          <w:lang w:val="en-US" w:eastAsia="zh-CN"/>
        </w:rPr>
        <w:t>中山市</w:t>
      </w:r>
      <w:r>
        <w:rPr>
          <w:rFonts w:hint="eastAsia" w:ascii="宋体" w:hAnsi="宋体" w:cs="宋体"/>
          <w:bCs/>
          <w:sz w:val="28"/>
          <w:szCs w:val="28"/>
        </w:rPr>
        <w:t>绿色建筑设</w:t>
      </w:r>
      <w:r>
        <w:rPr>
          <w:rFonts w:hint="eastAsia" w:ascii="宋体" w:hAnsi="宋体" w:cs="宋体"/>
          <w:bCs/>
          <w:sz w:val="28"/>
          <w:szCs w:val="28"/>
          <w:highlight w:val="none"/>
          <w:lang w:val="en-US" w:eastAsia="zh-CN"/>
        </w:rPr>
        <w:t>说明</w:t>
      </w:r>
      <w:r>
        <w:rPr>
          <w:rFonts w:hint="eastAsia" w:ascii="宋体" w:hAnsi="宋体" w:cs="宋体"/>
          <w:bCs/>
          <w:sz w:val="28"/>
          <w:szCs w:val="28"/>
          <w:highlight w:val="none"/>
        </w:rPr>
        <w:t>专篇</w:t>
      </w:r>
      <w:r>
        <w:rPr>
          <w:rFonts w:hint="eastAsia" w:ascii="宋体" w:hAnsi="宋体" w:cs="宋体"/>
          <w:bCs/>
          <w:sz w:val="28"/>
          <w:szCs w:val="28"/>
          <w:lang w:val="en-US" w:eastAsia="zh-CN"/>
        </w:rPr>
        <w:t>-暖通</w:t>
      </w:r>
      <w:r>
        <w:rPr>
          <w:sz w:val="28"/>
          <w:szCs w:val="28"/>
        </w:rPr>
        <w:t>。各专业</w:t>
      </w:r>
      <w:r>
        <w:rPr>
          <w:rFonts w:hint="eastAsia"/>
          <w:sz w:val="28"/>
          <w:szCs w:val="28"/>
          <w:lang w:val="en-US" w:eastAsia="zh-CN"/>
        </w:rPr>
        <w:t>对应</w:t>
      </w:r>
      <w:r>
        <w:rPr>
          <w:sz w:val="28"/>
          <w:szCs w:val="28"/>
        </w:rPr>
        <w:t>设计文件应</w:t>
      </w:r>
      <w:r>
        <w:rPr>
          <w:rFonts w:hint="eastAsia"/>
          <w:sz w:val="28"/>
          <w:szCs w:val="28"/>
          <w:lang w:val="en-US" w:eastAsia="zh-CN"/>
        </w:rPr>
        <w:t>注明</w:t>
      </w:r>
      <w:r>
        <w:rPr>
          <w:b w:val="0"/>
          <w:bCs w:val="0"/>
          <w:sz w:val="28"/>
          <w:szCs w:val="28"/>
        </w:rPr>
        <w:t>绿色建筑施工与建筑运营管理中与设计相关的技术要求</w:t>
      </w:r>
      <w:r>
        <w:rPr>
          <w:rFonts w:hint="eastAsia"/>
          <w:b w:val="0"/>
          <w:bCs w:val="0"/>
          <w:sz w:val="28"/>
          <w:szCs w:val="28"/>
          <w:lang w:eastAsia="zh-CN"/>
        </w:rPr>
        <w:t>。</w:t>
      </w:r>
    </w:p>
    <w:p>
      <w:pPr>
        <w:adjustRightInd w:val="0"/>
        <w:snapToGrid w:val="0"/>
        <w:spacing w:before="93" w:beforeLines="30" w:after="93" w:afterLines="30" w:line="360" w:lineRule="auto"/>
        <w:rPr>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8</w:t>
      </w:r>
      <w:r>
        <w:rPr>
          <w:rFonts w:hint="eastAsia" w:ascii="宋体" w:hAnsi="宋体" w:cs="宋体"/>
          <w:sz w:val="28"/>
          <w:szCs w:val="28"/>
          <w:lang w:val="en-US" w:eastAsia="zh-CN"/>
        </w:rPr>
        <w:t xml:space="preserve">  </w:t>
      </w:r>
      <w:r>
        <w:rPr>
          <w:sz w:val="28"/>
          <w:szCs w:val="28"/>
        </w:rPr>
        <w:t>各专业的各项技术措施和产品技术指标应体现在相应的设计图中，或者标注在相应的设计图中。</w:t>
      </w:r>
    </w:p>
    <w:p>
      <w:pPr>
        <w:pStyle w:val="4"/>
        <w:rPr>
          <w:rFonts w:hint="eastAsia" w:ascii="Times New Roman" w:hAnsi="Times New Roman" w:cs="Times New Roman"/>
          <w:color w:val="auto"/>
          <w:sz w:val="30"/>
          <w:szCs w:val="30"/>
          <w:lang w:val="en-US" w:eastAsia="zh-CN"/>
        </w:rPr>
      </w:pPr>
      <w:bookmarkStart w:id="181" w:name="_Toc10481"/>
      <w:bookmarkStart w:id="182" w:name="_Toc2598"/>
      <w:bookmarkStart w:id="183" w:name="_Toc7591"/>
      <w:bookmarkStart w:id="184" w:name="_Toc7979"/>
      <w:bookmarkStart w:id="185" w:name="_Toc2257"/>
      <w:bookmarkStart w:id="186" w:name="_Toc10511"/>
      <w:bookmarkStart w:id="187" w:name="_Toc25535"/>
      <w:bookmarkStart w:id="188" w:name="_Toc29455"/>
      <w:bookmarkStart w:id="189" w:name="_Toc1295"/>
      <w:bookmarkStart w:id="190" w:name="_Toc2800"/>
      <w:bookmarkStart w:id="191" w:name="_Toc12651"/>
      <w:bookmarkStart w:id="192" w:name="_Toc29339"/>
      <w:bookmarkStart w:id="193" w:name="_Toc3239"/>
      <w:bookmarkStart w:id="194" w:name="_Toc16061"/>
      <w:bookmarkStart w:id="195" w:name="_Toc10695"/>
      <w:bookmarkStart w:id="196" w:name="_Toc9955"/>
      <w:bookmarkStart w:id="197" w:name="_Toc14688"/>
      <w:bookmarkStart w:id="198" w:name="_Toc19114"/>
      <w:r>
        <w:rPr>
          <w:rFonts w:hint="default" w:ascii="Times New Roman" w:hAnsi="Times New Roman" w:eastAsia="Times New Roman" w:cs="Times New Roman"/>
          <w:color w:val="auto"/>
          <w:sz w:val="30"/>
          <w:szCs w:val="30"/>
          <w:lang w:val="en-US" w:eastAsia="zh-CN"/>
        </w:rPr>
        <w:t>3</w:t>
      </w:r>
      <w:r>
        <w:rPr>
          <w:rFonts w:hint="default" w:ascii="Times New Roman" w:hAnsi="Times New Roman" w:cs="Times New Roman"/>
          <w:color w:val="auto"/>
          <w:sz w:val="30"/>
          <w:szCs w:val="30"/>
          <w:lang w:val="en-US" w:eastAsia="zh-CN"/>
        </w:rPr>
        <w:t>.</w:t>
      </w:r>
      <w:r>
        <w:rPr>
          <w:rFonts w:hint="default" w:ascii="Times New Roman" w:hAnsi="Times New Roman" w:eastAsia="Times New Roman" w:cs="Times New Roman"/>
          <w:color w:val="auto"/>
          <w:sz w:val="30"/>
          <w:szCs w:val="30"/>
          <w:lang w:val="en-US" w:eastAsia="zh-CN"/>
        </w:rPr>
        <w:t>3</w:t>
      </w:r>
      <w:r>
        <w:rPr>
          <w:rFonts w:hint="default" w:ascii="Times New Roman" w:hAnsi="Times New Roman" w:cs="Times New Roman"/>
          <w:color w:val="auto"/>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color w:val="auto"/>
          <w:sz w:val="30"/>
          <w:szCs w:val="30"/>
          <w:lang w:val="en-US" w:eastAsia="zh-CN"/>
        </w:rPr>
        <w:t>评价规定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bidi w:val="0"/>
        <w:snapToGrid w:val="0"/>
        <w:spacing w:line="360" w:lineRule="auto"/>
        <w:rPr>
          <w:rFonts w:hint="eastAsia" w:ascii="宋体" w:hAnsi="宋体" w:eastAsia="宋体" w:cs="宋体"/>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cs="宋体"/>
          <w:szCs w:val="28"/>
          <w:lang w:val="en-US" w:eastAsia="zh-CN"/>
        </w:rPr>
        <w:t xml:space="preserve">  </w:t>
      </w:r>
      <w:r>
        <w:rPr>
          <w:rFonts w:hint="eastAsia" w:ascii="宋体" w:hAnsi="宋体" w:eastAsia="宋体" w:cs="宋体"/>
          <w:sz w:val="28"/>
          <w:szCs w:val="28"/>
        </w:rPr>
        <w:t>绿色建筑评价应以单栋建筑或建筑群为评价对象</w:t>
      </w:r>
      <w:r>
        <w:rPr>
          <w:rFonts w:hint="eastAsia" w:ascii="宋体" w:hAnsi="宋体" w:eastAsia="宋体" w:cs="宋体"/>
          <w:sz w:val="28"/>
          <w:szCs w:val="28"/>
          <w:lang w:eastAsia="zh-CN"/>
        </w:rPr>
        <w:t>。</w:t>
      </w:r>
      <w:r>
        <w:rPr>
          <w:rFonts w:hint="eastAsia" w:ascii="宋体" w:hAnsi="宋体" w:eastAsia="宋体" w:cs="宋体"/>
          <w:sz w:val="28"/>
          <w:szCs w:val="28"/>
        </w:rPr>
        <w:t>评价对象应落实并深化上位法定规划及相关专项规划提岀的绿色发展要求；涉及系统性、整体性的指标</w:t>
      </w:r>
      <w:r>
        <w:rPr>
          <w:rFonts w:hint="eastAsia" w:ascii="宋体" w:hAnsi="宋体" w:eastAsia="宋体" w:cs="宋体"/>
          <w:sz w:val="28"/>
          <w:szCs w:val="28"/>
          <w:lang w:eastAsia="zh-CN"/>
        </w:rPr>
        <w:t>，</w:t>
      </w:r>
      <w:r>
        <w:rPr>
          <w:rFonts w:hint="eastAsia" w:ascii="宋体" w:hAnsi="宋体" w:eastAsia="宋体" w:cs="宋体"/>
          <w:sz w:val="28"/>
          <w:szCs w:val="28"/>
        </w:rPr>
        <w:t>应基于建筑所属工程项目的</w:t>
      </w:r>
      <w:r>
        <w:rPr>
          <w:rFonts w:hint="eastAsia" w:ascii="宋体" w:hAnsi="宋体" w:eastAsia="宋体" w:cs="宋体"/>
          <w:sz w:val="28"/>
          <w:szCs w:val="28"/>
          <w:lang w:val="en-US" w:eastAsia="zh-CN"/>
        </w:rPr>
        <w:t>总体进行评价</w:t>
      </w:r>
      <w:r>
        <w:rPr>
          <w:rFonts w:hint="eastAsia" w:ascii="宋体" w:hAnsi="宋体" w:eastAsia="宋体" w:cs="宋体"/>
          <w:sz w:val="28"/>
          <w:szCs w:val="28"/>
        </w:rPr>
        <w:t>。</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绿色建筑评价应在建筑工程竣工后进行</w:t>
      </w:r>
      <w:r>
        <w:rPr>
          <w:rFonts w:hint="eastAsia" w:ascii="宋体" w:hAnsi="宋体" w:eastAsia="宋体" w:cs="宋体"/>
          <w:sz w:val="28"/>
          <w:szCs w:val="28"/>
          <w:lang w:eastAsia="zh-CN"/>
        </w:rPr>
        <w:t>。</w:t>
      </w:r>
      <w:r>
        <w:rPr>
          <w:rFonts w:hint="eastAsia" w:ascii="宋体" w:hAnsi="宋体" w:eastAsia="宋体" w:cs="宋体"/>
          <w:sz w:val="28"/>
          <w:szCs w:val="28"/>
        </w:rPr>
        <w:t>在建筑工程施工图设计完成后，可进行预评价。</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绿色建筑评价指标体系应由安全耐久、健康舒适、生活便利、资源节约、环境宜居</w:t>
      </w:r>
      <w:r>
        <w:rPr>
          <w:rFonts w:hint="eastAsia" w:ascii="宋体" w:hAnsi="宋体" w:eastAsia="Times New Roman" w:cs="宋体"/>
          <w:sz w:val="28"/>
          <w:szCs w:val="28"/>
        </w:rPr>
        <w:t>5</w:t>
      </w:r>
      <w:r>
        <w:rPr>
          <w:rFonts w:hint="eastAsia" w:ascii="宋体" w:hAnsi="宋体" w:eastAsia="宋体" w:cs="宋体"/>
          <w:sz w:val="28"/>
          <w:szCs w:val="28"/>
        </w:rPr>
        <w:t>类指标组成</w:t>
      </w:r>
      <w:r>
        <w:rPr>
          <w:rFonts w:hint="eastAsia" w:ascii="宋体" w:hAnsi="宋体" w:cs="宋体"/>
          <w:sz w:val="28"/>
          <w:szCs w:val="28"/>
          <w:lang w:eastAsia="zh-CN"/>
        </w:rPr>
        <w:t>，</w:t>
      </w:r>
      <w:r>
        <w:rPr>
          <w:rFonts w:hint="eastAsia" w:ascii="宋体" w:hAnsi="宋体" w:eastAsia="宋体" w:cs="宋体"/>
          <w:sz w:val="28"/>
          <w:szCs w:val="28"/>
        </w:rPr>
        <w:t>且每类指标均包括控制项和评分项；评价指标体系还统一设置加分项。</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w:t>
      </w:r>
      <w:r>
        <w:rPr>
          <w:rFonts w:hint="eastAsia" w:ascii="宋体" w:hAnsi="宋体" w:eastAsia="宋体" w:cs="宋体"/>
          <w:sz w:val="28"/>
          <w:szCs w:val="28"/>
        </w:rPr>
        <w:t>控制项的评定结果应为达标或不达标；评分项和加分项的评定结果应为分值。</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5</w:t>
      </w:r>
      <w:r>
        <w:rPr>
          <w:rFonts w:hint="eastAsia" w:ascii="宋体" w:hAnsi="宋体" w:cs="宋体"/>
          <w:sz w:val="28"/>
          <w:szCs w:val="28"/>
          <w:lang w:val="en-US" w:eastAsia="zh-CN"/>
        </w:rPr>
        <w:t xml:space="preserve">  </w:t>
      </w:r>
      <w:r>
        <w:rPr>
          <w:rFonts w:hint="eastAsia" w:ascii="宋体" w:hAnsi="宋体" w:eastAsia="宋体" w:cs="宋体"/>
          <w:sz w:val="28"/>
          <w:szCs w:val="28"/>
        </w:rPr>
        <w:t>对于多功能的综合性单体建筑</w:t>
      </w:r>
      <w:r>
        <w:rPr>
          <w:rFonts w:hint="eastAsia" w:ascii="宋体" w:hAnsi="宋体" w:eastAsia="宋体" w:cs="宋体"/>
          <w:sz w:val="28"/>
          <w:szCs w:val="28"/>
          <w:lang w:eastAsia="zh-CN"/>
        </w:rPr>
        <w:t>，</w:t>
      </w:r>
      <w:r>
        <w:rPr>
          <w:rFonts w:hint="eastAsia" w:ascii="宋体" w:hAnsi="宋体" w:eastAsia="宋体" w:cs="宋体"/>
          <w:sz w:val="28"/>
          <w:szCs w:val="28"/>
        </w:rPr>
        <w:t>应按本</w:t>
      </w:r>
      <w:r>
        <w:rPr>
          <w:rFonts w:hint="eastAsia" w:ascii="宋体" w:hAnsi="宋体" w:cs="宋体"/>
          <w:sz w:val="28"/>
          <w:szCs w:val="28"/>
          <w:lang w:val="en-US" w:eastAsia="zh-CN"/>
        </w:rPr>
        <w:t>指南</w:t>
      </w:r>
      <w:r>
        <w:rPr>
          <w:rFonts w:hint="eastAsia" w:ascii="宋体" w:hAnsi="宋体" w:eastAsia="宋体" w:cs="宋体"/>
          <w:sz w:val="28"/>
          <w:szCs w:val="28"/>
        </w:rPr>
        <w:t>全部评价条文逐条对适用的区域进行评价</w:t>
      </w:r>
      <w:r>
        <w:rPr>
          <w:rFonts w:hint="eastAsia" w:ascii="宋体" w:hAnsi="宋体" w:eastAsia="宋体" w:cs="宋体"/>
          <w:sz w:val="28"/>
          <w:szCs w:val="28"/>
          <w:lang w:eastAsia="zh-CN"/>
        </w:rPr>
        <w:t>，</w:t>
      </w:r>
      <w:r>
        <w:rPr>
          <w:rFonts w:hint="eastAsia" w:ascii="宋体" w:hAnsi="宋体" w:eastAsia="宋体" w:cs="宋体"/>
          <w:sz w:val="28"/>
          <w:szCs w:val="28"/>
        </w:rPr>
        <w:t>确定各评价条文的得分。</w:t>
      </w:r>
    </w:p>
    <w:p>
      <w:pPr>
        <w:bidi w:val="0"/>
        <w:snapToGrid w:val="0"/>
        <w:spacing w:line="360" w:lineRule="auto"/>
        <w:rPr>
          <w:rFonts w:hint="eastAsia" w:ascii="宋体" w:hAnsi="宋体" w:eastAsia="宋体" w:cs="宋体"/>
          <w:b/>
          <w:bCs/>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绿色建筑评价的分值设定应符合表</w:t>
      </w:r>
      <w:r>
        <w:rPr>
          <w:rFonts w:hint="eastAsia" w:ascii="宋体" w:hAnsi="宋体" w:eastAsia="宋体" w:cs="宋体"/>
          <w:sz w:val="28"/>
          <w:szCs w:val="28"/>
          <w:lang w:val="en-US" w:eastAsia="zh-CN"/>
        </w:rPr>
        <w:t>3.3.6</w:t>
      </w:r>
      <w:r>
        <w:rPr>
          <w:rFonts w:hint="eastAsia" w:ascii="宋体" w:hAnsi="宋体" w:eastAsia="宋体" w:cs="宋体"/>
          <w:sz w:val="28"/>
          <w:szCs w:val="28"/>
        </w:rPr>
        <w:t>的规定。</w:t>
      </w:r>
    </w:p>
    <w:p>
      <w:pPr>
        <w:spacing w:before="120" w:after="2"/>
        <w:ind w:left="0" w:right="340" w:firstLine="0"/>
        <w:jc w:val="center"/>
        <w:rPr>
          <w:rFonts w:hint="eastAsia" w:ascii="宋体" w:hAnsi="宋体" w:eastAsia="宋体" w:cs="宋体"/>
          <w:sz w:val="24"/>
          <w:szCs w:val="24"/>
        </w:rPr>
      </w:pPr>
      <w:r>
        <w:rPr>
          <w:rFonts w:hint="eastAsia" w:ascii="宋体" w:hAnsi="宋体" w:eastAsia="宋体" w:cs="宋体"/>
          <w:b/>
          <w:bCs/>
          <w:sz w:val="24"/>
          <w:szCs w:val="24"/>
        </w:rPr>
        <w:t xml:space="preserve">表 </w:t>
      </w:r>
      <w:r>
        <w:rPr>
          <w:rFonts w:hint="default" w:ascii="Times New Roman" w:hAnsi="Times New Roman" w:eastAsia="Times New Roman" w:cs="Times New Roman"/>
          <w:b/>
          <w:bCs/>
          <w:sz w:val="24"/>
          <w:szCs w:val="24"/>
        </w:rPr>
        <w:t>3</w:t>
      </w:r>
      <w:r>
        <w:rPr>
          <w:rFonts w:hint="default" w:ascii="Times New Roman" w:hAnsi="Times New Roman" w:eastAsia="宋体" w:cs="Times New Roman"/>
          <w:b/>
          <w:bCs/>
          <w:sz w:val="24"/>
          <w:szCs w:val="24"/>
          <w:lang w:val="en-US" w:eastAsia="zh-CN"/>
        </w:rPr>
        <w:t>.</w:t>
      </w:r>
      <w:r>
        <w:rPr>
          <w:rFonts w:hint="default" w:ascii="Times New Roman" w:hAnsi="Times New Roman" w:eastAsia="Times New Roman" w:cs="Times New Roman"/>
          <w:b/>
          <w:bCs/>
          <w:sz w:val="24"/>
          <w:szCs w:val="24"/>
          <w:lang w:val="en-US" w:eastAsia="zh-CN"/>
        </w:rPr>
        <w:t>3</w:t>
      </w:r>
      <w:r>
        <w:rPr>
          <w:rFonts w:hint="default" w:ascii="Times New Roman" w:hAnsi="Times New Roman" w:eastAsia="宋体" w:cs="Times New Roman"/>
          <w:b/>
          <w:bCs/>
          <w:sz w:val="24"/>
          <w:szCs w:val="24"/>
        </w:rPr>
        <w:t>.</w:t>
      </w:r>
      <w:r>
        <w:rPr>
          <w:rFonts w:hint="default" w:ascii="Times New Roman" w:hAnsi="Times New Roman" w:eastAsia="Times New Roman" w:cs="Times New Roman"/>
          <w:b/>
          <w:bCs/>
          <w:sz w:val="24"/>
          <w:szCs w:val="24"/>
          <w:lang w:val="en-US" w:eastAsia="zh-CN"/>
        </w:rPr>
        <w:t>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绿色建筑评价分值</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925"/>
        <w:gridCol w:w="1050"/>
        <w:gridCol w:w="1050"/>
        <w:gridCol w:w="1050"/>
        <w:gridCol w:w="1050"/>
        <w:gridCol w:w="1050"/>
        <w:gridCol w:w="14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13" w:type="dxa"/>
            <w:vMerge w:val="restart"/>
            <w:tcBorders>
              <w:tl2br w:val="nil"/>
              <w:tr2bl w:val="nil"/>
            </w:tcBorders>
            <w:noWrap w:val="0"/>
            <w:vAlign w:val="center"/>
          </w:tcPr>
          <w:p>
            <w:pPr>
              <w:pStyle w:val="42"/>
              <w:jc w:val="center"/>
              <w:rPr>
                <w:rFonts w:hint="eastAsia" w:ascii="宋体" w:hAnsi="宋体" w:eastAsia="宋体" w:cs="宋体"/>
                <w:sz w:val="21"/>
                <w:szCs w:val="21"/>
              </w:rPr>
            </w:pPr>
          </w:p>
        </w:tc>
        <w:tc>
          <w:tcPr>
            <w:tcW w:w="925" w:type="dxa"/>
            <w:vMerge w:val="restart"/>
            <w:tcBorders>
              <w:tl2br w:val="nil"/>
              <w:tr2bl w:val="nil"/>
            </w:tcBorders>
            <w:noWrap w:val="0"/>
            <w:vAlign w:val="center"/>
          </w:tcPr>
          <w:p>
            <w:pPr>
              <w:pStyle w:val="42"/>
              <w:spacing w:before="134" w:line="240" w:lineRule="auto"/>
              <w:ind w:left="0" w:leftChars="0" w:right="67" w:firstLine="0" w:firstLineChars="0"/>
              <w:jc w:val="center"/>
              <w:rPr>
                <w:rFonts w:hint="eastAsia" w:ascii="宋体" w:hAnsi="宋体" w:eastAsia="宋体" w:cs="宋体"/>
                <w:sz w:val="21"/>
                <w:szCs w:val="21"/>
              </w:rPr>
            </w:pPr>
            <w:r>
              <w:rPr>
                <w:rFonts w:hint="eastAsia" w:ascii="宋体" w:hAnsi="宋体" w:eastAsia="宋体" w:cs="宋体"/>
                <w:sz w:val="21"/>
                <w:szCs w:val="21"/>
              </w:rPr>
              <w:t>控制项</w:t>
            </w:r>
          </w:p>
          <w:p>
            <w:pPr>
              <w:pStyle w:val="42"/>
              <w:spacing w:before="134" w:line="240" w:lineRule="auto"/>
              <w:ind w:left="0" w:leftChars="0" w:right="67" w:firstLine="0" w:firstLineChars="0"/>
              <w:jc w:val="center"/>
              <w:rPr>
                <w:rFonts w:hint="eastAsia" w:ascii="宋体" w:hAnsi="宋体" w:eastAsia="宋体" w:cs="宋体"/>
                <w:sz w:val="21"/>
                <w:szCs w:val="21"/>
              </w:rPr>
            </w:pPr>
            <w:r>
              <w:rPr>
                <w:rFonts w:hint="eastAsia" w:ascii="宋体" w:hAnsi="宋体" w:eastAsia="宋体" w:cs="宋体"/>
                <w:sz w:val="21"/>
                <w:szCs w:val="21"/>
              </w:rPr>
              <w:t>基础分值</w:t>
            </w:r>
          </w:p>
        </w:tc>
        <w:tc>
          <w:tcPr>
            <w:tcW w:w="5250" w:type="dxa"/>
            <w:gridSpan w:val="5"/>
            <w:tcBorders>
              <w:tl2br w:val="nil"/>
              <w:tr2bl w:val="nil"/>
            </w:tcBorders>
            <w:noWrap w:val="0"/>
            <w:vAlign w:val="top"/>
          </w:tcPr>
          <w:p>
            <w:pPr>
              <w:pStyle w:val="42"/>
              <w:spacing w:before="92"/>
              <w:jc w:val="center"/>
              <w:rPr>
                <w:rFonts w:hint="eastAsia" w:ascii="宋体" w:hAnsi="宋体" w:eastAsia="宋体" w:cs="宋体"/>
                <w:sz w:val="21"/>
                <w:szCs w:val="21"/>
              </w:rPr>
            </w:pPr>
            <w:r>
              <w:rPr>
                <w:rFonts w:hint="eastAsia" w:ascii="宋体" w:hAnsi="宋体" w:eastAsia="宋体" w:cs="宋体"/>
                <w:sz w:val="21"/>
                <w:szCs w:val="21"/>
              </w:rPr>
              <w:t>评价指标评分项满分值</w:t>
            </w:r>
          </w:p>
        </w:tc>
        <w:tc>
          <w:tcPr>
            <w:tcW w:w="1472" w:type="dxa"/>
            <w:vMerge w:val="restart"/>
            <w:tcBorders>
              <w:tl2br w:val="nil"/>
              <w:tr2bl w:val="nil"/>
            </w:tcBorders>
            <w:noWrap w:val="0"/>
            <w:vAlign w:val="center"/>
          </w:tcPr>
          <w:p>
            <w:pPr>
              <w:pStyle w:val="42"/>
              <w:spacing w:line="240" w:lineRule="auto"/>
              <w:ind w:left="75" w:right="61"/>
              <w:jc w:val="center"/>
              <w:rPr>
                <w:rFonts w:hint="eastAsia" w:ascii="宋体" w:hAnsi="宋体" w:eastAsia="宋体" w:cs="宋体"/>
                <w:sz w:val="21"/>
                <w:szCs w:val="21"/>
              </w:rPr>
            </w:pPr>
            <w:r>
              <w:rPr>
                <w:rFonts w:hint="eastAsia" w:ascii="宋体" w:hAnsi="宋体" w:eastAsia="宋体" w:cs="宋体"/>
                <w:sz w:val="21"/>
                <w:szCs w:val="21"/>
              </w:rPr>
              <w:t>提高与创</w:t>
            </w:r>
          </w:p>
          <w:p>
            <w:pPr>
              <w:pStyle w:val="42"/>
              <w:spacing w:line="240" w:lineRule="auto"/>
              <w:ind w:left="75" w:right="61"/>
              <w:jc w:val="center"/>
              <w:rPr>
                <w:rFonts w:hint="eastAsia" w:ascii="宋体" w:hAnsi="宋体" w:eastAsia="宋体" w:cs="宋体"/>
                <w:sz w:val="21"/>
                <w:szCs w:val="21"/>
              </w:rPr>
            </w:pPr>
            <w:r>
              <w:rPr>
                <w:rFonts w:hint="eastAsia" w:ascii="宋体" w:hAnsi="宋体" w:eastAsia="宋体" w:cs="宋体"/>
                <w:sz w:val="21"/>
                <w:szCs w:val="21"/>
              </w:rPr>
              <w:t>新加分项</w:t>
            </w:r>
          </w:p>
          <w:p>
            <w:pPr>
              <w:pStyle w:val="42"/>
              <w:spacing w:line="240" w:lineRule="auto"/>
              <w:ind w:left="75" w:right="61"/>
              <w:jc w:val="center"/>
              <w:rPr>
                <w:rFonts w:hint="eastAsia" w:ascii="宋体" w:hAnsi="宋体" w:eastAsia="宋体" w:cs="宋体"/>
                <w:sz w:val="21"/>
                <w:szCs w:val="21"/>
              </w:rPr>
            </w:pPr>
            <w:r>
              <w:rPr>
                <w:rFonts w:hint="eastAsia" w:ascii="宋体" w:hAnsi="宋体" w:eastAsia="宋体" w:cs="宋体"/>
                <w:sz w:val="21"/>
                <w:szCs w:val="21"/>
              </w:rPr>
              <w:t>满分值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1213" w:type="dxa"/>
            <w:vMerge w:val="continue"/>
            <w:tcBorders>
              <w:tl2br w:val="nil"/>
              <w:tr2bl w:val="nil"/>
            </w:tcBorders>
            <w:noWrap w:val="0"/>
            <w:vAlign w:val="center"/>
          </w:tcPr>
          <w:p>
            <w:pPr>
              <w:jc w:val="center"/>
              <w:rPr>
                <w:rFonts w:hint="eastAsia" w:ascii="宋体" w:hAnsi="宋体" w:eastAsia="宋体" w:cs="宋体"/>
                <w:sz w:val="21"/>
                <w:szCs w:val="21"/>
              </w:rPr>
            </w:pPr>
          </w:p>
        </w:tc>
        <w:tc>
          <w:tcPr>
            <w:tcW w:w="925" w:type="dxa"/>
            <w:vMerge w:val="continue"/>
            <w:tcBorders>
              <w:tl2br w:val="nil"/>
              <w:tr2bl w:val="nil"/>
            </w:tcBorders>
            <w:noWrap w:val="0"/>
            <w:vAlign w:val="center"/>
          </w:tcPr>
          <w:p>
            <w:pPr>
              <w:jc w:val="center"/>
              <w:rPr>
                <w:rFonts w:hint="eastAsia" w:ascii="宋体" w:hAnsi="宋体" w:eastAsia="宋体" w:cs="宋体"/>
                <w:sz w:val="21"/>
                <w:szCs w:val="21"/>
              </w:rPr>
            </w:pPr>
          </w:p>
        </w:tc>
        <w:tc>
          <w:tcPr>
            <w:tcW w:w="1050" w:type="dxa"/>
            <w:tcBorders>
              <w:tl2br w:val="nil"/>
              <w:tr2bl w:val="nil"/>
            </w:tcBorders>
            <w:noWrap w:val="0"/>
            <w:vAlign w:val="center"/>
          </w:tcPr>
          <w:p>
            <w:pPr>
              <w:pStyle w:val="42"/>
              <w:spacing w:before="114" w:line="240" w:lineRule="auto"/>
              <w:ind w:left="155" w:right="144"/>
              <w:jc w:val="center"/>
              <w:rPr>
                <w:rFonts w:hint="eastAsia" w:ascii="宋体" w:hAnsi="宋体" w:eastAsia="宋体" w:cs="宋体"/>
                <w:sz w:val="21"/>
                <w:szCs w:val="21"/>
              </w:rPr>
            </w:pPr>
            <w:r>
              <w:rPr>
                <w:rFonts w:hint="eastAsia" w:ascii="宋体" w:hAnsi="宋体" w:eastAsia="宋体" w:cs="宋体"/>
                <w:sz w:val="21"/>
                <w:szCs w:val="21"/>
              </w:rPr>
              <w:t>安全</w:t>
            </w:r>
          </w:p>
          <w:p>
            <w:pPr>
              <w:pStyle w:val="42"/>
              <w:spacing w:before="114" w:line="240" w:lineRule="auto"/>
              <w:ind w:left="155" w:right="144"/>
              <w:jc w:val="center"/>
              <w:rPr>
                <w:rFonts w:hint="eastAsia" w:ascii="宋体" w:hAnsi="宋体" w:eastAsia="宋体" w:cs="宋体"/>
                <w:sz w:val="21"/>
                <w:szCs w:val="21"/>
              </w:rPr>
            </w:pPr>
            <w:r>
              <w:rPr>
                <w:rFonts w:hint="eastAsia" w:ascii="宋体" w:hAnsi="宋体" w:eastAsia="宋体" w:cs="宋体"/>
                <w:sz w:val="21"/>
                <w:szCs w:val="21"/>
              </w:rPr>
              <w:t>耐久</w:t>
            </w:r>
          </w:p>
        </w:tc>
        <w:tc>
          <w:tcPr>
            <w:tcW w:w="1050" w:type="dxa"/>
            <w:tcBorders>
              <w:tl2br w:val="nil"/>
              <w:tr2bl w:val="nil"/>
            </w:tcBorders>
            <w:noWrap w:val="0"/>
            <w:vAlign w:val="center"/>
          </w:tcPr>
          <w:p>
            <w:pPr>
              <w:pStyle w:val="42"/>
              <w:spacing w:before="138" w:line="240" w:lineRule="auto"/>
              <w:ind w:left="143" w:leftChars="68" w:right="65" w:firstLine="0" w:firstLineChars="0"/>
              <w:jc w:val="center"/>
              <w:rPr>
                <w:rFonts w:hint="eastAsia" w:ascii="宋体" w:hAnsi="宋体" w:eastAsia="宋体" w:cs="宋体"/>
                <w:sz w:val="21"/>
                <w:szCs w:val="21"/>
              </w:rPr>
            </w:pPr>
            <w:r>
              <w:rPr>
                <w:rFonts w:hint="eastAsia" w:ascii="宋体" w:hAnsi="宋体" w:eastAsia="宋体" w:cs="宋体"/>
              </w:rPr>
              <w:t>健</w:t>
            </w:r>
            <w:r>
              <w:rPr>
                <w:rFonts w:hint="eastAsia" w:ascii="宋体" w:hAnsi="宋体" w:eastAsia="宋体" w:cs="宋体"/>
                <w:sz w:val="21"/>
                <w:szCs w:val="21"/>
              </w:rPr>
              <w:t>康</w:t>
            </w:r>
          </w:p>
          <w:p>
            <w:pPr>
              <w:pStyle w:val="42"/>
              <w:spacing w:before="138" w:line="240" w:lineRule="auto"/>
              <w:ind w:left="143" w:leftChars="68" w:right="65" w:firstLine="0" w:firstLineChars="0"/>
              <w:jc w:val="center"/>
              <w:rPr>
                <w:rFonts w:hint="eastAsia" w:ascii="宋体" w:hAnsi="宋体" w:eastAsia="宋体" w:cs="宋体"/>
                <w:sz w:val="21"/>
                <w:szCs w:val="21"/>
              </w:rPr>
            </w:pPr>
            <w:r>
              <w:rPr>
                <w:rFonts w:hint="eastAsia" w:ascii="宋体" w:hAnsi="宋体" w:eastAsia="宋体" w:cs="宋体"/>
                <w:sz w:val="21"/>
                <w:szCs w:val="21"/>
              </w:rPr>
              <w:t>舒适</w:t>
            </w:r>
          </w:p>
        </w:tc>
        <w:tc>
          <w:tcPr>
            <w:tcW w:w="1050" w:type="dxa"/>
            <w:tcBorders>
              <w:tl2br w:val="nil"/>
              <w:tr2bl w:val="nil"/>
            </w:tcBorders>
            <w:noWrap w:val="0"/>
            <w:vAlign w:val="center"/>
          </w:tcPr>
          <w:p>
            <w:pPr>
              <w:pStyle w:val="42"/>
              <w:spacing w:before="114" w:line="240" w:lineRule="auto"/>
              <w:ind w:left="159" w:right="147"/>
              <w:jc w:val="center"/>
              <w:rPr>
                <w:rFonts w:hint="eastAsia" w:ascii="宋体" w:hAnsi="宋体" w:eastAsia="宋体" w:cs="宋体"/>
                <w:sz w:val="21"/>
                <w:szCs w:val="21"/>
              </w:rPr>
            </w:pPr>
            <w:r>
              <w:rPr>
                <w:rFonts w:hint="eastAsia" w:ascii="宋体" w:hAnsi="宋体" w:eastAsia="宋体" w:cs="宋体"/>
                <w:sz w:val="21"/>
                <w:szCs w:val="21"/>
              </w:rPr>
              <w:t>生活</w:t>
            </w:r>
          </w:p>
          <w:p>
            <w:pPr>
              <w:pStyle w:val="42"/>
              <w:spacing w:before="114" w:line="240" w:lineRule="auto"/>
              <w:ind w:left="159" w:right="147"/>
              <w:jc w:val="center"/>
              <w:rPr>
                <w:rFonts w:hint="eastAsia" w:ascii="宋体" w:hAnsi="宋体" w:eastAsia="宋体" w:cs="宋体"/>
                <w:sz w:val="21"/>
                <w:szCs w:val="21"/>
              </w:rPr>
            </w:pPr>
            <w:r>
              <w:rPr>
                <w:rFonts w:hint="eastAsia" w:ascii="宋体" w:hAnsi="宋体" w:eastAsia="宋体" w:cs="宋体"/>
                <w:sz w:val="21"/>
                <w:szCs w:val="21"/>
              </w:rPr>
              <w:t>便利</w:t>
            </w:r>
          </w:p>
        </w:tc>
        <w:tc>
          <w:tcPr>
            <w:tcW w:w="1050" w:type="dxa"/>
            <w:tcBorders>
              <w:tl2br w:val="nil"/>
              <w:tr2bl w:val="nil"/>
            </w:tcBorders>
            <w:noWrap w:val="0"/>
            <w:vAlign w:val="center"/>
          </w:tcPr>
          <w:p>
            <w:pPr>
              <w:pStyle w:val="42"/>
              <w:spacing w:before="114" w:line="240" w:lineRule="auto"/>
              <w:ind w:left="157" w:right="142"/>
              <w:jc w:val="center"/>
              <w:rPr>
                <w:rFonts w:hint="eastAsia" w:ascii="宋体" w:hAnsi="宋体" w:eastAsia="宋体" w:cs="宋体"/>
                <w:sz w:val="21"/>
                <w:szCs w:val="21"/>
              </w:rPr>
            </w:pPr>
            <w:r>
              <w:rPr>
                <w:rFonts w:hint="eastAsia" w:ascii="宋体" w:hAnsi="宋体" w:eastAsia="宋体" w:cs="宋体"/>
                <w:sz w:val="21"/>
                <w:szCs w:val="21"/>
              </w:rPr>
              <w:t>资源</w:t>
            </w:r>
          </w:p>
          <w:p>
            <w:pPr>
              <w:pStyle w:val="42"/>
              <w:spacing w:before="114" w:line="240" w:lineRule="auto"/>
              <w:ind w:left="157" w:right="142"/>
              <w:jc w:val="center"/>
              <w:rPr>
                <w:rFonts w:hint="eastAsia" w:ascii="宋体" w:hAnsi="宋体" w:eastAsia="宋体" w:cs="宋体"/>
                <w:sz w:val="21"/>
                <w:szCs w:val="21"/>
              </w:rPr>
            </w:pPr>
            <w:r>
              <w:rPr>
                <w:rFonts w:hint="eastAsia" w:ascii="宋体" w:hAnsi="宋体" w:eastAsia="宋体" w:cs="宋体"/>
                <w:sz w:val="21"/>
                <w:szCs w:val="21"/>
              </w:rPr>
              <w:t>节约</w:t>
            </w:r>
          </w:p>
        </w:tc>
        <w:tc>
          <w:tcPr>
            <w:tcW w:w="1050" w:type="dxa"/>
            <w:tcBorders>
              <w:tl2br w:val="nil"/>
              <w:tr2bl w:val="nil"/>
            </w:tcBorders>
            <w:noWrap w:val="0"/>
            <w:vAlign w:val="center"/>
          </w:tcPr>
          <w:p>
            <w:pPr>
              <w:pStyle w:val="42"/>
              <w:spacing w:before="114" w:line="240" w:lineRule="auto"/>
              <w:ind w:left="143" w:leftChars="68" w:right="68" w:firstLine="0" w:firstLineChars="0"/>
              <w:jc w:val="center"/>
              <w:rPr>
                <w:rFonts w:hint="eastAsia" w:ascii="宋体" w:hAnsi="宋体" w:eastAsia="宋体" w:cs="宋体"/>
                <w:sz w:val="21"/>
                <w:szCs w:val="21"/>
              </w:rPr>
            </w:pPr>
            <w:r>
              <w:rPr>
                <w:rFonts w:hint="eastAsia" w:ascii="宋体" w:hAnsi="宋体" w:eastAsia="宋体" w:cs="宋体"/>
                <w:sz w:val="21"/>
                <w:szCs w:val="21"/>
              </w:rPr>
              <w:t>环境</w:t>
            </w:r>
          </w:p>
          <w:p>
            <w:pPr>
              <w:pStyle w:val="42"/>
              <w:spacing w:before="114" w:line="240" w:lineRule="auto"/>
              <w:ind w:left="143" w:leftChars="68" w:right="68"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宜居</w:t>
            </w:r>
          </w:p>
        </w:tc>
        <w:tc>
          <w:tcPr>
            <w:tcW w:w="1472" w:type="dxa"/>
            <w:vMerge w:val="continue"/>
            <w:tcBorders>
              <w:tl2br w:val="nil"/>
              <w:tr2bl w:val="nil"/>
            </w:tcBorders>
            <w:noWrap w:val="0"/>
            <w:vAlign w:val="center"/>
          </w:tcPr>
          <w:p>
            <w:pPr>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213" w:type="dxa"/>
            <w:tcBorders>
              <w:tl2br w:val="nil"/>
              <w:tr2bl w:val="nil"/>
            </w:tcBorders>
            <w:noWrap w:val="0"/>
            <w:vAlign w:val="center"/>
          </w:tcPr>
          <w:p>
            <w:pPr>
              <w:pStyle w:val="42"/>
              <w:spacing w:before="92"/>
              <w:ind w:left="62" w:right="53"/>
              <w:jc w:val="center"/>
              <w:rPr>
                <w:rFonts w:hint="eastAsia" w:ascii="宋体" w:hAnsi="宋体" w:eastAsia="宋体" w:cs="宋体"/>
                <w:sz w:val="21"/>
                <w:szCs w:val="21"/>
              </w:rPr>
            </w:pPr>
            <w:r>
              <w:rPr>
                <w:rFonts w:hint="eastAsia" w:ascii="宋体" w:hAnsi="宋体" w:eastAsia="宋体" w:cs="宋体"/>
                <w:sz w:val="21"/>
                <w:szCs w:val="21"/>
              </w:rPr>
              <w:t>预评价分值</w:t>
            </w:r>
          </w:p>
        </w:tc>
        <w:tc>
          <w:tcPr>
            <w:tcW w:w="925"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400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70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200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472" w:type="dxa"/>
            <w:tcBorders>
              <w:tl2br w:val="nil"/>
              <w:tr2bl w:val="nil"/>
            </w:tcBorders>
            <w:noWrap w:val="0"/>
            <w:vAlign w:val="center"/>
          </w:tcPr>
          <w:p>
            <w:pPr>
              <w:pStyle w:val="42"/>
              <w:spacing w:before="92"/>
              <w:ind w:left="69" w:right="61"/>
              <w:jc w:val="center"/>
              <w:rPr>
                <w:rFonts w:hint="eastAsia" w:ascii="宋体" w:hAnsi="宋体" w:eastAsia="宋体" w:cs="宋体"/>
                <w:sz w:val="21"/>
                <w:szCs w:val="21"/>
              </w:rPr>
            </w:pPr>
            <w:r>
              <w:rPr>
                <w:rFonts w:hint="eastAsia" w:ascii="宋体" w:hAnsi="宋体" w:eastAsia="Times New Roman" w:cs="宋体"/>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3" w:type="dxa"/>
            <w:tcBorders>
              <w:tl2br w:val="nil"/>
              <w:tr2bl w:val="nil"/>
            </w:tcBorders>
            <w:noWrap w:val="0"/>
            <w:vAlign w:val="center"/>
          </w:tcPr>
          <w:p>
            <w:pPr>
              <w:pStyle w:val="42"/>
              <w:spacing w:before="97"/>
              <w:ind w:left="60" w:right="53"/>
              <w:jc w:val="center"/>
              <w:rPr>
                <w:rFonts w:hint="eastAsia" w:ascii="宋体" w:hAnsi="宋体" w:eastAsia="宋体" w:cs="宋体"/>
                <w:sz w:val="21"/>
                <w:szCs w:val="21"/>
              </w:rPr>
            </w:pPr>
            <w:r>
              <w:rPr>
                <w:rFonts w:hint="eastAsia" w:ascii="宋体" w:hAnsi="宋体" w:eastAsia="宋体" w:cs="宋体"/>
                <w:sz w:val="21"/>
                <w:szCs w:val="21"/>
              </w:rPr>
              <w:t>评价分值</w:t>
            </w:r>
          </w:p>
        </w:tc>
        <w:tc>
          <w:tcPr>
            <w:tcW w:w="925"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400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200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472" w:type="dxa"/>
            <w:tcBorders>
              <w:tl2br w:val="nil"/>
              <w:tr2bl w:val="nil"/>
            </w:tcBorders>
            <w:noWrap w:val="0"/>
            <w:vAlign w:val="center"/>
          </w:tcPr>
          <w:p>
            <w:pPr>
              <w:pStyle w:val="42"/>
              <w:spacing w:before="97"/>
              <w:ind w:left="69" w:right="61"/>
              <w:jc w:val="center"/>
              <w:rPr>
                <w:rFonts w:hint="eastAsia" w:ascii="宋体" w:hAnsi="宋体" w:eastAsia="宋体" w:cs="宋体"/>
                <w:sz w:val="21"/>
                <w:szCs w:val="21"/>
              </w:rPr>
            </w:pPr>
            <w:r>
              <w:rPr>
                <w:rFonts w:hint="eastAsia" w:ascii="宋体" w:hAnsi="宋体" w:eastAsia="Times New Roman" w:cs="宋体"/>
                <w:sz w:val="21"/>
                <w:szCs w:val="21"/>
              </w:rPr>
              <w:t>100</w:t>
            </w:r>
          </w:p>
        </w:tc>
      </w:tr>
    </w:tbl>
    <w:p>
      <w:pPr>
        <w:bidi w:val="0"/>
        <w:rPr>
          <w:rFonts w:hint="eastAsia" w:ascii="宋体" w:hAnsi="宋体" w:eastAsia="宋体" w:cs="宋体"/>
          <w:i/>
          <w:iCs/>
          <w:sz w:val="18"/>
          <w:szCs w:val="18"/>
        </w:rPr>
      </w:pPr>
      <w:r>
        <w:rPr>
          <w:rFonts w:hint="eastAsia" w:ascii="宋体" w:hAnsi="宋体" w:eastAsia="宋体" w:cs="宋体"/>
          <w:i/>
          <w:iCs/>
          <w:sz w:val="18"/>
          <w:szCs w:val="18"/>
        </w:rPr>
        <w:t>注：</w:t>
      </w:r>
      <w:r>
        <w:rPr>
          <w:rFonts w:hint="eastAsia" w:ascii="宋体" w:hAnsi="宋体" w:cs="宋体"/>
          <w:i/>
          <w:iCs/>
          <w:sz w:val="18"/>
          <w:szCs w:val="18"/>
          <w:lang w:val="en-US" w:eastAsia="zh-CN"/>
        </w:rPr>
        <w:t xml:space="preserve">根据《绿色建筑评价标准》GB/T </w:t>
      </w:r>
      <w:r>
        <w:rPr>
          <w:rFonts w:hint="eastAsia" w:ascii="宋体" w:hAnsi="宋体" w:eastAsia="Times New Roman" w:cs="宋体"/>
          <w:i/>
          <w:iCs/>
          <w:sz w:val="18"/>
          <w:szCs w:val="18"/>
          <w:lang w:val="en-US" w:eastAsia="zh-CN"/>
        </w:rPr>
        <w:t>50378</w:t>
      </w:r>
      <w:r>
        <w:rPr>
          <w:rFonts w:hint="eastAsia" w:ascii="宋体" w:hAnsi="宋体" w:cs="宋体"/>
          <w:i/>
          <w:iCs/>
          <w:sz w:val="18"/>
          <w:szCs w:val="18"/>
          <w:lang w:val="en-US" w:eastAsia="zh-CN"/>
        </w:rPr>
        <w:t>-</w:t>
      </w:r>
      <w:r>
        <w:rPr>
          <w:rFonts w:hint="eastAsia" w:ascii="宋体" w:hAnsi="宋体" w:eastAsia="Times New Roman" w:cs="宋体"/>
          <w:i/>
          <w:iCs/>
          <w:sz w:val="18"/>
          <w:szCs w:val="18"/>
          <w:lang w:val="en-US" w:eastAsia="zh-CN"/>
        </w:rPr>
        <w:t>2019</w:t>
      </w:r>
      <w:r>
        <w:rPr>
          <w:rFonts w:hint="eastAsia" w:ascii="宋体" w:hAnsi="宋体" w:cs="宋体"/>
          <w:i/>
          <w:iCs/>
          <w:sz w:val="18"/>
          <w:szCs w:val="18"/>
          <w:lang w:val="en-US" w:eastAsia="zh-CN"/>
        </w:rPr>
        <w:t>规定，</w:t>
      </w:r>
      <w:r>
        <w:rPr>
          <w:rFonts w:hint="eastAsia" w:ascii="宋体" w:hAnsi="宋体" w:eastAsia="宋体" w:cs="宋体"/>
          <w:i/>
          <w:iCs/>
          <w:sz w:val="18"/>
          <w:szCs w:val="18"/>
        </w:rPr>
        <w:t>预评价时，标准</w:t>
      </w:r>
      <w:r>
        <w:rPr>
          <w:rFonts w:hint="eastAsia" w:ascii="宋体" w:hAnsi="宋体" w:cs="宋体"/>
          <w:i/>
          <w:iCs/>
          <w:sz w:val="18"/>
          <w:szCs w:val="18"/>
          <w:lang w:val="en-US" w:eastAsia="zh-CN"/>
        </w:rPr>
        <w:t>中</w:t>
      </w:r>
      <w:r>
        <w:rPr>
          <w:rFonts w:hint="eastAsia" w:ascii="宋体" w:hAnsi="宋体" w:eastAsia="宋体" w:cs="宋体"/>
          <w:i/>
          <w:iCs/>
          <w:sz w:val="18"/>
          <w:szCs w:val="18"/>
        </w:rPr>
        <w:t>第</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10</w:t>
      </w:r>
      <w:r>
        <w:rPr>
          <w:rFonts w:hint="eastAsia" w:ascii="宋体" w:hAnsi="宋体" w:eastAsia="宋体" w:cs="宋体"/>
          <w:i/>
          <w:iCs/>
          <w:sz w:val="18"/>
          <w:szCs w:val="18"/>
        </w:rPr>
        <w:t>、</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11</w:t>
      </w:r>
      <w:r>
        <w:rPr>
          <w:rFonts w:hint="eastAsia" w:ascii="宋体" w:hAnsi="宋体" w:eastAsia="宋体" w:cs="宋体"/>
          <w:i/>
          <w:iCs/>
          <w:sz w:val="18"/>
          <w:szCs w:val="18"/>
        </w:rPr>
        <w:t>、</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12</w:t>
      </w:r>
      <w:r>
        <w:rPr>
          <w:rFonts w:hint="eastAsia" w:ascii="宋体" w:hAnsi="宋体" w:eastAsia="宋体" w:cs="宋体"/>
          <w:i/>
          <w:iCs/>
          <w:sz w:val="18"/>
          <w:szCs w:val="18"/>
        </w:rPr>
        <w:t>、</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13</w:t>
      </w:r>
      <w:r>
        <w:rPr>
          <w:rFonts w:hint="eastAsia" w:ascii="宋体" w:hAnsi="宋体" w:eastAsia="宋体" w:cs="宋体"/>
          <w:i/>
          <w:iCs/>
          <w:sz w:val="18"/>
          <w:szCs w:val="18"/>
        </w:rPr>
        <w:t>、</w:t>
      </w:r>
      <w:r>
        <w:rPr>
          <w:rFonts w:hint="eastAsia" w:ascii="宋体" w:hAnsi="宋体" w:eastAsia="Times New Roman" w:cs="宋体"/>
          <w:i/>
          <w:iCs/>
          <w:sz w:val="18"/>
          <w:szCs w:val="18"/>
        </w:rPr>
        <w:t>9</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8</w:t>
      </w:r>
      <w:r>
        <w:rPr>
          <w:rFonts w:hint="eastAsia" w:ascii="宋体" w:hAnsi="宋体" w:eastAsia="宋体" w:cs="宋体"/>
          <w:i/>
          <w:iCs/>
          <w:sz w:val="18"/>
          <w:szCs w:val="18"/>
        </w:rPr>
        <w:t>条不</w:t>
      </w:r>
      <w:r>
        <w:rPr>
          <w:rFonts w:hint="eastAsia" w:ascii="宋体" w:hAnsi="宋体" w:eastAsia="宋体" w:cs="宋体"/>
          <w:i/>
          <w:iCs/>
          <w:sz w:val="18"/>
          <w:szCs w:val="18"/>
          <w:lang w:val="en-US" w:eastAsia="zh-CN"/>
        </w:rPr>
        <w:t>得</w:t>
      </w:r>
      <w:r>
        <w:rPr>
          <w:rFonts w:hint="eastAsia" w:ascii="宋体" w:hAnsi="宋体" w:eastAsia="宋体" w:cs="宋体"/>
          <w:i/>
          <w:iCs/>
          <w:sz w:val="18"/>
          <w:szCs w:val="18"/>
        </w:rPr>
        <w:t>分</w:t>
      </w:r>
      <w:r>
        <w:rPr>
          <w:rFonts w:hint="eastAsia" w:ascii="宋体" w:hAnsi="宋体" w:eastAsia="宋体" w:cs="宋体"/>
          <w:i/>
          <w:iCs/>
          <w:sz w:val="18"/>
          <w:szCs w:val="18"/>
          <w:lang w:eastAsia="zh-CN"/>
        </w:rPr>
        <w:t>。</w:t>
      </w:r>
    </w:p>
    <w:p>
      <w:pPr>
        <w:pStyle w:val="43"/>
        <w:numPr>
          <w:ilvl w:val="0"/>
          <w:numId w:val="0"/>
        </w:numPr>
        <w:tabs>
          <w:tab w:val="left" w:pos="419"/>
        </w:tabs>
        <w:snapToGrid w:val="0"/>
        <w:spacing w:before="125" w:after="0" w:line="360" w:lineRule="auto"/>
        <w:ind w:left="117" w:leftChars="0" w:right="0" w:rightChars="0"/>
        <w:jc w:val="both"/>
        <w:rPr>
          <w:rFonts w:hint="eastAsia" w:ascii="宋体" w:hAnsi="宋体" w:eastAsia="宋体" w:cs="宋体"/>
          <w:sz w:val="28"/>
          <w:szCs w:val="28"/>
        </w:rPr>
      </w:pPr>
      <w:r>
        <w:rPr>
          <w:rFonts w:hint="default" w:ascii="Times New Roman" w:hAnsi="Times New Roman" w:eastAsia="Times New Roman" w:cs="Times New Roman"/>
          <w:spacing w:val="0"/>
          <w:sz w:val="28"/>
          <w:szCs w:val="28"/>
          <w:lang w:val="en-US" w:eastAsia="zh-CN" w:bidi="ar-SA"/>
        </w:rPr>
        <w:t>3</w:t>
      </w:r>
      <w:r>
        <w:rPr>
          <w:rFonts w:hint="default" w:ascii="Times New Roman" w:hAnsi="Times New Roman" w:eastAsia="宋体" w:cs="Times New Roman"/>
          <w:spacing w:val="0"/>
          <w:sz w:val="28"/>
          <w:szCs w:val="28"/>
          <w:lang w:val="en-US" w:eastAsia="zh-CN" w:bidi="ar-SA"/>
        </w:rPr>
        <w:t>.</w:t>
      </w:r>
      <w:r>
        <w:rPr>
          <w:rFonts w:hint="default" w:ascii="Times New Roman" w:hAnsi="Times New Roman" w:eastAsia="Times New Roman" w:cs="Times New Roman"/>
          <w:spacing w:val="0"/>
          <w:sz w:val="28"/>
          <w:szCs w:val="28"/>
          <w:lang w:val="en-US" w:eastAsia="zh-CN" w:bidi="ar-SA"/>
        </w:rPr>
        <w:t>3</w:t>
      </w:r>
      <w:r>
        <w:rPr>
          <w:rFonts w:hint="default" w:ascii="Times New Roman" w:hAnsi="Times New Roman" w:eastAsia="宋体" w:cs="Times New Roman"/>
          <w:spacing w:val="0"/>
          <w:sz w:val="28"/>
          <w:szCs w:val="28"/>
          <w:lang w:val="en-US" w:eastAsia="zh-CN" w:bidi="ar-SA"/>
        </w:rPr>
        <w:t>.</w:t>
      </w:r>
      <w:r>
        <w:rPr>
          <w:rFonts w:hint="default" w:ascii="Times New Roman" w:hAnsi="Times New Roman" w:eastAsia="Times New Roman" w:cs="Times New Roman"/>
          <w:spacing w:val="0"/>
          <w:sz w:val="28"/>
          <w:szCs w:val="28"/>
          <w:lang w:val="en-US" w:eastAsia="zh-CN" w:bidi="ar-SA"/>
        </w:rPr>
        <w:t>7</w:t>
      </w:r>
      <w:r>
        <w:rPr>
          <w:rFonts w:hint="eastAsia" w:cs="宋体"/>
          <w:spacing w:val="-8"/>
          <w:sz w:val="28"/>
          <w:szCs w:val="28"/>
          <w:lang w:val="en-US" w:eastAsia="zh-CN"/>
        </w:rPr>
        <w:t xml:space="preserve">  </w:t>
      </w:r>
      <w:r>
        <w:rPr>
          <w:rFonts w:hint="eastAsia" w:ascii="宋体" w:hAnsi="宋体" w:eastAsia="宋体" w:cs="宋体"/>
          <w:spacing w:val="-8"/>
          <w:sz w:val="28"/>
          <w:szCs w:val="28"/>
        </w:rPr>
        <w:t>绿色建筑评价的总得分应按下式进行计算：</w:t>
      </w:r>
    </w:p>
    <w:p>
      <w:pPr>
        <w:snapToGrid w:val="0"/>
        <w:spacing w:before="75" w:line="360" w:lineRule="auto"/>
        <w:ind w:left="958" w:right="0" w:firstLine="0"/>
        <w:jc w:val="left"/>
        <w:rPr>
          <w:rFonts w:hint="eastAsia" w:ascii="宋体" w:hAnsi="宋体" w:eastAsia="宋体" w:cs="宋体"/>
          <w:sz w:val="28"/>
          <w:szCs w:val="28"/>
        </w:rPr>
      </w:pPr>
      <w:r>
        <w:rPr>
          <w:rFonts w:hint="eastAsia" w:ascii="宋体" w:hAnsi="宋体" w:eastAsia="宋体" w:cs="宋体"/>
          <w:sz w:val="28"/>
          <w:szCs w:val="28"/>
        </w:rPr>
        <w:t>Q=(Q</w:t>
      </w:r>
      <w:r>
        <w:rPr>
          <w:rFonts w:hint="eastAsia" w:ascii="宋体" w:hAnsi="宋体" w:eastAsia="Times New Roman" w:cs="宋体"/>
          <w:sz w:val="28"/>
          <w:szCs w:val="28"/>
          <w:vertAlign w:val="subscript"/>
          <w:lang w:val="en-US" w:eastAsia="zh-CN"/>
        </w:rPr>
        <w:t>0</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4</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5</w:t>
      </w:r>
      <w:r>
        <w:rPr>
          <w:rFonts w:hint="eastAsia" w:ascii="宋体" w:hAnsi="宋体" w:eastAsia="宋体" w:cs="宋体"/>
          <w:sz w:val="28"/>
          <w:szCs w:val="28"/>
        </w:rPr>
        <w:t>＋Q</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rPr>
        <w:t>)/</w:t>
      </w:r>
      <w:r>
        <w:rPr>
          <w:rFonts w:hint="eastAsia" w:ascii="宋体" w:hAnsi="宋体" w:eastAsia="Times New Roman" w:cs="宋体"/>
          <w:sz w:val="28"/>
          <w:szCs w:val="28"/>
        </w:rPr>
        <w:t>10</w:t>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7</w:t>
      </w:r>
      <w:r>
        <w:rPr>
          <w:rFonts w:hint="eastAsia" w:ascii="宋体" w:hAnsi="宋体" w:eastAsia="宋体" w:cs="宋体"/>
          <w:sz w:val="28"/>
          <w:szCs w:val="28"/>
        </w:rPr>
        <w:t>)</w:t>
      </w:r>
    </w:p>
    <w:p>
      <w:pPr>
        <w:snapToGrid w:val="0"/>
        <w:spacing w:before="75" w:line="360" w:lineRule="auto"/>
        <w:ind w:right="0" w:firstLine="280" w:firstLineChars="100"/>
        <w:jc w:val="left"/>
        <w:rPr>
          <w:rFonts w:hint="eastAsia" w:ascii="宋体" w:hAnsi="宋体" w:eastAsia="宋体" w:cs="宋体"/>
          <w:sz w:val="28"/>
          <w:szCs w:val="28"/>
          <w:lang w:eastAsia="zh-CN"/>
        </w:rPr>
      </w:pPr>
      <w:r>
        <w:rPr>
          <w:rFonts w:hint="eastAsia" w:ascii="宋体" w:hAnsi="宋体" w:eastAsia="宋体" w:cs="宋体"/>
          <w:sz w:val="28"/>
          <w:szCs w:val="28"/>
        </w:rPr>
        <w:t>式中∶Q——总得分</w:t>
      </w:r>
      <w:r>
        <w:rPr>
          <w:rFonts w:hint="eastAsia" w:ascii="宋体" w:hAnsi="宋体" w:eastAsia="宋体" w:cs="宋体"/>
          <w:sz w:val="28"/>
          <w:szCs w:val="28"/>
          <w:lang w:eastAsia="zh-CN"/>
        </w:rPr>
        <w:t>；</w:t>
      </w:r>
    </w:p>
    <w:p>
      <w:pPr>
        <w:snapToGrid w:val="0"/>
        <w:spacing w:before="75" w:line="360" w:lineRule="auto"/>
        <w:ind w:left="1679" w:leftChars="533" w:right="0" w:hanging="560" w:hangingChars="200"/>
        <w:jc w:val="left"/>
        <w:rPr>
          <w:rFonts w:hint="eastAsia" w:ascii="宋体" w:hAnsi="宋体" w:eastAsia="宋体" w:cs="宋体"/>
          <w:sz w:val="28"/>
          <w:szCs w:val="28"/>
          <w:lang w:eastAsia="zh-CN"/>
        </w:rPr>
      </w:pP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0</w:t>
      </w:r>
      <w:r>
        <w:rPr>
          <w:rFonts w:hint="eastAsia" w:ascii="宋体" w:hAnsi="宋体" w:eastAsia="宋体" w:cs="宋体"/>
          <w:sz w:val="28"/>
          <w:szCs w:val="28"/>
        </w:rPr>
        <w:t>——控制项基础分值，当满足所有控制项的要求时取</w:t>
      </w:r>
      <w:r>
        <w:rPr>
          <w:rFonts w:hint="eastAsia" w:ascii="宋体" w:hAnsi="宋体" w:eastAsia="Times New Roman" w:cs="宋体"/>
          <w:sz w:val="28"/>
          <w:szCs w:val="28"/>
        </w:rPr>
        <w:t>400</w:t>
      </w:r>
      <w:r>
        <w:rPr>
          <w:rFonts w:hint="eastAsia" w:ascii="宋体" w:hAnsi="宋体" w:eastAsia="宋体" w:cs="宋体"/>
          <w:sz w:val="28"/>
          <w:szCs w:val="28"/>
        </w:rPr>
        <w:t>分</w:t>
      </w:r>
      <w:r>
        <w:rPr>
          <w:rFonts w:hint="eastAsia" w:ascii="宋体" w:hAnsi="宋体" w:eastAsia="宋体" w:cs="宋体"/>
          <w:sz w:val="28"/>
          <w:szCs w:val="28"/>
          <w:lang w:eastAsia="zh-CN"/>
        </w:rPr>
        <w:t>；</w:t>
      </w:r>
    </w:p>
    <w:p>
      <w:pPr>
        <w:snapToGrid w:val="0"/>
        <w:spacing w:before="75" w:line="360" w:lineRule="auto"/>
        <w:ind w:left="1896" w:leftChars="303" w:right="0" w:hanging="1260" w:hangingChars="450"/>
        <w:jc w:val="left"/>
        <w:rPr>
          <w:rFonts w:hint="eastAsia" w:ascii="宋体" w:hAnsi="宋体" w:eastAsia="宋体" w:cs="宋体"/>
          <w:sz w:val="28"/>
          <w:szCs w:val="28"/>
          <w:lang w:eastAsia="zh-CN"/>
        </w:rPr>
      </w:pP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5</w:t>
      </w:r>
      <w:r>
        <w:rPr>
          <w:rFonts w:hint="eastAsia" w:ascii="宋体" w:hAnsi="宋体" w:eastAsia="宋体" w:cs="宋体"/>
          <w:sz w:val="28"/>
          <w:szCs w:val="28"/>
        </w:rPr>
        <w:t>——分别为评价指标体系</w:t>
      </w:r>
      <w:r>
        <w:rPr>
          <w:rFonts w:hint="eastAsia" w:ascii="宋体" w:hAnsi="宋体" w:eastAsia="Times New Roman" w:cs="宋体"/>
          <w:sz w:val="28"/>
          <w:szCs w:val="28"/>
        </w:rPr>
        <w:t>5</w:t>
      </w:r>
      <w:r>
        <w:rPr>
          <w:rFonts w:hint="eastAsia" w:ascii="宋体" w:hAnsi="宋体" w:eastAsia="宋体" w:cs="宋体"/>
          <w:sz w:val="28"/>
          <w:szCs w:val="28"/>
        </w:rPr>
        <w:t>类指标（安全耐久、健康舒适、生活便利、资源节约、环境宜居）评分项得分</w:t>
      </w:r>
      <w:r>
        <w:rPr>
          <w:rFonts w:hint="eastAsia" w:ascii="宋体" w:hAnsi="宋体" w:eastAsia="宋体" w:cs="宋体"/>
          <w:sz w:val="28"/>
          <w:szCs w:val="28"/>
          <w:lang w:eastAsia="zh-CN"/>
        </w:rPr>
        <w:t>；</w:t>
      </w:r>
    </w:p>
    <w:p>
      <w:pPr>
        <w:snapToGrid w:val="0"/>
        <w:spacing w:before="75" w:line="360" w:lineRule="auto"/>
        <w:ind w:right="0" w:firstLine="1120" w:firstLineChars="400"/>
        <w:jc w:val="left"/>
        <w:rPr>
          <w:rFonts w:hint="eastAsia" w:ascii="宋体" w:hAnsi="宋体" w:eastAsia="宋体" w:cs="宋体"/>
          <w:sz w:val="28"/>
          <w:szCs w:val="28"/>
        </w:rPr>
      </w:pPr>
      <w:r>
        <w:rPr>
          <w:rFonts w:hint="eastAsia" w:ascii="宋体" w:hAnsi="宋体" w:eastAsia="宋体" w:cs="宋体"/>
          <w:sz w:val="28"/>
          <w:szCs w:val="28"/>
        </w:rPr>
        <w:t>Q</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rPr>
        <w:t>——提高与创新加分项得分。</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8</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绿色建筑划分应为基本级、一星级、二星级、三星级</w:t>
      </w:r>
      <w:r>
        <w:rPr>
          <w:rFonts w:hint="eastAsia" w:ascii="宋体" w:hAnsi="宋体" w:eastAsia="Times New Roman" w:cs="宋体"/>
          <w:sz w:val="28"/>
          <w:szCs w:val="28"/>
        </w:rPr>
        <w:t>4</w:t>
      </w:r>
      <w:r>
        <w:rPr>
          <w:rFonts w:hint="eastAsia" w:ascii="宋体" w:hAnsi="宋体" w:eastAsia="宋体" w:cs="宋体"/>
          <w:sz w:val="28"/>
          <w:szCs w:val="28"/>
        </w:rPr>
        <w:t>个等级。</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9</w:t>
      </w:r>
      <w:r>
        <w:rPr>
          <w:rFonts w:hint="eastAsia" w:ascii="宋体" w:hAnsi="宋体" w:cs="宋体"/>
          <w:sz w:val="28"/>
          <w:szCs w:val="28"/>
          <w:lang w:val="en-US" w:eastAsia="zh-CN"/>
        </w:rPr>
        <w:t xml:space="preserve">  </w:t>
      </w:r>
      <w:r>
        <w:rPr>
          <w:rFonts w:hint="eastAsia" w:ascii="宋体" w:hAnsi="宋体" w:eastAsia="宋体" w:cs="宋体"/>
          <w:sz w:val="28"/>
          <w:szCs w:val="28"/>
        </w:rPr>
        <w:t>当满足全部控制项要求时，绿色建筑等级应为基本级。</w:t>
      </w:r>
    </w:p>
    <w:p>
      <w:pPr>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10</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绿色建筑星级等级应按下列规定确定：</w:t>
      </w:r>
    </w:p>
    <w:p>
      <w:pPr>
        <w:snapToGrid w:val="0"/>
        <w:spacing w:line="360" w:lineRule="auto"/>
        <w:ind w:firstLine="560" w:firstLineChars="200"/>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1</w:t>
      </w:r>
      <w:r>
        <w:rPr>
          <w:rFonts w:hint="eastAsia" w:ascii="宋体" w:hAnsi="宋体" w:cs="宋体"/>
          <w:sz w:val="28"/>
          <w:szCs w:val="28"/>
          <w:lang w:val="en-US" w:eastAsia="zh-CN"/>
        </w:rPr>
        <w:t xml:space="preserve">  </w:t>
      </w:r>
      <w:r>
        <w:rPr>
          <w:rFonts w:hint="eastAsia" w:ascii="宋体" w:hAnsi="宋体" w:eastAsia="宋体" w:cs="宋体"/>
          <w:sz w:val="28"/>
          <w:szCs w:val="28"/>
        </w:rPr>
        <w:t>一星级、二星级、三星级</w:t>
      </w:r>
      <w:r>
        <w:rPr>
          <w:rFonts w:hint="eastAsia" w:ascii="宋体" w:hAnsi="宋体" w:eastAsia="Times New Roman" w:cs="宋体"/>
          <w:sz w:val="28"/>
          <w:szCs w:val="28"/>
        </w:rPr>
        <w:t>3</w:t>
      </w:r>
      <w:r>
        <w:rPr>
          <w:rFonts w:hint="eastAsia" w:ascii="宋体" w:hAnsi="宋体" w:eastAsia="宋体" w:cs="宋体"/>
          <w:sz w:val="28"/>
          <w:szCs w:val="28"/>
        </w:rPr>
        <w:t>个等级的绿色建筑均应满足</w:t>
      </w:r>
      <w:r>
        <w:rPr>
          <w:rFonts w:hint="eastAsia" w:ascii="宋体" w:hAnsi="宋体" w:cs="宋体"/>
          <w:sz w:val="28"/>
          <w:szCs w:val="28"/>
          <w:lang w:val="en-US" w:eastAsia="zh-CN"/>
        </w:rPr>
        <w:t xml:space="preserve">国家标准《绿色建筑评价标准》GB/T </w:t>
      </w:r>
      <w:r>
        <w:rPr>
          <w:rFonts w:hint="eastAsia" w:ascii="宋体" w:hAnsi="宋体" w:eastAsia="Times New Roman" w:cs="宋体"/>
          <w:sz w:val="28"/>
          <w:szCs w:val="28"/>
          <w:lang w:val="en-US" w:eastAsia="zh-CN"/>
        </w:rPr>
        <w:t>50378</w:t>
      </w:r>
      <w:r>
        <w:rPr>
          <w:rFonts w:hint="eastAsia" w:ascii="宋体" w:hAnsi="宋体" w:cs="宋体"/>
          <w:sz w:val="28"/>
          <w:szCs w:val="28"/>
          <w:lang w:val="en-US" w:eastAsia="zh-CN"/>
        </w:rPr>
        <w:t>-</w:t>
      </w:r>
      <w:r>
        <w:rPr>
          <w:rFonts w:hint="eastAsia" w:ascii="宋体" w:hAnsi="宋体" w:eastAsia="Times New Roman" w:cs="宋体"/>
          <w:sz w:val="28"/>
          <w:szCs w:val="28"/>
          <w:lang w:val="en-US" w:eastAsia="zh-CN"/>
        </w:rPr>
        <w:t>2019</w:t>
      </w:r>
      <w:r>
        <w:rPr>
          <w:rFonts w:hint="eastAsia" w:ascii="宋体" w:hAnsi="宋体" w:eastAsia="宋体" w:cs="宋体"/>
          <w:sz w:val="28"/>
          <w:szCs w:val="28"/>
        </w:rPr>
        <w:t>全部控制项的要求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且每类指标的评分项得分不应小于其</w:t>
      </w:r>
      <w:r>
        <w:rPr>
          <w:rFonts w:hint="eastAsia" w:ascii="宋体" w:hAnsi="宋体" w:eastAsia="宋体" w:cs="宋体"/>
          <w:sz w:val="28"/>
          <w:szCs w:val="28"/>
        </w:rPr>
        <w:t>评分项满分值的</w:t>
      </w:r>
      <w:r>
        <w:rPr>
          <w:rFonts w:hint="eastAsia" w:ascii="宋体" w:hAnsi="宋体" w:eastAsia="Times New Roman" w:cs="宋体"/>
          <w:sz w:val="28"/>
          <w:szCs w:val="28"/>
        </w:rPr>
        <w:t>30</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snapToGrid w:val="0"/>
        <w:spacing w:line="360" w:lineRule="auto"/>
        <w:ind w:firstLine="560" w:firstLineChars="200"/>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rPr>
        <w:t>一星级、二星级、三星级</w:t>
      </w:r>
      <w:r>
        <w:rPr>
          <w:rFonts w:hint="eastAsia" w:ascii="宋体" w:hAnsi="宋体" w:eastAsia="Times New Roman" w:cs="宋体"/>
          <w:sz w:val="28"/>
          <w:szCs w:val="28"/>
        </w:rPr>
        <w:t>3</w:t>
      </w:r>
      <w:r>
        <w:rPr>
          <w:rFonts w:hint="eastAsia" w:ascii="宋体" w:hAnsi="宋体" w:eastAsia="宋体" w:cs="宋体"/>
          <w:sz w:val="28"/>
          <w:szCs w:val="28"/>
        </w:rPr>
        <w:t>个等级的绿色建筑均应进行全装修</w:t>
      </w:r>
      <w:r>
        <w:rPr>
          <w:rFonts w:hint="eastAsia" w:ascii="宋体" w:hAnsi="宋体" w:cs="宋体"/>
          <w:sz w:val="28"/>
          <w:szCs w:val="28"/>
          <w:lang w:eastAsia="zh-CN"/>
        </w:rPr>
        <w:t>。</w:t>
      </w:r>
      <w:r>
        <w:rPr>
          <w:rFonts w:hint="eastAsia" w:ascii="宋体" w:hAnsi="宋体" w:eastAsia="宋体" w:cs="宋体"/>
          <w:sz w:val="28"/>
          <w:szCs w:val="28"/>
        </w:rPr>
        <w:t>全装修工程质量、选用材料及产品质量应符合国家现行有关标准的规定；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eastAsia" w:ascii="宋体" w:hAnsi="宋体" w:cs="宋体"/>
          <w:sz w:val="28"/>
          <w:szCs w:val="28"/>
          <w:lang w:val="en-US" w:eastAsia="zh-CN"/>
        </w:rPr>
        <w:t xml:space="preserve">  </w:t>
      </w:r>
      <w:r>
        <w:rPr>
          <w:rFonts w:hint="eastAsia" w:ascii="宋体" w:hAnsi="宋体" w:eastAsia="宋体" w:cs="宋体"/>
          <w:sz w:val="28"/>
          <w:szCs w:val="28"/>
        </w:rPr>
        <w:t>当总得分分别达到</w:t>
      </w:r>
      <w:r>
        <w:rPr>
          <w:rFonts w:hint="eastAsia" w:ascii="宋体" w:hAnsi="宋体" w:eastAsia="Times New Roman" w:cs="宋体"/>
          <w:sz w:val="28"/>
          <w:szCs w:val="28"/>
        </w:rPr>
        <w:t>60</w:t>
      </w:r>
      <w:r>
        <w:rPr>
          <w:rFonts w:hint="eastAsia" w:ascii="宋体" w:hAnsi="宋体" w:eastAsia="宋体" w:cs="宋体"/>
          <w:sz w:val="28"/>
          <w:szCs w:val="28"/>
        </w:rPr>
        <w:t>分、</w:t>
      </w:r>
      <w:r>
        <w:rPr>
          <w:rFonts w:hint="eastAsia" w:ascii="宋体" w:hAnsi="宋体" w:eastAsia="Times New Roman" w:cs="宋体"/>
          <w:sz w:val="28"/>
          <w:szCs w:val="28"/>
        </w:rPr>
        <w:t>70</w:t>
      </w:r>
      <w:r>
        <w:rPr>
          <w:rFonts w:hint="eastAsia" w:ascii="宋体" w:hAnsi="宋体" w:eastAsia="宋体" w:cs="宋体"/>
          <w:sz w:val="28"/>
          <w:szCs w:val="28"/>
        </w:rPr>
        <w:t>分、</w:t>
      </w:r>
      <w:r>
        <w:rPr>
          <w:rFonts w:hint="eastAsia" w:ascii="宋体" w:hAnsi="宋体" w:eastAsia="Times New Roman" w:cs="宋体"/>
          <w:sz w:val="28"/>
          <w:szCs w:val="28"/>
        </w:rPr>
        <w:t>85</w:t>
      </w:r>
      <w:r>
        <w:rPr>
          <w:rFonts w:hint="eastAsia" w:ascii="宋体" w:hAnsi="宋体" w:eastAsia="宋体" w:cs="宋体"/>
          <w:sz w:val="28"/>
          <w:szCs w:val="28"/>
        </w:rPr>
        <w:t>分且满足表</w:t>
      </w:r>
      <w:r>
        <w:rPr>
          <w:rFonts w:hint="eastAsia" w:ascii="宋体" w:hAnsi="宋体" w:eastAsia="Times New Roman"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10</w:t>
      </w:r>
      <w:r>
        <w:rPr>
          <w:rFonts w:hint="eastAsia" w:ascii="宋体" w:hAnsi="宋体" w:eastAsia="宋体" w:cs="宋体"/>
          <w:sz w:val="28"/>
          <w:szCs w:val="28"/>
        </w:rPr>
        <w:t>的要求时、绿色建筑等级分别为一星级、二星级、三星级。</w:t>
      </w:r>
    </w:p>
    <w:p>
      <w:pPr>
        <w:spacing w:before="123"/>
        <w:ind w:left="4" w:leftChars="0" w:right="0" w:hanging="4" w:firstLineChars="0"/>
        <w:jc w:val="center"/>
        <w:rPr>
          <w:rFonts w:hint="eastAsia" w:ascii="宋体" w:hAnsi="宋体" w:eastAsia="宋体" w:cs="宋体"/>
          <w:sz w:val="24"/>
          <w:szCs w:val="24"/>
        </w:rPr>
      </w:pPr>
      <w:r>
        <w:rPr>
          <w:rFonts w:hint="eastAsia" w:ascii="宋体" w:hAnsi="宋体" w:eastAsia="宋体" w:cs="宋体"/>
          <w:b/>
          <w:bCs/>
          <w:sz w:val="24"/>
          <w:szCs w:val="24"/>
        </w:rPr>
        <w:t>表</w:t>
      </w:r>
      <w:r>
        <w:rPr>
          <w:rFonts w:hint="default" w:ascii="Times New Roman" w:hAnsi="Times New Roman" w:eastAsia="Times New Roman" w:cs="Times New Roman"/>
          <w:b/>
          <w:bCs/>
          <w:sz w:val="24"/>
          <w:szCs w:val="24"/>
        </w:rPr>
        <w:t>3</w:t>
      </w:r>
      <w:r>
        <w:rPr>
          <w:rFonts w:hint="default" w:ascii="Times New Roman" w:hAnsi="Times New Roman" w:eastAsia="宋体" w:cs="Times New Roman"/>
          <w:b/>
          <w:bCs/>
          <w:sz w:val="24"/>
          <w:szCs w:val="24"/>
        </w:rPr>
        <w:t>.</w:t>
      </w:r>
      <w:r>
        <w:rPr>
          <w:rFonts w:hint="default" w:ascii="Times New Roman" w:hAnsi="Times New Roman" w:eastAsia="Times New Roman" w:cs="Times New Roman"/>
          <w:b/>
          <w:bCs/>
          <w:sz w:val="24"/>
          <w:szCs w:val="24"/>
          <w:lang w:val="en-US" w:eastAsia="zh-CN"/>
        </w:rPr>
        <w:t>3</w:t>
      </w:r>
      <w:r>
        <w:rPr>
          <w:rFonts w:hint="default" w:ascii="Times New Roman" w:hAnsi="Times New Roman" w:eastAsia="宋体" w:cs="Times New Roman"/>
          <w:b/>
          <w:bCs/>
          <w:sz w:val="24"/>
          <w:szCs w:val="24"/>
        </w:rPr>
        <w:t>.</w:t>
      </w:r>
      <w:r>
        <w:rPr>
          <w:rFonts w:hint="default" w:ascii="Times New Roman" w:hAnsi="Times New Roman" w:eastAsia="Times New Roman" w:cs="Times New Roman"/>
          <w:b/>
          <w:bCs/>
          <w:sz w:val="24"/>
          <w:szCs w:val="24"/>
          <w:lang w:val="en-US" w:eastAsia="zh-CN"/>
        </w:rPr>
        <w:t>10</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星级、二星级、三星级绿色建筑的技术要求</w:t>
      </w:r>
    </w:p>
    <w:tbl>
      <w:tblPr>
        <w:tblStyle w:val="20"/>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355"/>
        <w:gridCol w:w="1856"/>
        <w:gridCol w:w="2351"/>
        <w:gridCol w:w="24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5" w:type="dxa"/>
            <w:tcBorders>
              <w:tl2br w:val="nil"/>
              <w:tr2bl w:val="nil"/>
            </w:tcBorders>
            <w:noWrap w:val="0"/>
            <w:vAlign w:val="top"/>
          </w:tcPr>
          <w:p>
            <w:pPr>
              <w:pStyle w:val="42"/>
              <w:rPr>
                <w:rFonts w:hint="eastAsia" w:ascii="宋体" w:hAnsi="宋体" w:eastAsia="宋体" w:cs="宋体"/>
                <w:sz w:val="24"/>
                <w:szCs w:val="24"/>
              </w:rPr>
            </w:pPr>
          </w:p>
        </w:tc>
        <w:tc>
          <w:tcPr>
            <w:tcW w:w="1856" w:type="dxa"/>
            <w:tcBorders>
              <w:tl2br w:val="nil"/>
              <w:tr2bl w:val="nil"/>
            </w:tcBorders>
            <w:noWrap w:val="0"/>
            <w:vAlign w:val="top"/>
          </w:tcPr>
          <w:p>
            <w:pPr>
              <w:pStyle w:val="42"/>
              <w:spacing w:before="58"/>
              <w:ind w:left="172" w:right="161"/>
              <w:jc w:val="center"/>
              <w:rPr>
                <w:rFonts w:hint="eastAsia" w:ascii="宋体" w:hAnsi="宋体" w:eastAsia="宋体" w:cs="宋体"/>
                <w:sz w:val="24"/>
                <w:szCs w:val="24"/>
              </w:rPr>
            </w:pPr>
            <w:r>
              <w:rPr>
                <w:rFonts w:hint="eastAsia" w:ascii="宋体" w:hAnsi="宋体" w:eastAsia="宋体" w:cs="宋体"/>
                <w:sz w:val="24"/>
                <w:szCs w:val="24"/>
              </w:rPr>
              <w:t>一星级</w:t>
            </w:r>
          </w:p>
        </w:tc>
        <w:tc>
          <w:tcPr>
            <w:tcW w:w="2351" w:type="dxa"/>
            <w:tcBorders>
              <w:tl2br w:val="nil"/>
              <w:tr2bl w:val="nil"/>
            </w:tcBorders>
            <w:noWrap w:val="0"/>
            <w:vAlign w:val="top"/>
          </w:tcPr>
          <w:p>
            <w:pPr>
              <w:pStyle w:val="42"/>
              <w:spacing w:before="58"/>
              <w:ind w:left="46" w:right="46"/>
              <w:jc w:val="center"/>
              <w:rPr>
                <w:rFonts w:hint="eastAsia" w:ascii="宋体" w:hAnsi="宋体" w:eastAsia="宋体" w:cs="宋体"/>
                <w:sz w:val="24"/>
                <w:szCs w:val="24"/>
              </w:rPr>
            </w:pPr>
            <w:r>
              <w:rPr>
                <w:rFonts w:hint="eastAsia" w:ascii="宋体" w:hAnsi="宋体" w:eastAsia="宋体" w:cs="宋体"/>
                <w:sz w:val="24"/>
                <w:szCs w:val="24"/>
              </w:rPr>
              <w:t>二星级</w:t>
            </w:r>
          </w:p>
        </w:tc>
        <w:tc>
          <w:tcPr>
            <w:tcW w:w="2401" w:type="dxa"/>
            <w:tcBorders>
              <w:tl2br w:val="nil"/>
              <w:tr2bl w:val="nil"/>
            </w:tcBorders>
            <w:noWrap w:val="0"/>
            <w:vAlign w:val="top"/>
          </w:tcPr>
          <w:p>
            <w:pPr>
              <w:pStyle w:val="42"/>
              <w:spacing w:before="58"/>
              <w:ind w:left="46" w:right="46"/>
              <w:jc w:val="center"/>
              <w:rPr>
                <w:rFonts w:hint="eastAsia" w:ascii="宋体" w:hAnsi="宋体" w:eastAsia="宋体" w:cs="宋体"/>
                <w:sz w:val="24"/>
                <w:szCs w:val="24"/>
              </w:rPr>
            </w:pPr>
            <w:r>
              <w:rPr>
                <w:rFonts w:hint="eastAsia" w:ascii="宋体" w:hAnsi="宋体" w:eastAsia="宋体" w:cs="宋体"/>
                <w:sz w:val="24"/>
                <w:szCs w:val="24"/>
              </w:rPr>
              <w:t>三星级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355" w:type="dxa"/>
            <w:tcBorders>
              <w:tl2br w:val="nil"/>
              <w:tr2bl w:val="nil"/>
            </w:tcBorders>
            <w:noWrap w:val="0"/>
            <w:vAlign w:val="center"/>
          </w:tcPr>
          <w:p>
            <w:pPr>
              <w:pStyle w:val="42"/>
              <w:spacing w:line="260" w:lineRule="atLeast"/>
              <w:ind w:firstLine="420" w:firstLineChars="200"/>
              <w:jc w:val="both"/>
              <w:rPr>
                <w:rFonts w:hint="eastAsia" w:ascii="宋体" w:hAnsi="宋体" w:eastAsia="宋体" w:cs="宋体"/>
                <w:spacing w:val="0"/>
                <w:sz w:val="21"/>
                <w:szCs w:val="21"/>
              </w:rPr>
            </w:pPr>
            <w:r>
              <w:rPr>
                <w:rFonts w:hint="eastAsia" w:ascii="宋体" w:hAnsi="宋体" w:eastAsia="宋体" w:cs="宋体"/>
                <w:spacing w:val="0"/>
                <w:sz w:val="21"/>
                <w:szCs w:val="21"/>
              </w:rPr>
              <w:t>围护结构热工性能</w:t>
            </w:r>
          </w:p>
          <w:p>
            <w:pPr>
              <w:pStyle w:val="42"/>
              <w:spacing w:line="260" w:lineRule="atLeast"/>
              <w:ind w:firstLine="210"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的提高比例，或建筑</w:t>
            </w:r>
          </w:p>
          <w:p>
            <w:pPr>
              <w:pStyle w:val="42"/>
              <w:spacing w:line="260" w:lineRule="atLeast"/>
              <w:ind w:firstLine="210"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供暖空调负荷降低比</w:t>
            </w:r>
          </w:p>
          <w:p>
            <w:pPr>
              <w:pStyle w:val="42"/>
              <w:spacing w:line="260" w:lineRule="atLeast"/>
              <w:ind w:firstLine="210" w:firstLineChars="100"/>
              <w:jc w:val="both"/>
              <w:rPr>
                <w:rFonts w:hint="eastAsia" w:ascii="宋体" w:hAnsi="宋体" w:eastAsia="宋体" w:cs="宋体"/>
                <w:sz w:val="21"/>
                <w:szCs w:val="21"/>
              </w:rPr>
            </w:pPr>
            <w:r>
              <w:rPr>
                <w:rFonts w:hint="eastAsia" w:ascii="宋体" w:hAnsi="宋体" w:eastAsia="宋体" w:cs="宋体"/>
                <w:spacing w:val="0"/>
                <w:sz w:val="21"/>
                <w:szCs w:val="21"/>
              </w:rPr>
              <w:t>例</w:t>
            </w:r>
          </w:p>
        </w:tc>
        <w:tc>
          <w:tcPr>
            <w:tcW w:w="1856" w:type="dxa"/>
            <w:tcBorders>
              <w:tl2br w:val="nil"/>
              <w:tr2bl w:val="nil"/>
            </w:tcBorders>
            <w:noWrap w:val="0"/>
            <w:vAlign w:val="center"/>
          </w:tcPr>
          <w:p>
            <w:pPr>
              <w:spacing w:line="240" w:lineRule="auto"/>
              <w:ind w:left="210" w:leftChars="100" w:right="0" w:firstLine="210" w:firstLineChars="100"/>
              <w:jc w:val="left"/>
              <w:outlineLvl w:val="9"/>
              <w:rPr>
                <w:rFonts w:hint="eastAsia" w:ascii="宋体" w:hAnsi="宋体" w:eastAsia="宋体" w:cs="宋体"/>
                <w:sz w:val="21"/>
                <w:szCs w:val="21"/>
              </w:rPr>
            </w:pPr>
            <w:r>
              <w:rPr>
                <w:rFonts w:hint="eastAsia" w:ascii="宋体" w:hAnsi="宋体" w:eastAsia="宋体" w:cs="宋体"/>
                <w:spacing w:val="0"/>
                <w:sz w:val="21"/>
                <w:szCs w:val="21"/>
              </w:rPr>
              <w:t>围护结构提高</w:t>
            </w:r>
            <w:r>
              <w:rPr>
                <w:rFonts w:hint="eastAsia" w:ascii="宋体" w:hAnsi="宋体" w:eastAsia="Times New Roman" w:cs="宋体"/>
                <w:sz w:val="21"/>
                <w:szCs w:val="21"/>
              </w:rPr>
              <w:t>5</w:t>
            </w:r>
            <w:r>
              <w:rPr>
                <w:rFonts w:hint="eastAsia" w:ascii="宋体" w:hAnsi="宋体" w:cs="宋体"/>
                <w:sz w:val="21"/>
                <w:szCs w:val="21"/>
                <w:lang w:val="en-US" w:eastAsia="zh-CN"/>
              </w:rPr>
              <w:t>%</w:t>
            </w:r>
            <w:r>
              <w:rPr>
                <w:rFonts w:hint="eastAsia" w:ascii="宋体" w:hAnsi="宋体" w:eastAsia="宋体" w:cs="宋体"/>
                <w:spacing w:val="0"/>
                <w:sz w:val="21"/>
                <w:szCs w:val="21"/>
              </w:rPr>
              <w:t>，或负荷降低</w:t>
            </w:r>
            <w:r>
              <w:rPr>
                <w:rFonts w:hint="eastAsia" w:ascii="宋体" w:hAnsi="宋体" w:cs="宋体"/>
                <w:spacing w:val="0"/>
                <w:sz w:val="21"/>
                <w:szCs w:val="21"/>
                <w:lang w:val="en-US" w:eastAsia="zh-CN"/>
              </w:rPr>
              <w:t xml:space="preserve"> </w:t>
            </w:r>
            <w:r>
              <w:rPr>
                <w:rFonts w:hint="eastAsia" w:ascii="宋体" w:hAnsi="宋体" w:eastAsia="Times New Roman" w:cs="宋体"/>
                <w:sz w:val="21"/>
                <w:szCs w:val="21"/>
              </w:rPr>
              <w:t>5</w:t>
            </w:r>
            <w:r>
              <w:rPr>
                <w:rFonts w:hint="eastAsia" w:ascii="宋体" w:hAnsi="宋体" w:eastAsia="宋体" w:cs="宋体"/>
                <w:sz w:val="21"/>
                <w:szCs w:val="21"/>
              </w:rPr>
              <w:t>%</w:t>
            </w:r>
          </w:p>
        </w:tc>
        <w:tc>
          <w:tcPr>
            <w:tcW w:w="2351" w:type="dxa"/>
            <w:tcBorders>
              <w:tl2br w:val="nil"/>
              <w:tr2bl w:val="nil"/>
            </w:tcBorders>
            <w:noWrap w:val="0"/>
            <w:vAlign w:val="center"/>
          </w:tcPr>
          <w:p>
            <w:pPr>
              <w:pStyle w:val="42"/>
              <w:spacing w:line="240" w:lineRule="auto"/>
              <w:ind w:left="210" w:leftChars="100" w:right="309"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10</w:t>
            </w:r>
            <w:r>
              <w:rPr>
                <w:rFonts w:hint="eastAsia" w:ascii="宋体" w:hAnsi="宋体" w:eastAsia="宋体" w:cs="宋体"/>
                <w:sz w:val="21"/>
                <w:szCs w:val="21"/>
              </w:rPr>
              <w:t>%，</w:t>
            </w:r>
            <w:r>
              <w:rPr>
                <w:rFonts w:hint="eastAsia" w:ascii="宋体" w:hAnsi="宋体" w:eastAsia="宋体" w:cs="宋体"/>
                <w:spacing w:val="20"/>
                <w:sz w:val="21"/>
                <w:szCs w:val="21"/>
              </w:rPr>
              <w:t>或负荷降低</w:t>
            </w:r>
          </w:p>
          <w:p>
            <w:pPr>
              <w:pStyle w:val="42"/>
              <w:spacing w:line="240" w:lineRule="auto"/>
              <w:ind w:left="0" w:leftChars="0" w:right="309" w:firstLine="210" w:firstLineChars="100"/>
              <w:jc w:val="both"/>
              <w:rPr>
                <w:rFonts w:hint="eastAsia" w:ascii="宋体" w:hAnsi="宋体" w:eastAsia="宋体" w:cs="宋体"/>
                <w:sz w:val="21"/>
                <w:szCs w:val="21"/>
              </w:rPr>
            </w:pPr>
            <w:r>
              <w:rPr>
                <w:rFonts w:hint="eastAsia" w:ascii="宋体" w:hAnsi="宋体" w:eastAsia="Times New Roman" w:cs="宋体"/>
                <w:sz w:val="21"/>
                <w:szCs w:val="21"/>
              </w:rPr>
              <w:t>10</w:t>
            </w:r>
            <w:r>
              <w:rPr>
                <w:rFonts w:hint="eastAsia" w:ascii="宋体" w:hAnsi="宋体" w:eastAsia="宋体" w:cs="宋体"/>
                <w:sz w:val="21"/>
                <w:szCs w:val="21"/>
              </w:rPr>
              <w:t>%</w:t>
            </w:r>
          </w:p>
        </w:tc>
        <w:tc>
          <w:tcPr>
            <w:tcW w:w="2401" w:type="dxa"/>
            <w:tcBorders>
              <w:tl2br w:val="nil"/>
              <w:tr2bl w:val="nil"/>
            </w:tcBorders>
            <w:noWrap w:val="0"/>
            <w:vAlign w:val="center"/>
          </w:tcPr>
          <w:p>
            <w:pPr>
              <w:pStyle w:val="42"/>
              <w:spacing w:line="240" w:lineRule="auto"/>
              <w:ind w:left="210" w:leftChars="100" w:right="328"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20</w:t>
            </w:r>
            <w:r>
              <w:rPr>
                <w:rFonts w:hint="eastAsia" w:ascii="宋体" w:hAnsi="宋体" w:eastAsia="宋体" w:cs="宋体"/>
                <w:sz w:val="21"/>
                <w:szCs w:val="21"/>
              </w:rPr>
              <w:t>%，</w:t>
            </w:r>
            <w:r>
              <w:rPr>
                <w:rFonts w:hint="eastAsia" w:ascii="宋体" w:hAnsi="宋体" w:eastAsia="宋体" w:cs="宋体"/>
                <w:spacing w:val="20"/>
                <w:sz w:val="21"/>
                <w:szCs w:val="21"/>
              </w:rPr>
              <w:t>或负荷降低</w:t>
            </w:r>
            <w:r>
              <w:rPr>
                <w:rFonts w:hint="eastAsia" w:ascii="宋体" w:hAnsi="宋体" w:eastAsia="Times New Roman" w:cs="宋体"/>
                <w:sz w:val="21"/>
                <w:szCs w:val="21"/>
              </w:rPr>
              <w:t>15</w:t>
            </w:r>
            <w:r>
              <w:rPr>
                <w:rFonts w:hint="eastAsia" w:ascii="宋体" w:hAnsi="宋体" w:eastAsia="宋体" w:cs="宋体"/>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55" w:type="dxa"/>
            <w:tcBorders>
              <w:tl2br w:val="nil"/>
              <w:tr2bl w:val="nil"/>
            </w:tcBorders>
            <w:noWrap w:val="0"/>
            <w:vAlign w:val="center"/>
          </w:tcPr>
          <w:p>
            <w:pPr>
              <w:pStyle w:val="42"/>
              <w:spacing w:before="44" w:line="260" w:lineRule="atLeast"/>
              <w:ind w:left="8" w:firstLine="240"/>
              <w:jc w:val="center"/>
              <w:rPr>
                <w:rFonts w:hint="eastAsia" w:ascii="宋体" w:hAnsi="宋体" w:eastAsia="宋体" w:cs="宋体"/>
                <w:sz w:val="21"/>
                <w:szCs w:val="21"/>
              </w:rPr>
            </w:pPr>
            <w:r>
              <w:rPr>
                <w:rFonts w:hint="eastAsia" w:ascii="宋体" w:hAnsi="宋体" w:eastAsia="宋体" w:cs="宋体"/>
                <w:sz w:val="21"/>
                <w:szCs w:val="21"/>
              </w:rPr>
              <w:t>节水器具用水效率</w:t>
            </w:r>
          </w:p>
          <w:p>
            <w:pPr>
              <w:pStyle w:val="42"/>
              <w:spacing w:before="44" w:line="260" w:lineRule="atLeast"/>
              <w:ind w:left="8" w:firstLine="240"/>
              <w:jc w:val="both"/>
              <w:rPr>
                <w:rFonts w:hint="eastAsia" w:ascii="宋体" w:hAnsi="宋体" w:eastAsia="宋体" w:cs="宋体"/>
                <w:sz w:val="21"/>
                <w:szCs w:val="21"/>
              </w:rPr>
            </w:pPr>
            <w:r>
              <w:rPr>
                <w:rFonts w:hint="eastAsia" w:ascii="宋体" w:hAnsi="宋体" w:eastAsia="宋体" w:cs="宋体"/>
                <w:sz w:val="21"/>
                <w:szCs w:val="21"/>
              </w:rPr>
              <w:t>等级</w:t>
            </w:r>
          </w:p>
        </w:tc>
        <w:tc>
          <w:tcPr>
            <w:tcW w:w="1856" w:type="dxa"/>
            <w:tcBorders>
              <w:tl2br w:val="nil"/>
              <w:tr2bl w:val="nil"/>
            </w:tcBorders>
            <w:noWrap w:val="0"/>
            <w:vAlign w:val="center"/>
          </w:tcPr>
          <w:p>
            <w:pPr>
              <w:pStyle w:val="42"/>
              <w:ind w:right="175"/>
              <w:jc w:val="center"/>
              <w:rPr>
                <w:rFonts w:hint="eastAsia" w:ascii="宋体" w:hAnsi="宋体" w:eastAsia="宋体" w:cs="宋体"/>
                <w:sz w:val="21"/>
                <w:szCs w:val="21"/>
              </w:rPr>
            </w:pPr>
            <w:r>
              <w:rPr>
                <w:rFonts w:hint="eastAsia" w:ascii="宋体" w:hAnsi="宋体" w:eastAsia="Times New Roman" w:cs="宋体"/>
                <w:sz w:val="21"/>
                <w:szCs w:val="21"/>
              </w:rPr>
              <w:t>3</w:t>
            </w:r>
            <w:r>
              <w:rPr>
                <w:rFonts w:hint="eastAsia" w:ascii="宋体" w:hAnsi="宋体" w:eastAsia="宋体" w:cs="宋体"/>
                <w:sz w:val="21"/>
                <w:szCs w:val="21"/>
              </w:rPr>
              <w:t>级</w:t>
            </w:r>
          </w:p>
        </w:tc>
        <w:tc>
          <w:tcPr>
            <w:tcW w:w="4752" w:type="dxa"/>
            <w:gridSpan w:val="2"/>
            <w:tcBorders>
              <w:tl2br w:val="nil"/>
              <w:tr2bl w:val="nil"/>
            </w:tcBorders>
            <w:noWrap w:val="0"/>
            <w:vAlign w:val="center"/>
          </w:tcPr>
          <w:p>
            <w:pPr>
              <w:pStyle w:val="42"/>
              <w:ind w:right="1400"/>
              <w:jc w:val="center"/>
              <w:rPr>
                <w:rFonts w:hint="eastAsia" w:ascii="宋体" w:hAnsi="宋体" w:eastAsia="宋体" w:cs="宋体"/>
                <w:sz w:val="21"/>
                <w:szCs w:val="21"/>
              </w:rPr>
            </w:pPr>
            <w:r>
              <w:rPr>
                <w:rFonts w:hint="eastAsia" w:ascii="宋体" w:hAnsi="宋体" w:eastAsia="Times New Roman" w:cs="宋体"/>
                <w:sz w:val="21"/>
                <w:szCs w:val="21"/>
              </w:rPr>
              <w:t>2</w:t>
            </w:r>
            <w:r>
              <w:rPr>
                <w:rFonts w:hint="eastAsia" w:ascii="宋体" w:hAnsi="宋体" w:eastAsia="宋体" w:cs="宋体"/>
                <w:sz w:val="21"/>
                <w:szCs w:val="21"/>
              </w:rPr>
              <w:t>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44" w:hRule="atLeast"/>
        </w:trPr>
        <w:tc>
          <w:tcPr>
            <w:tcW w:w="2355" w:type="dxa"/>
            <w:tcBorders>
              <w:tl2br w:val="nil"/>
              <w:tr2bl w:val="nil"/>
            </w:tcBorders>
            <w:noWrap w:val="0"/>
            <w:vAlign w:val="center"/>
          </w:tcPr>
          <w:p>
            <w:pPr>
              <w:pStyle w:val="42"/>
              <w:jc w:val="center"/>
              <w:rPr>
                <w:rFonts w:hint="eastAsia" w:ascii="宋体" w:hAnsi="宋体" w:eastAsia="宋体" w:cs="宋体"/>
                <w:sz w:val="21"/>
                <w:szCs w:val="21"/>
              </w:rPr>
            </w:pPr>
            <w:r>
              <w:rPr>
                <w:rFonts w:hint="eastAsia" w:ascii="宋体" w:hAnsi="宋体" w:eastAsia="宋体" w:cs="宋体"/>
                <w:sz w:val="21"/>
                <w:szCs w:val="21"/>
              </w:rPr>
              <w:t>住宅建筑隔声性能</w:t>
            </w:r>
          </w:p>
        </w:tc>
        <w:tc>
          <w:tcPr>
            <w:tcW w:w="1856" w:type="dxa"/>
            <w:tcBorders>
              <w:tl2br w:val="nil"/>
              <w:tr2bl w:val="nil"/>
            </w:tcBorders>
            <w:noWrap w:val="0"/>
            <w:vAlign w:val="center"/>
          </w:tcPr>
          <w:p>
            <w:pPr>
              <w:pStyle w:val="42"/>
              <w:jc w:val="center"/>
              <w:rPr>
                <w:rFonts w:hint="eastAsia" w:ascii="宋体" w:hAnsi="宋体" w:eastAsia="宋体" w:cs="宋体"/>
                <w:sz w:val="21"/>
                <w:szCs w:val="21"/>
              </w:rPr>
            </w:pPr>
            <w:r>
              <w:rPr>
                <w:rFonts w:hint="eastAsia" w:ascii="宋体" w:hAnsi="宋体" w:eastAsia="宋体" w:cs="宋体"/>
                <w:w w:val="100"/>
                <w:sz w:val="21"/>
                <w:szCs w:val="21"/>
              </w:rPr>
              <w:t>一</w:t>
            </w:r>
          </w:p>
        </w:tc>
        <w:tc>
          <w:tcPr>
            <w:tcW w:w="2351" w:type="dxa"/>
            <w:tcBorders>
              <w:tl2br w:val="nil"/>
              <w:tr2bl w:val="nil"/>
            </w:tcBorders>
            <w:noWrap w:val="0"/>
            <w:vAlign w:val="center"/>
          </w:tcPr>
          <w:p>
            <w:pPr>
              <w:pStyle w:val="42"/>
              <w:spacing w:line="309" w:lineRule="auto"/>
              <w:ind w:right="-15" w:firstLine="476"/>
              <w:jc w:val="center"/>
              <w:rPr>
                <w:rFonts w:hint="eastAsia" w:ascii="宋体" w:hAnsi="宋体" w:cs="宋体"/>
                <w:spacing w:val="-2"/>
                <w:sz w:val="21"/>
                <w:szCs w:val="21"/>
                <w:lang w:val="en-US" w:eastAsia="zh-CN"/>
              </w:rPr>
            </w:pPr>
            <w:r>
              <w:rPr>
                <w:rFonts w:hint="eastAsia" w:ascii="宋体" w:hAnsi="宋体" w:eastAsia="宋体" w:cs="宋体"/>
                <w:spacing w:val="7"/>
                <w:sz w:val="21"/>
                <w:szCs w:val="21"/>
              </w:rPr>
              <w:t>室外与卧室之间、</w:t>
            </w:r>
            <w:r>
              <w:rPr>
                <w:rFonts w:hint="eastAsia" w:ascii="宋体" w:hAnsi="宋体" w:cs="宋体"/>
                <w:spacing w:val="7"/>
                <w:sz w:val="21"/>
                <w:szCs w:val="21"/>
                <w:lang w:val="en-US" w:eastAsia="zh-CN"/>
              </w:rPr>
              <w:t xml:space="preserve">       </w:t>
            </w:r>
            <w:r>
              <w:rPr>
                <w:rFonts w:hint="eastAsia" w:ascii="宋体" w:hAnsi="宋体" w:eastAsia="宋体" w:cs="宋体"/>
                <w:spacing w:val="-5"/>
                <w:sz w:val="21"/>
                <w:szCs w:val="21"/>
              </w:rPr>
              <w:t>分户墙</w:t>
            </w:r>
            <w:r>
              <w:rPr>
                <w:rFonts w:hint="eastAsia" w:ascii="宋体" w:hAnsi="宋体" w:eastAsia="宋体" w:cs="宋体"/>
                <w:sz w:val="21"/>
                <w:szCs w:val="21"/>
              </w:rPr>
              <w:t>（</w:t>
            </w:r>
            <w:r>
              <w:rPr>
                <w:rFonts w:hint="eastAsia" w:ascii="宋体" w:hAnsi="宋体" w:eastAsia="宋体" w:cs="宋体"/>
                <w:spacing w:val="-2"/>
                <w:sz w:val="21"/>
                <w:szCs w:val="21"/>
              </w:rPr>
              <w:t>楼板</w:t>
            </w:r>
            <w:r>
              <w:rPr>
                <w:rFonts w:hint="eastAsia" w:ascii="宋体" w:hAnsi="宋体" w:eastAsia="宋体" w:cs="宋体"/>
                <w:spacing w:val="-15"/>
                <w:sz w:val="21"/>
                <w:szCs w:val="21"/>
              </w:rPr>
              <w:t>）</w:t>
            </w:r>
            <w:r>
              <w:rPr>
                <w:rFonts w:hint="eastAsia" w:ascii="宋体" w:hAnsi="宋体" w:eastAsia="宋体" w:cs="宋体"/>
                <w:spacing w:val="-2"/>
                <w:sz w:val="21"/>
                <w:szCs w:val="21"/>
              </w:rPr>
              <w:t>两侧</w:t>
            </w:r>
            <w:r>
              <w:rPr>
                <w:rFonts w:hint="eastAsia" w:ascii="宋体" w:hAnsi="宋体" w:cs="宋体"/>
                <w:spacing w:val="-2"/>
                <w:sz w:val="21"/>
                <w:szCs w:val="21"/>
                <w:lang w:val="en-US" w:eastAsia="zh-CN"/>
              </w:rPr>
              <w:t xml:space="preserve"> </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卧室之间的空气声隔</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声性能以及卧室楼板</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的撞击声隔声性能达</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到低限标准限值和高</w:t>
            </w:r>
          </w:p>
          <w:p>
            <w:pPr>
              <w:pStyle w:val="42"/>
              <w:spacing w:line="309" w:lineRule="auto"/>
              <w:ind w:left="210" w:leftChars="100" w:right="-15" w:firstLine="0" w:firstLineChars="0"/>
              <w:jc w:val="both"/>
              <w:rPr>
                <w:rFonts w:hint="eastAsia" w:ascii="宋体" w:hAnsi="宋体" w:eastAsia="宋体" w:cs="宋体"/>
                <w:spacing w:val="11"/>
                <w:sz w:val="21"/>
                <w:szCs w:val="21"/>
              </w:rPr>
            </w:pPr>
            <w:r>
              <w:rPr>
                <w:rFonts w:hint="eastAsia" w:ascii="宋体" w:hAnsi="宋体" w:eastAsia="宋体" w:cs="宋体"/>
                <w:spacing w:val="11"/>
                <w:sz w:val="21"/>
                <w:szCs w:val="21"/>
              </w:rPr>
              <w:t>要求标准限值的平</w:t>
            </w:r>
          </w:p>
          <w:p>
            <w:pPr>
              <w:pStyle w:val="42"/>
              <w:spacing w:line="309" w:lineRule="auto"/>
              <w:ind w:left="210" w:leftChars="100" w:right="-15" w:firstLine="0" w:firstLineChars="0"/>
              <w:jc w:val="both"/>
              <w:rPr>
                <w:rFonts w:hint="eastAsia" w:ascii="宋体" w:hAnsi="宋体" w:eastAsia="宋体" w:cs="宋体"/>
                <w:sz w:val="21"/>
                <w:szCs w:val="21"/>
                <w:lang w:eastAsia="zh-CN"/>
              </w:rPr>
            </w:pPr>
            <w:r>
              <w:rPr>
                <w:rFonts w:hint="eastAsia" w:ascii="宋体" w:hAnsi="宋体" w:eastAsia="宋体" w:cs="宋体"/>
                <w:spacing w:val="0"/>
                <w:sz w:val="21"/>
                <w:szCs w:val="21"/>
              </w:rPr>
              <w:t>均值</w:t>
            </w:r>
            <w:r>
              <w:rPr>
                <w:rFonts w:hint="eastAsia" w:ascii="宋体" w:hAnsi="宋体" w:cs="宋体"/>
                <w:spacing w:val="0"/>
                <w:sz w:val="21"/>
                <w:szCs w:val="21"/>
                <w:lang w:eastAsia="zh-CN"/>
              </w:rPr>
              <w:t>。</w:t>
            </w:r>
          </w:p>
        </w:tc>
        <w:tc>
          <w:tcPr>
            <w:tcW w:w="2401" w:type="dxa"/>
            <w:tcBorders>
              <w:tl2br w:val="nil"/>
              <w:tr2bl w:val="nil"/>
            </w:tcBorders>
            <w:noWrap w:val="0"/>
            <w:vAlign w:val="center"/>
          </w:tcPr>
          <w:p>
            <w:pPr>
              <w:pStyle w:val="42"/>
              <w:spacing w:line="309" w:lineRule="auto"/>
              <w:ind w:right="-15"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室外与卧室之间、</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分户墙（楼板）两</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侧卧室之间的空气</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声隔声性能以及卧</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室楼板的撞击声隔</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声性能达到高要求</w:t>
            </w:r>
          </w:p>
          <w:p>
            <w:pPr>
              <w:pStyle w:val="42"/>
              <w:spacing w:line="309" w:lineRule="auto"/>
              <w:ind w:right="-15" w:firstLine="224" w:firstLineChars="100"/>
              <w:jc w:val="both"/>
              <w:rPr>
                <w:rFonts w:hint="eastAsia" w:ascii="宋体" w:hAnsi="宋体" w:eastAsia="宋体" w:cs="宋体"/>
                <w:sz w:val="21"/>
                <w:szCs w:val="21"/>
              </w:rPr>
            </w:pPr>
            <w:r>
              <w:rPr>
                <w:rFonts w:hint="eastAsia" w:ascii="宋体" w:hAnsi="宋体" w:eastAsia="宋体" w:cs="宋体"/>
                <w:spacing w:val="7"/>
                <w:sz w:val="21"/>
                <w:szCs w:val="21"/>
              </w:rPr>
              <w:t>标准限值</w:t>
            </w:r>
            <w:r>
              <w:rPr>
                <w:rFonts w:hint="eastAsia" w:ascii="宋体" w:hAnsi="宋体" w:cs="宋体"/>
                <w:spacing w:val="7"/>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55" w:type="dxa"/>
            <w:tcBorders>
              <w:tl2br w:val="nil"/>
              <w:tr2bl w:val="nil"/>
            </w:tcBorders>
            <w:noWrap w:val="0"/>
            <w:vAlign w:val="center"/>
          </w:tcPr>
          <w:p>
            <w:pPr>
              <w:pStyle w:val="42"/>
              <w:spacing w:before="44" w:line="26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室内主要空气污染</w:t>
            </w:r>
          </w:p>
          <w:p>
            <w:pPr>
              <w:pStyle w:val="42"/>
              <w:spacing w:before="44" w:line="260" w:lineRule="atLeas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物浓度降低比例</w:t>
            </w:r>
          </w:p>
        </w:tc>
        <w:tc>
          <w:tcPr>
            <w:tcW w:w="1856" w:type="dxa"/>
            <w:tcBorders>
              <w:tl2br w:val="nil"/>
              <w:tr2bl w:val="nil"/>
            </w:tcBorders>
            <w:noWrap w:val="0"/>
            <w:vAlign w:val="center"/>
          </w:tcPr>
          <w:p>
            <w:pPr>
              <w:pStyle w:val="42"/>
              <w:ind w:right="160"/>
              <w:jc w:val="center"/>
              <w:rPr>
                <w:rFonts w:hint="eastAsia" w:ascii="宋体" w:hAnsi="宋体" w:eastAsia="宋体" w:cs="宋体"/>
                <w:sz w:val="21"/>
                <w:szCs w:val="21"/>
              </w:rPr>
            </w:pPr>
            <w:r>
              <w:rPr>
                <w:rFonts w:hint="eastAsia" w:ascii="宋体" w:hAnsi="宋体" w:eastAsia="Times New Roman" w:cs="宋体"/>
                <w:sz w:val="21"/>
                <w:szCs w:val="21"/>
              </w:rPr>
              <w:t>10</w:t>
            </w:r>
            <w:r>
              <w:rPr>
                <w:rFonts w:hint="eastAsia" w:ascii="宋体" w:hAnsi="宋体" w:eastAsia="宋体" w:cs="宋体"/>
                <w:sz w:val="21"/>
                <w:szCs w:val="21"/>
              </w:rPr>
              <w:t>%</w:t>
            </w:r>
          </w:p>
        </w:tc>
        <w:tc>
          <w:tcPr>
            <w:tcW w:w="4752" w:type="dxa"/>
            <w:gridSpan w:val="2"/>
            <w:tcBorders>
              <w:tl2br w:val="nil"/>
              <w:tr2bl w:val="nil"/>
            </w:tcBorders>
            <w:noWrap w:val="0"/>
            <w:vAlign w:val="center"/>
          </w:tcPr>
          <w:p>
            <w:pPr>
              <w:pStyle w:val="42"/>
              <w:ind w:right="1400"/>
              <w:jc w:val="center"/>
              <w:rPr>
                <w:rFonts w:hint="eastAsia" w:ascii="宋体" w:hAnsi="宋体" w:eastAsia="宋体" w:cs="宋体"/>
                <w:sz w:val="21"/>
                <w:szCs w:val="21"/>
              </w:rPr>
            </w:pPr>
            <w:r>
              <w:rPr>
                <w:rFonts w:hint="eastAsia" w:ascii="宋体" w:hAnsi="宋体" w:eastAsia="Times New Roman" w:cs="宋体"/>
                <w:sz w:val="21"/>
                <w:szCs w:val="21"/>
              </w:rPr>
              <w:t>20</w:t>
            </w:r>
            <w:r>
              <w:rPr>
                <w:rFonts w:hint="eastAsia" w:ascii="宋体" w:hAnsi="宋体" w:eastAsia="宋体" w:cs="宋体"/>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355" w:type="dxa"/>
            <w:tcBorders>
              <w:tl2br w:val="nil"/>
              <w:tr2bl w:val="nil"/>
            </w:tcBorders>
            <w:noWrap w:val="0"/>
            <w:vAlign w:val="center"/>
          </w:tcPr>
          <w:p>
            <w:pPr>
              <w:pStyle w:val="42"/>
              <w:ind w:left="0" w:firstLine="0" w:firstLineChars="0"/>
              <w:jc w:val="center"/>
              <w:rPr>
                <w:rFonts w:hint="eastAsia" w:ascii="宋体" w:hAnsi="宋体" w:eastAsia="宋体" w:cs="宋体"/>
                <w:sz w:val="21"/>
                <w:szCs w:val="21"/>
              </w:rPr>
            </w:pPr>
            <w:r>
              <w:rPr>
                <w:rFonts w:hint="eastAsia" w:ascii="宋体" w:hAnsi="宋体" w:eastAsia="宋体" w:cs="宋体"/>
                <w:sz w:val="21"/>
                <w:szCs w:val="21"/>
              </w:rPr>
              <w:t>外窗气密性能</w:t>
            </w:r>
          </w:p>
        </w:tc>
        <w:tc>
          <w:tcPr>
            <w:tcW w:w="6608" w:type="dxa"/>
            <w:gridSpan w:val="3"/>
            <w:tcBorders>
              <w:tl2br w:val="nil"/>
              <w:tr2bl w:val="nil"/>
            </w:tcBorders>
            <w:noWrap w:val="0"/>
            <w:vAlign w:val="center"/>
          </w:tcPr>
          <w:p>
            <w:pPr>
              <w:pStyle w:val="42"/>
              <w:spacing w:before="53" w:line="260" w:lineRule="atLeast"/>
              <w:ind w:left="8" w:right="-15" w:firstLine="220"/>
              <w:jc w:val="center"/>
              <w:rPr>
                <w:rFonts w:hint="eastAsia" w:ascii="宋体" w:hAnsi="宋体" w:eastAsia="宋体" w:cs="宋体"/>
                <w:spacing w:val="-3"/>
                <w:sz w:val="21"/>
                <w:szCs w:val="21"/>
              </w:rPr>
            </w:pPr>
            <w:r>
              <w:rPr>
                <w:rFonts w:hint="eastAsia" w:ascii="宋体" w:hAnsi="宋体" w:eastAsia="宋体" w:cs="宋体"/>
                <w:sz w:val="21"/>
                <w:szCs w:val="21"/>
              </w:rPr>
              <w:t>符合国家现行相关节能设计标准的规定，且外窗洞口与外</w:t>
            </w:r>
            <w:r>
              <w:rPr>
                <w:rFonts w:hint="eastAsia" w:ascii="宋体" w:hAnsi="宋体" w:eastAsia="宋体" w:cs="宋体"/>
                <w:spacing w:val="-3"/>
                <w:sz w:val="21"/>
                <w:szCs w:val="21"/>
              </w:rPr>
              <w:t>窗本体的</w:t>
            </w:r>
          </w:p>
          <w:p>
            <w:pPr>
              <w:pStyle w:val="42"/>
              <w:spacing w:before="53" w:line="260" w:lineRule="atLeast"/>
              <w:ind w:left="0" w:right="-15" w:firstLine="204" w:firstLineChars="100"/>
              <w:jc w:val="both"/>
              <w:rPr>
                <w:rFonts w:hint="eastAsia" w:ascii="宋体" w:hAnsi="宋体" w:eastAsia="宋体" w:cs="宋体"/>
                <w:sz w:val="21"/>
                <w:szCs w:val="21"/>
              </w:rPr>
            </w:pPr>
            <w:r>
              <w:rPr>
                <w:rFonts w:hint="eastAsia" w:ascii="宋体" w:hAnsi="宋体" w:eastAsia="宋体" w:cs="宋体"/>
                <w:spacing w:val="-3"/>
                <w:sz w:val="21"/>
                <w:szCs w:val="21"/>
              </w:rPr>
              <w:t>结合部位应严密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注：</w:t>
      </w:r>
      <w:r>
        <w:rPr>
          <w:rFonts w:hint="eastAsia" w:eastAsia="Times New Roman"/>
          <w:sz w:val="21"/>
          <w:szCs w:val="21"/>
          <w:lang w:val="en-US" w:eastAsia="zh-CN"/>
        </w:rPr>
        <w:t>1</w:t>
      </w:r>
      <w:r>
        <w:rPr>
          <w:rFonts w:hint="eastAsia"/>
          <w:sz w:val="21"/>
          <w:szCs w:val="21"/>
          <w:lang w:val="en-US" w:eastAsia="zh-CN"/>
        </w:rPr>
        <w:t>围护结构热工性能的提高基准均为国家现行相关建筑节能设计标准的要求。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400"/>
        <w:jc w:val="left"/>
        <w:textAlignment w:val="auto"/>
        <w:outlineLvl w:val="9"/>
        <w:rPr>
          <w:rFonts w:hint="eastAsia"/>
          <w:sz w:val="21"/>
          <w:szCs w:val="21"/>
          <w:lang w:val="en-US" w:eastAsia="zh-CN"/>
        </w:rPr>
      </w:pPr>
      <w:r>
        <w:rPr>
          <w:rFonts w:hint="eastAsia" w:eastAsia="Times New Roman"/>
          <w:sz w:val="21"/>
          <w:szCs w:val="21"/>
          <w:lang w:val="en-US" w:eastAsia="zh-CN"/>
        </w:rPr>
        <w:t>2</w:t>
      </w:r>
      <w:r>
        <w:rPr>
          <w:rFonts w:hint="eastAsia"/>
          <w:sz w:val="21"/>
          <w:szCs w:val="21"/>
          <w:lang w:val="en-US" w:eastAsia="zh-CN"/>
        </w:rPr>
        <w:t xml:space="preserve">住宅建筑隔声性能对应标准为现行国家标准《民用建筑隔声设计规范》GB </w:t>
      </w:r>
      <w:r>
        <w:rPr>
          <w:rFonts w:hint="eastAsia" w:eastAsia="Times New Roman"/>
          <w:sz w:val="21"/>
          <w:szCs w:val="21"/>
          <w:lang w:val="en-US" w:eastAsia="zh-CN"/>
        </w:rPr>
        <w:t>50118</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420" w:firstLineChars="200"/>
        <w:jc w:val="left"/>
        <w:textAlignment w:val="auto"/>
        <w:outlineLvl w:val="9"/>
        <w:rPr>
          <w:rFonts w:hint="default"/>
          <w:sz w:val="21"/>
          <w:szCs w:val="21"/>
          <w:lang w:val="en-US" w:eastAsia="zh-CN"/>
        </w:rPr>
      </w:pPr>
      <w:r>
        <w:rPr>
          <w:rFonts w:hint="eastAsia" w:eastAsia="Times New Roman"/>
          <w:sz w:val="21"/>
          <w:szCs w:val="21"/>
          <w:lang w:val="en-US" w:eastAsia="zh-CN"/>
        </w:rPr>
        <w:t>3</w:t>
      </w:r>
      <w:r>
        <w:rPr>
          <w:rFonts w:hint="eastAsia"/>
          <w:sz w:val="21"/>
          <w:szCs w:val="21"/>
          <w:lang w:val="en-US" w:eastAsia="zh-CN"/>
        </w:rPr>
        <w:t xml:space="preserve">室内主要空气污染物包括氨、甲醛、苯、总挥发性有机物、氡、可吸入颗粒物等，其浓度降低基准为现行国家标准《室内空气质量标准》GB/T </w:t>
      </w:r>
      <w:r>
        <w:rPr>
          <w:rFonts w:hint="eastAsia" w:eastAsia="Times New Roman"/>
          <w:sz w:val="21"/>
          <w:szCs w:val="21"/>
          <w:lang w:val="en-US" w:eastAsia="zh-CN"/>
        </w:rPr>
        <w:t>18883</w:t>
      </w:r>
      <w:r>
        <w:rPr>
          <w:rFonts w:hint="eastAsia"/>
          <w:sz w:val="21"/>
          <w:szCs w:val="21"/>
          <w:lang w:val="en-US" w:eastAsia="zh-CN"/>
        </w:rPr>
        <w:t>的有关要求。</w:t>
      </w:r>
    </w:p>
    <w:p>
      <w:pPr>
        <w:pStyle w:val="3"/>
        <w:spacing w:line="360" w:lineRule="auto"/>
        <w:rPr>
          <w:rFonts w:hint="eastAsia"/>
          <w:lang w:val="en-US" w:eastAsia="zh-CN"/>
        </w:rPr>
      </w:pPr>
      <w:bookmarkStart w:id="199" w:name="_Toc31160"/>
      <w:bookmarkStart w:id="200" w:name="_Toc15950"/>
      <w:bookmarkStart w:id="201" w:name="_Toc19553"/>
      <w:bookmarkStart w:id="202" w:name="_Toc18887"/>
      <w:bookmarkStart w:id="203" w:name="_Toc20594"/>
      <w:bookmarkStart w:id="204" w:name="_Toc23720"/>
      <w:bookmarkStart w:id="205" w:name="_Toc15055"/>
      <w:bookmarkStart w:id="206" w:name="_Toc29376"/>
      <w:bookmarkStart w:id="207" w:name="_Toc11678"/>
      <w:bookmarkStart w:id="208" w:name="_Toc25738"/>
      <w:bookmarkStart w:id="209" w:name="_Toc8967"/>
      <w:bookmarkStart w:id="210" w:name="_Toc772"/>
      <w:bookmarkStart w:id="211" w:name="_Toc8667"/>
      <w:bookmarkStart w:id="212" w:name="_Toc19309"/>
      <w:bookmarkStart w:id="213" w:name="_Toc4963"/>
      <w:bookmarkStart w:id="214" w:name="_Toc10747"/>
      <w:bookmarkStart w:id="215" w:name="_Toc2167"/>
      <w:bookmarkStart w:id="216" w:name="_Toc25611"/>
      <w:r>
        <w:rPr>
          <w:rFonts w:hint="eastAsia" w:eastAsia="Times New Roman"/>
          <w:lang w:val="en-US" w:eastAsia="zh-CN"/>
        </w:rPr>
        <w:t>4</w:t>
      </w:r>
      <w:r>
        <w:rPr>
          <w:rFonts w:hint="eastAsia"/>
          <w:lang w:val="en-US" w:eastAsia="zh-CN"/>
        </w:rPr>
        <w:t xml:space="preserve">  绿色建筑设计说明专篇</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4"/>
        <w:spacing w:line="360" w:lineRule="auto"/>
        <w:rPr>
          <w:rFonts w:hint="default"/>
          <w:lang w:val="en-US" w:eastAsia="zh-CN"/>
        </w:rPr>
      </w:pPr>
      <w:bookmarkStart w:id="217" w:name="_Toc20812"/>
      <w:bookmarkStart w:id="218" w:name="_Toc13"/>
      <w:bookmarkStart w:id="219" w:name="_Toc19962"/>
      <w:bookmarkStart w:id="220" w:name="_Toc23666"/>
      <w:bookmarkStart w:id="221" w:name="_Toc27995"/>
      <w:bookmarkStart w:id="222" w:name="_Toc11728"/>
      <w:bookmarkStart w:id="223" w:name="_Toc21165"/>
      <w:bookmarkStart w:id="224" w:name="_Toc790"/>
      <w:bookmarkStart w:id="225" w:name="_Toc15984"/>
      <w:bookmarkStart w:id="226" w:name="_Toc4793"/>
      <w:bookmarkStart w:id="227" w:name="_Toc10515"/>
      <w:bookmarkStart w:id="228" w:name="_Toc22232"/>
      <w:bookmarkStart w:id="229" w:name="_Toc30408"/>
      <w:bookmarkStart w:id="230" w:name="_Toc24189"/>
      <w:bookmarkStart w:id="231" w:name="_Toc24767"/>
      <w:bookmarkStart w:id="232" w:name="_Toc4800"/>
      <w:bookmarkStart w:id="233" w:name="_Toc7272"/>
      <w:bookmarkStart w:id="234" w:name="_Toc28151"/>
      <w:r>
        <w:rPr>
          <w:rFonts w:hint="default" w:ascii="Times New Roman" w:hAnsi="Times New Roman" w:eastAsia="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eastAsia="Times New Roman" w:cs="Times New Roman"/>
          <w:lang w:val="en-US" w:eastAsia="zh-CN"/>
        </w:rPr>
        <w:t>1</w:t>
      </w:r>
      <w:r>
        <w:rPr>
          <w:rFonts w:hint="default"/>
          <w:lang w:val="en-US" w:eastAsia="zh-CN"/>
        </w:rPr>
        <w:t xml:space="preserve">  中山市绿色建筑设计说明专篇-总则</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0"/>
          <w:szCs w:val="30"/>
          <w:lang w:val="en-US" w:eastAsia="zh-CN"/>
        </w:rPr>
        <w:t>中山市绿色建筑设计说明专篇-总则</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设计依据</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rPr>
        <w:t>《绿色建筑评价标准》GB/T</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lang w:val="en-US" w:eastAsia="zh-CN"/>
        </w:rPr>
        <w:t>5</w:t>
      </w:r>
      <w:r>
        <w:rPr>
          <w:rFonts w:hint="eastAsia" w:ascii="宋体" w:hAnsi="宋体" w:eastAsia="Times New Roman" w:cs="宋体"/>
          <w:sz w:val="28"/>
          <w:szCs w:val="28"/>
        </w:rPr>
        <w:t>0378</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rPr>
        <w:t>《声环境质量标准》</w:t>
      </w:r>
      <w:r>
        <w:rPr>
          <w:rFonts w:hint="eastAsia" w:ascii="宋体" w:hAnsi="宋体" w:eastAsia="宋体" w:cs="宋体"/>
          <w:sz w:val="28"/>
          <w:szCs w:val="28"/>
          <w:lang w:val="en-US" w:eastAsia="zh-CN"/>
        </w:rPr>
        <w:t>G</w:t>
      </w:r>
      <w:r>
        <w:rPr>
          <w:rFonts w:hint="eastAsia" w:ascii="宋体" w:hAnsi="宋体" w:eastAsia="宋体" w:cs="宋体"/>
          <w:sz w:val="28"/>
          <w:szCs w:val="28"/>
        </w:rPr>
        <w:t>B</w:t>
      </w:r>
      <w:r>
        <w:rPr>
          <w:rFonts w:hint="eastAsia" w:ascii="宋体" w:hAnsi="宋体" w:cs="宋体"/>
          <w:sz w:val="28"/>
          <w:szCs w:val="28"/>
          <w:lang w:val="en-US" w:eastAsia="zh-CN"/>
        </w:rPr>
        <w:t xml:space="preserve"> </w:t>
      </w:r>
      <w:r>
        <w:rPr>
          <w:rFonts w:hint="eastAsia" w:ascii="宋体" w:hAnsi="宋体" w:eastAsia="Times New Roman" w:cs="宋体"/>
          <w:sz w:val="28"/>
          <w:szCs w:val="28"/>
        </w:rPr>
        <w:t>3</w:t>
      </w:r>
      <w:r>
        <w:rPr>
          <w:rFonts w:hint="eastAsia" w:ascii="宋体" w:hAnsi="宋体" w:eastAsia="Times New Roman" w:cs="宋体"/>
          <w:sz w:val="28"/>
          <w:szCs w:val="28"/>
          <w:lang w:val="en-US" w:eastAsia="zh-CN"/>
        </w:rPr>
        <w:t>0</w:t>
      </w:r>
      <w:r>
        <w:rPr>
          <w:rFonts w:hint="eastAsia" w:ascii="宋体" w:hAnsi="宋体" w:eastAsia="Times New Roman" w:cs="宋体"/>
          <w:sz w:val="28"/>
          <w:szCs w:val="28"/>
        </w:rPr>
        <w:t>96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3</w:t>
      </w:r>
      <w:r>
        <w:rPr>
          <w:rFonts w:hint="eastAsia" w:ascii="宋体" w:hAnsi="宋体" w:cs="宋体"/>
          <w:sz w:val="28"/>
          <w:szCs w:val="28"/>
          <w:lang w:val="en-US" w:eastAsia="zh-CN"/>
        </w:rPr>
        <w:t>.</w:t>
      </w:r>
      <w:r>
        <w:rPr>
          <w:rFonts w:hint="eastAsia" w:ascii="宋体" w:hAnsi="宋体" w:eastAsia="宋体" w:cs="宋体"/>
          <w:sz w:val="28"/>
          <w:szCs w:val="28"/>
        </w:rPr>
        <w:t>《建筑外窗气密、水</w:t>
      </w:r>
      <w:r>
        <w:rPr>
          <w:rFonts w:hint="eastAsia" w:ascii="宋体" w:hAnsi="宋体" w:eastAsia="宋体" w:cs="宋体"/>
          <w:sz w:val="28"/>
          <w:szCs w:val="28"/>
          <w:lang w:val="en-US" w:eastAsia="zh-CN"/>
        </w:rPr>
        <w:t>密</w:t>
      </w:r>
      <w:r>
        <w:rPr>
          <w:rFonts w:hint="eastAsia" w:ascii="宋体" w:hAnsi="宋体" w:eastAsia="宋体" w:cs="宋体"/>
          <w:sz w:val="28"/>
          <w:szCs w:val="28"/>
        </w:rPr>
        <w:t>、抗</w:t>
      </w:r>
      <w:r>
        <w:rPr>
          <w:rFonts w:hint="eastAsia" w:ascii="宋体" w:hAnsi="宋体" w:eastAsia="宋体" w:cs="宋体"/>
          <w:sz w:val="28"/>
          <w:szCs w:val="28"/>
          <w:lang w:val="en-US" w:eastAsia="zh-CN"/>
        </w:rPr>
        <w:t>风压</w:t>
      </w:r>
      <w:r>
        <w:rPr>
          <w:rFonts w:hint="eastAsia" w:ascii="宋体" w:hAnsi="宋体" w:eastAsia="宋体" w:cs="宋体"/>
          <w:sz w:val="28"/>
          <w:szCs w:val="28"/>
        </w:rPr>
        <w:t>性能分级及其检测方法》GB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7</w:t>
      </w:r>
      <w:r>
        <w:rPr>
          <w:rFonts w:hint="eastAsia" w:ascii="宋体" w:hAnsi="宋体" w:eastAsia="Times New Roman" w:cs="宋体"/>
          <w:sz w:val="28"/>
          <w:szCs w:val="28"/>
          <w:lang w:val="en-US" w:eastAsia="zh-CN"/>
        </w:rPr>
        <w:t>10</w:t>
      </w:r>
      <w:r>
        <w:rPr>
          <w:rFonts w:hint="eastAsia" w:ascii="宋体" w:hAnsi="宋体" w:eastAsia="Times New Roman" w:cs="宋体"/>
          <w:sz w:val="28"/>
          <w:szCs w:val="28"/>
        </w:rPr>
        <w:t>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4</w:t>
      </w:r>
      <w:r>
        <w:rPr>
          <w:rFonts w:hint="eastAsia" w:ascii="宋体" w:hAnsi="宋体" w:cs="宋体"/>
          <w:sz w:val="28"/>
          <w:szCs w:val="28"/>
          <w:lang w:val="en-US" w:eastAsia="zh-CN"/>
        </w:rPr>
        <w:t>.</w:t>
      </w:r>
      <w:r>
        <w:rPr>
          <w:rFonts w:hint="eastAsia" w:ascii="宋体" w:hAnsi="宋体" w:eastAsia="宋体" w:cs="宋体"/>
          <w:sz w:val="28"/>
          <w:szCs w:val="28"/>
        </w:rPr>
        <w:t>《城市污水再生利用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城市杂用水水质标准》GB</w:t>
      </w:r>
      <w:r>
        <w:rPr>
          <w:rFonts w:hint="eastAsia" w:ascii="宋体" w:hAnsi="宋体" w:eastAsia="宋体" w:cs="宋体"/>
          <w:sz w:val="28"/>
          <w:szCs w:val="28"/>
          <w:lang w:val="en-US" w:eastAsia="zh-CN"/>
        </w:rPr>
        <w:t>/T</w:t>
      </w:r>
      <w:r>
        <w:rPr>
          <w:rFonts w:hint="eastAsia" w:ascii="宋体" w:hAnsi="宋体" w:cs="宋体"/>
          <w:sz w:val="28"/>
          <w:szCs w:val="28"/>
          <w:lang w:val="en-US" w:eastAsia="zh-CN"/>
        </w:rPr>
        <w:t xml:space="preserve"> </w:t>
      </w:r>
      <w:r>
        <w:rPr>
          <w:rFonts w:hint="eastAsia" w:ascii="宋体" w:hAnsi="宋体" w:eastAsia="Times New Roman" w:cs="宋体"/>
          <w:sz w:val="28"/>
          <w:szCs w:val="28"/>
        </w:rPr>
        <w:t>18920</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5</w:t>
      </w:r>
      <w:r>
        <w:rPr>
          <w:rFonts w:hint="eastAsia" w:ascii="宋体" w:hAnsi="宋体" w:cs="宋体"/>
          <w:sz w:val="28"/>
          <w:szCs w:val="28"/>
          <w:lang w:val="en-US" w:eastAsia="zh-CN"/>
        </w:rPr>
        <w:t>.</w:t>
      </w:r>
      <w:r>
        <w:rPr>
          <w:rFonts w:hint="eastAsia" w:ascii="宋体" w:hAnsi="宋体" w:eastAsia="宋体" w:cs="宋体"/>
          <w:sz w:val="28"/>
          <w:szCs w:val="28"/>
        </w:rPr>
        <w:t>《建筑幕墙》</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/T </w:t>
      </w:r>
      <w:r>
        <w:rPr>
          <w:rFonts w:hint="eastAsia" w:ascii="宋体" w:hAnsi="宋体" w:eastAsia="Times New Roman" w:cs="宋体"/>
          <w:sz w:val="28"/>
          <w:szCs w:val="28"/>
          <w:lang w:val="en-US" w:eastAsia="zh-CN"/>
        </w:rPr>
        <w:t>21086</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6</w:t>
      </w:r>
      <w:r>
        <w:rPr>
          <w:rFonts w:hint="eastAsia" w:ascii="宋体" w:hAnsi="宋体" w:cs="宋体"/>
          <w:sz w:val="28"/>
          <w:szCs w:val="28"/>
          <w:lang w:val="en-US" w:eastAsia="zh-CN"/>
        </w:rPr>
        <w:t>.</w:t>
      </w:r>
      <w:r>
        <w:rPr>
          <w:rFonts w:hint="eastAsia" w:ascii="宋体" w:hAnsi="宋体" w:eastAsia="宋体" w:cs="宋体"/>
          <w:sz w:val="28"/>
          <w:szCs w:val="28"/>
        </w:rPr>
        <w:t>《建筑抗震设计</w:t>
      </w:r>
      <w:r>
        <w:rPr>
          <w:rFonts w:hint="eastAsia" w:ascii="宋体" w:hAnsi="宋体" w:eastAsia="宋体" w:cs="宋体"/>
          <w:sz w:val="28"/>
          <w:szCs w:val="28"/>
          <w:lang w:val="en-US" w:eastAsia="zh-CN"/>
        </w:rPr>
        <w:t>规范</w:t>
      </w:r>
      <w:r>
        <w:rPr>
          <w:rFonts w:hint="eastAsia" w:ascii="宋体" w:hAnsi="宋体" w:eastAsia="宋体" w:cs="宋体"/>
          <w:sz w:val="28"/>
          <w:szCs w:val="28"/>
        </w:rPr>
        <w:t>》</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50011</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7</w:t>
      </w:r>
      <w:r>
        <w:rPr>
          <w:rFonts w:hint="eastAsia" w:ascii="宋体" w:hAnsi="宋体" w:cs="宋体"/>
          <w:sz w:val="28"/>
          <w:szCs w:val="28"/>
          <w:lang w:val="en-US" w:eastAsia="zh-CN"/>
        </w:rPr>
        <w:t>.</w:t>
      </w:r>
      <w:r>
        <w:rPr>
          <w:rFonts w:hint="eastAsia" w:ascii="宋体" w:hAnsi="宋体" w:eastAsia="宋体" w:cs="宋体"/>
          <w:sz w:val="28"/>
          <w:szCs w:val="28"/>
        </w:rPr>
        <w:t>《室外给水设计规范》</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w:t>
      </w:r>
      <w:r>
        <w:rPr>
          <w:rFonts w:hint="eastAsia" w:ascii="宋体" w:hAnsi="宋体" w:eastAsia="Times New Roman" w:cs="宋体"/>
          <w:sz w:val="28"/>
          <w:szCs w:val="28"/>
          <w:lang w:val="en-US" w:eastAsia="zh-CN"/>
        </w:rPr>
        <w:t>001</w:t>
      </w:r>
      <w:r>
        <w:rPr>
          <w:rFonts w:hint="eastAsia" w:ascii="宋体" w:hAnsi="宋体" w:eastAsia="Times New Roman" w:cs="宋体"/>
          <w:sz w:val="28"/>
          <w:szCs w:val="28"/>
        </w:rPr>
        <w:t>3</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8</w:t>
      </w:r>
      <w:r>
        <w:rPr>
          <w:rFonts w:hint="eastAsia" w:ascii="宋体" w:hAnsi="宋体" w:cs="宋体"/>
          <w:sz w:val="28"/>
          <w:szCs w:val="28"/>
          <w:lang w:val="en-US" w:eastAsia="zh-CN"/>
        </w:rPr>
        <w:t>.</w:t>
      </w:r>
      <w:r>
        <w:rPr>
          <w:rFonts w:hint="eastAsia" w:ascii="宋体" w:hAnsi="宋体" w:eastAsia="宋体" w:cs="宋体"/>
          <w:sz w:val="28"/>
          <w:szCs w:val="28"/>
        </w:rPr>
        <w:t>《室外</w:t>
      </w:r>
      <w:r>
        <w:rPr>
          <w:rFonts w:hint="eastAsia" w:ascii="宋体" w:hAnsi="宋体" w:eastAsia="宋体" w:cs="宋体"/>
          <w:sz w:val="28"/>
          <w:szCs w:val="28"/>
          <w:lang w:val="en-US" w:eastAsia="zh-CN"/>
        </w:rPr>
        <w:t>排</w:t>
      </w:r>
      <w:r>
        <w:rPr>
          <w:rFonts w:hint="eastAsia" w:ascii="宋体" w:hAnsi="宋体" w:eastAsia="宋体" w:cs="宋体"/>
          <w:sz w:val="28"/>
          <w:szCs w:val="28"/>
        </w:rPr>
        <w:t>水设计规范》</w:t>
      </w:r>
      <w:r>
        <w:rPr>
          <w:rFonts w:hint="eastAsia" w:ascii="宋体" w:hAnsi="宋体" w:eastAsia="宋体" w:cs="宋体"/>
          <w:sz w:val="28"/>
          <w:szCs w:val="28"/>
          <w:lang w:val="en-US" w:eastAsia="zh-CN"/>
        </w:rPr>
        <w:t>G</w:t>
      </w:r>
      <w:r>
        <w:rPr>
          <w:rFonts w:hint="eastAsia" w:ascii="宋体" w:hAnsi="宋体" w:eastAsia="宋体" w:cs="宋体"/>
          <w:sz w:val="28"/>
          <w:szCs w:val="28"/>
        </w:rPr>
        <w:t>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50014</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9</w:t>
      </w:r>
      <w:r>
        <w:rPr>
          <w:rFonts w:hint="eastAsia" w:ascii="宋体" w:hAnsi="宋体" w:cs="宋体"/>
          <w:sz w:val="28"/>
          <w:szCs w:val="28"/>
          <w:lang w:val="en-US" w:eastAsia="zh-CN"/>
        </w:rPr>
        <w:t>.</w:t>
      </w:r>
      <w:r>
        <w:rPr>
          <w:rFonts w:hint="eastAsia" w:ascii="宋体" w:hAnsi="宋体" w:eastAsia="宋体" w:cs="宋体"/>
          <w:sz w:val="28"/>
          <w:szCs w:val="28"/>
        </w:rPr>
        <w:t>《建筑给水排水设计规范》GB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500</w:t>
      </w:r>
      <w:r>
        <w:rPr>
          <w:rFonts w:hint="eastAsia" w:ascii="宋体" w:hAnsi="宋体" w:eastAsia="Times New Roman" w:cs="宋体"/>
          <w:sz w:val="28"/>
          <w:szCs w:val="28"/>
          <w:lang w:val="en-US" w:eastAsia="zh-CN"/>
        </w:rPr>
        <w:t>1</w:t>
      </w:r>
      <w:r>
        <w:rPr>
          <w:rFonts w:hint="eastAsia" w:ascii="宋体" w:hAnsi="宋体" w:eastAsia="Times New Roman" w:cs="宋体"/>
          <w:sz w:val="28"/>
          <w:szCs w:val="28"/>
        </w:rPr>
        <w:t>5</w:t>
      </w:r>
    </w:p>
    <w:p>
      <w:pPr>
        <w:rPr>
          <w:rFonts w:hint="eastAsia" w:ascii="宋体" w:hAnsi="宋体" w:eastAsia="宋体" w:cs="宋体"/>
          <w:sz w:val="28"/>
          <w:szCs w:val="28"/>
        </w:rPr>
      </w:pPr>
      <w:r>
        <w:rPr>
          <w:rFonts w:hint="eastAsia" w:eastAsia="Times New Roman"/>
          <w:sz w:val="28"/>
          <w:szCs w:val="28"/>
          <w:lang w:val="en-US" w:eastAsia="zh-CN"/>
        </w:rPr>
        <w:t>1</w:t>
      </w:r>
      <w:r>
        <w:rPr>
          <w:rFonts w:hint="eastAsia" w:ascii="宋体" w:hAnsi="宋体" w:eastAsia="Times New Roman" w:cs="宋体"/>
          <w:sz w:val="28"/>
          <w:szCs w:val="28"/>
          <w:lang w:val="en-US" w:eastAsia="zh-CN"/>
        </w:rPr>
        <w:t>0</w:t>
      </w:r>
      <w:r>
        <w:rPr>
          <w:rFonts w:hint="eastAsia" w:ascii="宋体" w:hAnsi="宋体" w:eastAsia="宋体" w:cs="宋体"/>
          <w:sz w:val="28"/>
          <w:szCs w:val="28"/>
          <w:lang w:val="en-US" w:eastAsia="zh-CN"/>
        </w:rPr>
        <w:t>.</w:t>
      </w:r>
      <w:r>
        <w:rPr>
          <w:rFonts w:hint="eastAsia"/>
          <w:sz w:val="28"/>
          <w:szCs w:val="28"/>
        </w:rPr>
        <w:t>《建筑设计防火规范》</w:t>
      </w:r>
      <w:r>
        <w:rPr>
          <w:rFonts w:hint="eastAsia" w:ascii="宋体" w:hAnsi="宋体" w:cs="宋体"/>
          <w:sz w:val="28"/>
          <w:szCs w:val="28"/>
        </w:rPr>
        <w:t xml:space="preserve">GB </w:t>
      </w:r>
      <w:r>
        <w:rPr>
          <w:rFonts w:hint="eastAsia" w:ascii="宋体" w:hAnsi="宋体" w:eastAsia="宋体" w:cs="宋体"/>
          <w:sz w:val="28"/>
          <w:szCs w:val="28"/>
        </w:rPr>
        <w:t>50016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11</w:t>
      </w:r>
      <w:r>
        <w:rPr>
          <w:rFonts w:hint="eastAsia" w:ascii="宋体" w:hAnsi="宋体" w:cs="宋体"/>
          <w:sz w:val="28"/>
          <w:szCs w:val="28"/>
          <w:lang w:val="en-US" w:eastAsia="zh-CN"/>
        </w:rPr>
        <w:t>.</w:t>
      </w:r>
      <w:r>
        <w:rPr>
          <w:rFonts w:hint="eastAsia" w:ascii="宋体" w:hAnsi="宋体" w:eastAsia="宋体" w:cs="宋体"/>
          <w:sz w:val="28"/>
          <w:szCs w:val="28"/>
        </w:rPr>
        <w:t>《建筑采光设计标准》</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5003</w:t>
      </w:r>
      <w:r>
        <w:rPr>
          <w:rFonts w:hint="eastAsia" w:ascii="宋体" w:hAnsi="宋体" w:eastAsia="Times New Roman" w:cs="宋体"/>
          <w:sz w:val="28"/>
          <w:szCs w:val="28"/>
        </w:rPr>
        <w:t>3</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12</w:t>
      </w:r>
      <w:r>
        <w:rPr>
          <w:rFonts w:hint="eastAsia" w:ascii="宋体" w:hAnsi="宋体" w:cs="宋体"/>
          <w:sz w:val="28"/>
          <w:szCs w:val="28"/>
          <w:lang w:val="en-US" w:eastAsia="zh-CN"/>
        </w:rPr>
        <w:t>.</w:t>
      </w:r>
      <w:r>
        <w:rPr>
          <w:rFonts w:hint="eastAsia" w:ascii="宋体" w:hAnsi="宋体" w:eastAsia="宋体" w:cs="宋体"/>
          <w:sz w:val="28"/>
          <w:szCs w:val="28"/>
        </w:rPr>
        <w:t>《建筑</w:t>
      </w:r>
      <w:r>
        <w:rPr>
          <w:rFonts w:hint="eastAsia" w:ascii="宋体" w:hAnsi="宋体" w:eastAsia="宋体" w:cs="宋体"/>
          <w:sz w:val="28"/>
          <w:szCs w:val="28"/>
          <w:lang w:val="en-US" w:eastAsia="zh-CN"/>
        </w:rPr>
        <w:t>照</w:t>
      </w:r>
      <w:r>
        <w:rPr>
          <w:rFonts w:hint="eastAsia" w:ascii="宋体" w:hAnsi="宋体" w:eastAsia="宋体" w:cs="宋体"/>
          <w:sz w:val="28"/>
          <w:szCs w:val="28"/>
        </w:rPr>
        <w:t>明设计标准》G</w:t>
      </w:r>
      <w:r>
        <w:rPr>
          <w:rFonts w:hint="eastAsia" w:ascii="宋体" w:hAnsi="宋体" w:eastAsia="宋体" w:cs="宋体"/>
          <w:sz w:val="28"/>
          <w:szCs w:val="28"/>
          <w:lang w:val="en-US" w:eastAsia="zh-CN"/>
        </w:rPr>
        <w:t>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50034</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13</w:t>
      </w:r>
      <w:r>
        <w:rPr>
          <w:rFonts w:hint="eastAsia" w:ascii="宋体" w:hAnsi="宋体" w:cs="宋体"/>
          <w:sz w:val="28"/>
          <w:szCs w:val="28"/>
          <w:lang w:val="en-US" w:eastAsia="zh-CN"/>
        </w:rPr>
        <w:t>.</w:t>
      </w:r>
      <w:r>
        <w:rPr>
          <w:rFonts w:hint="eastAsia" w:ascii="宋体" w:hAnsi="宋体" w:eastAsia="宋体" w:cs="宋体"/>
          <w:sz w:val="28"/>
          <w:szCs w:val="28"/>
        </w:rPr>
        <w:t>《民用建筑隔声设计</w:t>
      </w:r>
      <w:r>
        <w:rPr>
          <w:rFonts w:hint="eastAsia" w:ascii="宋体" w:hAnsi="宋体" w:eastAsia="宋体" w:cs="宋体"/>
          <w:sz w:val="28"/>
          <w:szCs w:val="28"/>
          <w:lang w:val="en-US" w:eastAsia="zh-CN"/>
        </w:rPr>
        <w:t>规范</w:t>
      </w:r>
      <w:r>
        <w:rPr>
          <w:rFonts w:hint="eastAsia" w:ascii="宋体" w:hAnsi="宋体" w:eastAsia="宋体" w:cs="宋体"/>
          <w:sz w:val="28"/>
          <w:szCs w:val="28"/>
        </w:rPr>
        <w:t>》</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50118</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14</w:t>
      </w:r>
      <w:r>
        <w:rPr>
          <w:rFonts w:hint="eastAsia" w:ascii="宋体" w:hAnsi="宋体" w:cs="宋体"/>
          <w:sz w:val="28"/>
          <w:szCs w:val="28"/>
          <w:lang w:val="en-US" w:eastAsia="zh-CN"/>
        </w:rPr>
        <w:t>.</w:t>
      </w:r>
      <w:r>
        <w:rPr>
          <w:rFonts w:hint="eastAsia" w:ascii="宋体" w:hAnsi="宋体" w:eastAsia="宋体" w:cs="宋体"/>
          <w:sz w:val="28"/>
          <w:szCs w:val="28"/>
        </w:rPr>
        <w:t>《民用建筑热工设计规范》</w:t>
      </w:r>
      <w:r>
        <w:rPr>
          <w:rFonts w:hint="eastAsia" w:ascii="宋体" w:hAnsi="宋体" w:eastAsia="宋体" w:cs="宋体"/>
          <w:sz w:val="28"/>
          <w:szCs w:val="28"/>
          <w:lang w:val="en-US" w:eastAsia="zh-CN"/>
        </w:rPr>
        <w:t>G</w:t>
      </w:r>
      <w:r>
        <w:rPr>
          <w:rFonts w:hint="eastAsia" w:ascii="宋体" w:hAnsi="宋体" w:eastAsia="宋体" w:cs="宋体"/>
          <w:sz w:val="28"/>
          <w:szCs w:val="28"/>
        </w:rPr>
        <w:t>B</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rPr>
        <w:t>501</w:t>
      </w:r>
      <w:r>
        <w:rPr>
          <w:rFonts w:hint="eastAsia" w:ascii="宋体" w:hAnsi="宋体" w:eastAsia="Times New Roman" w:cs="宋体"/>
          <w:sz w:val="28"/>
          <w:szCs w:val="28"/>
          <w:lang w:val="en-US" w:eastAsia="zh-CN"/>
        </w:rPr>
        <w:t>7</w:t>
      </w:r>
      <w:r>
        <w:rPr>
          <w:rFonts w:hint="eastAsia" w:ascii="宋体" w:hAnsi="宋体" w:eastAsia="Times New Roman" w:cs="宋体"/>
          <w:sz w:val="28"/>
          <w:szCs w:val="28"/>
        </w:rPr>
        <w:t>6</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15</w:t>
      </w:r>
      <w:r>
        <w:rPr>
          <w:rFonts w:hint="eastAsia" w:ascii="宋体" w:hAnsi="宋体" w:cs="宋体"/>
          <w:sz w:val="28"/>
          <w:szCs w:val="28"/>
          <w:lang w:val="en-US" w:eastAsia="zh-CN"/>
        </w:rPr>
        <w:t>.</w:t>
      </w:r>
      <w:r>
        <w:rPr>
          <w:rFonts w:hint="eastAsia" w:ascii="宋体" w:hAnsi="宋体" w:eastAsia="宋体" w:cs="宋体"/>
          <w:sz w:val="28"/>
          <w:szCs w:val="28"/>
        </w:rPr>
        <w:t>《公共</w:t>
      </w:r>
      <w:r>
        <w:rPr>
          <w:rFonts w:hint="eastAsia" w:ascii="宋体" w:hAnsi="宋体" w:eastAsia="宋体" w:cs="宋体"/>
          <w:sz w:val="28"/>
          <w:szCs w:val="28"/>
          <w:lang w:val="en-US" w:eastAsia="zh-CN"/>
        </w:rPr>
        <w:t>建</w:t>
      </w:r>
      <w:r>
        <w:rPr>
          <w:rFonts w:hint="eastAsia" w:ascii="宋体" w:hAnsi="宋体" w:eastAsia="宋体" w:cs="宋体"/>
          <w:sz w:val="28"/>
          <w:szCs w:val="28"/>
        </w:rPr>
        <w:t>筑节能设计标准》</w:t>
      </w:r>
      <w:r>
        <w:rPr>
          <w:rFonts w:hint="eastAsia" w:ascii="宋体" w:hAnsi="宋体" w:eastAsia="宋体" w:cs="宋体"/>
          <w:sz w:val="28"/>
          <w:szCs w:val="28"/>
          <w:lang w:val="en-US" w:eastAsia="zh-CN"/>
        </w:rPr>
        <w:t xml:space="preserve">GB </w:t>
      </w:r>
      <w:r>
        <w:rPr>
          <w:rFonts w:hint="eastAsia" w:ascii="宋体" w:hAnsi="宋体" w:eastAsia="Times New Roman" w:cs="宋体"/>
          <w:sz w:val="28"/>
          <w:szCs w:val="28"/>
          <w:lang w:val="en-US" w:eastAsia="zh-CN"/>
        </w:rPr>
        <w:t>50189</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16</w:t>
      </w:r>
      <w:r>
        <w:rPr>
          <w:rFonts w:hint="eastAsia" w:ascii="宋体" w:hAnsi="宋体" w:cs="宋体"/>
          <w:sz w:val="28"/>
          <w:szCs w:val="28"/>
          <w:lang w:val="en-US" w:eastAsia="zh-CN"/>
        </w:rPr>
        <w:t>.</w:t>
      </w:r>
      <w:r>
        <w:rPr>
          <w:rFonts w:hint="eastAsia" w:ascii="宋体" w:hAnsi="宋体" w:eastAsia="宋体" w:cs="宋体"/>
          <w:sz w:val="28"/>
          <w:szCs w:val="28"/>
        </w:rPr>
        <w:t>《智能建筑设计</w:t>
      </w:r>
      <w:r>
        <w:rPr>
          <w:rFonts w:hint="eastAsia" w:ascii="宋体" w:hAnsi="宋体" w:eastAsia="宋体" w:cs="宋体"/>
          <w:sz w:val="28"/>
          <w:szCs w:val="28"/>
          <w:lang w:val="en-US" w:eastAsia="zh-CN"/>
        </w:rPr>
        <w:t>标准</w:t>
      </w:r>
      <w:r>
        <w:rPr>
          <w:rFonts w:hint="eastAsia" w:ascii="宋体" w:hAnsi="宋体" w:eastAsia="宋体" w:cs="宋体"/>
          <w:sz w:val="28"/>
          <w:szCs w:val="28"/>
        </w:rPr>
        <w:t>》G</w:t>
      </w:r>
      <w:r>
        <w:rPr>
          <w:rFonts w:hint="eastAsia" w:ascii="宋体" w:hAnsi="宋体" w:eastAsia="宋体" w:cs="宋体"/>
          <w:sz w:val="28"/>
          <w:szCs w:val="28"/>
          <w:lang w:val="en-US" w:eastAsia="zh-CN"/>
        </w:rPr>
        <w:t>B</w:t>
      </w:r>
      <w:r>
        <w:rPr>
          <w:rFonts w:hint="eastAsia" w:ascii="宋体" w:hAnsi="宋体" w:eastAsia="宋体" w:cs="宋体"/>
          <w:sz w:val="28"/>
          <w:szCs w:val="28"/>
        </w:rPr>
        <w:t>/T</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50314</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17</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sz w:val="28"/>
          <w:szCs w:val="28"/>
        </w:rPr>
        <w:t>民用建筑室内环境污染控制规范》</w:t>
      </w:r>
      <w:r>
        <w:rPr>
          <w:rFonts w:hint="eastAsia" w:ascii="宋体" w:hAnsi="宋体" w:eastAsia="宋体" w:cs="宋体"/>
          <w:sz w:val="28"/>
          <w:szCs w:val="28"/>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50325</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18</w:t>
      </w:r>
      <w:r>
        <w:rPr>
          <w:rFonts w:hint="eastAsia" w:ascii="宋体" w:hAnsi="宋体" w:cs="宋体"/>
          <w:sz w:val="28"/>
          <w:szCs w:val="28"/>
          <w:lang w:val="en-US" w:eastAsia="zh-CN"/>
        </w:rPr>
        <w:t>.</w:t>
      </w:r>
      <w:r>
        <w:rPr>
          <w:rFonts w:hint="eastAsia" w:ascii="宋体" w:hAnsi="宋体" w:eastAsia="宋体" w:cs="宋体"/>
          <w:sz w:val="28"/>
          <w:szCs w:val="28"/>
        </w:rPr>
        <w:t>《民用建筑节水设计标准》</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50555</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19</w:t>
      </w:r>
      <w:r>
        <w:rPr>
          <w:rFonts w:hint="eastAsia" w:ascii="宋体" w:hAnsi="宋体" w:cs="宋体"/>
          <w:sz w:val="28"/>
          <w:szCs w:val="28"/>
          <w:lang w:val="en-US" w:eastAsia="zh-CN"/>
        </w:rPr>
        <w:t>.</w:t>
      </w:r>
      <w:r>
        <w:rPr>
          <w:rFonts w:hint="eastAsia" w:ascii="宋体" w:hAnsi="宋体" w:eastAsia="宋体" w:cs="宋体"/>
          <w:sz w:val="28"/>
          <w:szCs w:val="28"/>
        </w:rPr>
        <w:t>《民用</w:t>
      </w:r>
      <w:r>
        <w:rPr>
          <w:rFonts w:hint="eastAsia" w:ascii="宋体" w:hAnsi="宋体" w:eastAsia="宋体" w:cs="宋体"/>
          <w:sz w:val="28"/>
          <w:szCs w:val="28"/>
          <w:lang w:val="en-US" w:eastAsia="zh-CN"/>
        </w:rPr>
        <w:t>建筑</w:t>
      </w:r>
      <w:r>
        <w:rPr>
          <w:rFonts w:hint="eastAsia" w:ascii="宋体" w:hAnsi="宋体" w:eastAsia="宋体" w:cs="宋体"/>
          <w:sz w:val="28"/>
          <w:szCs w:val="28"/>
        </w:rPr>
        <w:t>供</w:t>
      </w:r>
      <w:r>
        <w:rPr>
          <w:rFonts w:hint="eastAsia" w:ascii="宋体" w:hAnsi="宋体" w:eastAsia="宋体" w:cs="宋体"/>
          <w:sz w:val="28"/>
          <w:szCs w:val="28"/>
          <w:lang w:val="en-US" w:eastAsia="zh-CN"/>
        </w:rPr>
        <w:t>暖</w:t>
      </w:r>
      <w:r>
        <w:rPr>
          <w:rFonts w:hint="eastAsia" w:ascii="宋体" w:hAnsi="宋体" w:eastAsia="宋体" w:cs="宋体"/>
          <w:sz w:val="28"/>
          <w:szCs w:val="28"/>
        </w:rPr>
        <w:t>通风与空气调节设计规范》GB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5073</w:t>
      </w:r>
      <w:r>
        <w:rPr>
          <w:rFonts w:hint="eastAsia" w:ascii="宋体" w:hAnsi="宋体" w:eastAsia="Times New Roman" w:cs="宋体"/>
          <w:sz w:val="28"/>
          <w:szCs w:val="28"/>
          <w:lang w:val="en-US" w:eastAsia="zh-CN"/>
        </w:rPr>
        <w:t>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20</w:t>
      </w:r>
      <w:r>
        <w:rPr>
          <w:rFonts w:hint="eastAsia" w:ascii="宋体" w:hAnsi="宋体" w:cs="宋体"/>
          <w:sz w:val="28"/>
          <w:szCs w:val="28"/>
          <w:lang w:val="en-US" w:eastAsia="zh-CN"/>
        </w:rPr>
        <w:t>.</w:t>
      </w:r>
      <w:r>
        <w:rPr>
          <w:rFonts w:hint="eastAsia" w:ascii="宋体" w:hAnsi="宋体" w:eastAsia="宋体" w:cs="宋体"/>
          <w:sz w:val="28"/>
          <w:szCs w:val="28"/>
        </w:rPr>
        <w:t>《民用建筑电气设计</w:t>
      </w:r>
      <w:r>
        <w:rPr>
          <w:rFonts w:hint="eastAsia" w:ascii="宋体" w:hAnsi="宋体" w:eastAsia="宋体" w:cs="宋体"/>
          <w:sz w:val="28"/>
          <w:szCs w:val="28"/>
          <w:lang w:val="en-US" w:eastAsia="zh-CN"/>
        </w:rPr>
        <w:t>规</w:t>
      </w:r>
      <w:r>
        <w:rPr>
          <w:rFonts w:hint="eastAsia" w:ascii="宋体" w:hAnsi="宋体" w:eastAsia="宋体" w:cs="宋体"/>
          <w:sz w:val="28"/>
          <w:szCs w:val="28"/>
        </w:rPr>
        <w:t>范》</w:t>
      </w:r>
      <w:r>
        <w:rPr>
          <w:rFonts w:hint="eastAsia" w:ascii="宋体" w:hAnsi="宋体" w:eastAsia="宋体" w:cs="宋体"/>
          <w:sz w:val="28"/>
          <w:szCs w:val="28"/>
          <w:lang w:val="en-US" w:eastAsia="zh-CN"/>
        </w:rPr>
        <w:t>JGJ</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21</w:t>
      </w:r>
      <w:r>
        <w:rPr>
          <w:rFonts w:hint="eastAsia" w:ascii="宋体" w:hAnsi="宋体" w:cs="宋体"/>
          <w:sz w:val="28"/>
          <w:szCs w:val="28"/>
          <w:lang w:val="en-US" w:eastAsia="zh-CN"/>
        </w:rPr>
        <w:t>.</w:t>
      </w:r>
      <w:r>
        <w:rPr>
          <w:rFonts w:hint="eastAsia" w:ascii="宋体" w:hAnsi="宋体" w:eastAsia="宋体" w:cs="宋体"/>
          <w:sz w:val="28"/>
          <w:szCs w:val="28"/>
        </w:rPr>
        <w:t>《夏热冬暖地区居住建筑节能设计标准》</w:t>
      </w:r>
      <w:r>
        <w:rPr>
          <w:rFonts w:hint="eastAsia" w:ascii="宋体" w:hAnsi="宋体" w:eastAsia="宋体" w:cs="宋体"/>
          <w:sz w:val="28"/>
          <w:szCs w:val="28"/>
          <w:lang w:val="en-US" w:eastAsia="zh-CN"/>
        </w:rPr>
        <w:t>JGJ</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75</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22</w:t>
      </w:r>
      <w:r>
        <w:rPr>
          <w:rFonts w:hint="eastAsia" w:ascii="宋体" w:hAnsi="宋体" w:cs="宋体"/>
          <w:sz w:val="28"/>
          <w:szCs w:val="28"/>
          <w:lang w:val="en-US" w:eastAsia="zh-CN"/>
        </w:rPr>
        <w:t>.</w:t>
      </w:r>
      <w:r>
        <w:rPr>
          <w:rFonts w:hint="eastAsia" w:ascii="宋体" w:hAnsi="宋体" w:eastAsia="宋体" w:cs="宋体"/>
          <w:sz w:val="28"/>
          <w:szCs w:val="28"/>
        </w:rPr>
        <w:t>《城市夜景照明设计</w:t>
      </w:r>
      <w:r>
        <w:rPr>
          <w:rFonts w:hint="eastAsia" w:ascii="宋体" w:hAnsi="宋体" w:eastAsia="宋体" w:cs="宋体"/>
          <w:sz w:val="28"/>
          <w:szCs w:val="28"/>
          <w:lang w:val="en-US" w:eastAsia="zh-CN"/>
        </w:rPr>
        <w:t>规范</w:t>
      </w:r>
      <w:r>
        <w:rPr>
          <w:rFonts w:hint="eastAsia" w:ascii="宋体" w:hAnsi="宋体" w:eastAsia="宋体" w:cs="宋体"/>
          <w:sz w:val="28"/>
          <w:szCs w:val="28"/>
        </w:rPr>
        <w:t>》</w:t>
      </w:r>
      <w:r>
        <w:rPr>
          <w:rFonts w:hint="eastAsia" w:ascii="宋体" w:hAnsi="宋体" w:eastAsia="宋体" w:cs="宋体"/>
          <w:sz w:val="28"/>
          <w:szCs w:val="28"/>
          <w:lang w:val="en-US" w:eastAsia="zh-CN"/>
        </w:rPr>
        <w:t>JGJ/T</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163</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23</w:t>
      </w:r>
      <w:r>
        <w:rPr>
          <w:rFonts w:hint="eastAsia" w:ascii="宋体" w:hAnsi="宋体" w:cs="宋体"/>
          <w:sz w:val="28"/>
          <w:szCs w:val="28"/>
          <w:lang w:val="en-US" w:eastAsia="zh-CN"/>
        </w:rPr>
        <w:t>.</w:t>
      </w:r>
      <w:r>
        <w:rPr>
          <w:rFonts w:hint="eastAsia" w:ascii="宋体" w:hAnsi="宋体" w:eastAsia="宋体" w:cs="宋体"/>
          <w:sz w:val="28"/>
          <w:szCs w:val="28"/>
        </w:rPr>
        <w:t>《民用建筑绿色设计规范》J</w:t>
      </w:r>
      <w:r>
        <w:rPr>
          <w:rFonts w:hint="eastAsia" w:ascii="宋体" w:hAnsi="宋体" w:eastAsia="宋体" w:cs="宋体"/>
          <w:sz w:val="28"/>
          <w:szCs w:val="28"/>
          <w:lang w:val="en-US" w:eastAsia="zh-CN"/>
        </w:rPr>
        <w:t>GJ/</w:t>
      </w:r>
      <w:r>
        <w:rPr>
          <w:rFonts w:hint="eastAsia" w:ascii="宋体" w:hAnsi="宋体" w:eastAsia="宋体" w:cs="宋体"/>
          <w:sz w:val="28"/>
          <w:szCs w:val="28"/>
        </w:rPr>
        <w:t>T</w:t>
      </w:r>
      <w:r>
        <w:rPr>
          <w:rFonts w:hint="eastAsia" w:ascii="宋体" w:hAnsi="宋体" w:cs="宋体"/>
          <w:sz w:val="28"/>
          <w:szCs w:val="28"/>
          <w:lang w:val="en-US" w:eastAsia="zh-CN"/>
        </w:rPr>
        <w:t xml:space="preserve"> </w:t>
      </w:r>
      <w:r>
        <w:rPr>
          <w:rFonts w:hint="eastAsia" w:ascii="宋体" w:hAnsi="宋体" w:eastAsia="Times New Roman" w:cs="宋体"/>
          <w:sz w:val="28"/>
          <w:szCs w:val="28"/>
        </w:rPr>
        <w:t>2</w:t>
      </w:r>
      <w:r>
        <w:rPr>
          <w:rFonts w:hint="eastAsia" w:ascii="宋体" w:hAnsi="宋体" w:eastAsia="Times New Roman" w:cs="宋体"/>
          <w:sz w:val="28"/>
          <w:szCs w:val="28"/>
          <w:lang w:val="en-US" w:eastAsia="zh-CN"/>
        </w:rPr>
        <w:t>2</w:t>
      </w:r>
      <w:r>
        <w:rPr>
          <w:rFonts w:hint="eastAsia" w:ascii="宋体" w:hAnsi="宋体" w:eastAsia="Times New Roman" w:cs="宋体"/>
          <w:sz w:val="28"/>
          <w:szCs w:val="28"/>
        </w:rPr>
        <w:t>9</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24</w:t>
      </w:r>
      <w:r>
        <w:rPr>
          <w:rFonts w:hint="eastAsia" w:ascii="宋体" w:hAnsi="宋体" w:cs="宋体"/>
          <w:sz w:val="28"/>
          <w:szCs w:val="28"/>
          <w:lang w:val="en-US" w:eastAsia="zh-CN"/>
        </w:rPr>
        <w:t>.</w:t>
      </w:r>
      <w:r>
        <w:rPr>
          <w:rFonts w:hint="eastAsia" w:ascii="宋体" w:hAnsi="宋体" w:eastAsia="宋体" w:cs="宋体"/>
          <w:sz w:val="28"/>
          <w:szCs w:val="28"/>
        </w:rPr>
        <w:t>《城市居住区热环境设计标准》</w:t>
      </w:r>
      <w:r>
        <w:rPr>
          <w:rFonts w:hint="eastAsia" w:ascii="宋体" w:hAnsi="宋体" w:eastAsia="宋体" w:cs="宋体"/>
          <w:sz w:val="28"/>
          <w:szCs w:val="28"/>
          <w:lang w:val="en-US" w:eastAsia="zh-CN"/>
        </w:rPr>
        <w:t>JGJ</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286</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25</w:t>
      </w:r>
      <w:r>
        <w:rPr>
          <w:rFonts w:hint="eastAsia" w:ascii="宋体" w:hAnsi="宋体" w:cs="宋体"/>
          <w:sz w:val="28"/>
          <w:szCs w:val="28"/>
          <w:lang w:val="en-US" w:eastAsia="zh-CN"/>
        </w:rPr>
        <w:t>.</w:t>
      </w:r>
      <w:r>
        <w:rPr>
          <w:rFonts w:hint="eastAsia" w:ascii="宋体" w:hAnsi="宋体" w:eastAsia="宋体" w:cs="宋体"/>
          <w:sz w:val="28"/>
          <w:szCs w:val="28"/>
        </w:rPr>
        <w:t>《建筑门窗玻璃</w:t>
      </w:r>
      <w:r>
        <w:rPr>
          <w:rFonts w:hint="eastAsia" w:ascii="宋体" w:hAnsi="宋体" w:eastAsia="宋体" w:cs="宋体"/>
          <w:sz w:val="28"/>
          <w:szCs w:val="28"/>
          <w:lang w:val="en-US" w:eastAsia="zh-CN"/>
        </w:rPr>
        <w:t>幕墙</w:t>
      </w:r>
      <w:r>
        <w:rPr>
          <w:rFonts w:hint="eastAsia" w:ascii="宋体" w:hAnsi="宋体" w:eastAsia="宋体" w:cs="宋体"/>
          <w:sz w:val="28"/>
          <w:szCs w:val="28"/>
        </w:rPr>
        <w:t>热工计算规程》</w:t>
      </w:r>
      <w:r>
        <w:rPr>
          <w:rFonts w:hint="eastAsia" w:ascii="宋体" w:hAnsi="宋体" w:eastAsia="宋体" w:cs="宋体"/>
          <w:sz w:val="28"/>
          <w:szCs w:val="28"/>
          <w:lang w:val="en-US" w:eastAsia="zh-CN"/>
        </w:rPr>
        <w:t xml:space="preserve">JGJ/T </w:t>
      </w:r>
      <w:r>
        <w:rPr>
          <w:rFonts w:hint="eastAsia" w:ascii="宋体" w:hAnsi="宋体" w:eastAsia="Times New Roman" w:cs="宋体"/>
          <w:sz w:val="28"/>
          <w:szCs w:val="28"/>
          <w:lang w:val="en-US" w:eastAsia="zh-CN"/>
        </w:rPr>
        <w:t>151</w:t>
      </w:r>
    </w:p>
    <w:p>
      <w:pPr>
        <w:rPr>
          <w:rFonts w:hint="eastAsia" w:ascii="宋体" w:hAnsi="宋体" w:eastAsia="宋体" w:cs="宋体"/>
          <w:sz w:val="28"/>
          <w:szCs w:val="28"/>
        </w:rPr>
      </w:pPr>
      <w:r>
        <w:rPr>
          <w:rFonts w:hint="eastAsia" w:eastAsia="Times New Roman"/>
          <w:sz w:val="28"/>
          <w:szCs w:val="28"/>
          <w:lang w:val="en-US" w:eastAsia="zh-CN"/>
        </w:rPr>
        <w:t>26</w:t>
      </w:r>
      <w:r>
        <w:rPr>
          <w:rFonts w:hint="eastAsia"/>
          <w:sz w:val="28"/>
          <w:szCs w:val="28"/>
          <w:lang w:val="en-US" w:eastAsia="zh-CN"/>
        </w:rPr>
        <w:t>.</w:t>
      </w:r>
      <w:r>
        <w:rPr>
          <w:rFonts w:hint="eastAsia"/>
          <w:sz w:val="28"/>
          <w:szCs w:val="28"/>
        </w:rPr>
        <w:t>《广东省公共建筑节能设计标准》</w:t>
      </w:r>
      <w:r>
        <w:rPr>
          <w:rFonts w:hint="eastAsia" w:ascii="宋体" w:hAnsi="宋体" w:eastAsia="宋体" w:cs="宋体"/>
          <w:sz w:val="28"/>
          <w:szCs w:val="28"/>
        </w:rPr>
        <w:t>DBJ</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rPr>
        <w:t>15</w:t>
      </w:r>
      <w:r>
        <w:rPr>
          <w:rFonts w:hint="eastAsia" w:ascii="宋体" w:hAnsi="宋体" w:eastAsia="宋体" w:cs="宋体"/>
          <w:sz w:val="28"/>
          <w:szCs w:val="28"/>
        </w:rPr>
        <w:t>-</w:t>
      </w:r>
      <w:r>
        <w:rPr>
          <w:rFonts w:hint="eastAsia" w:ascii="宋体" w:hAnsi="宋体" w:eastAsia="Times New Roman" w:cs="宋体"/>
          <w:sz w:val="28"/>
          <w:szCs w:val="28"/>
        </w:rPr>
        <w:t>51</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27</w:t>
      </w:r>
      <w:r>
        <w:rPr>
          <w:rFonts w:hint="eastAsia" w:ascii="宋体" w:hAnsi="宋体" w:cs="宋体"/>
          <w:sz w:val="28"/>
          <w:szCs w:val="28"/>
          <w:lang w:val="en-US" w:eastAsia="zh-CN"/>
        </w:rPr>
        <w:t>.</w:t>
      </w:r>
      <w:r>
        <w:rPr>
          <w:rFonts w:hint="eastAsia" w:ascii="宋体" w:hAnsi="宋体" w:eastAsia="宋体" w:cs="宋体"/>
          <w:sz w:val="28"/>
          <w:szCs w:val="28"/>
        </w:rPr>
        <w:t>《广东省绿色建筑评价标准》D</w:t>
      </w:r>
      <w:r>
        <w:rPr>
          <w:rFonts w:hint="eastAsia" w:ascii="宋体" w:hAnsi="宋体" w:eastAsia="宋体" w:cs="宋体"/>
          <w:sz w:val="28"/>
          <w:szCs w:val="28"/>
          <w:lang w:val="en-US" w:eastAsia="zh-CN"/>
        </w:rPr>
        <w:t>BJ/</w:t>
      </w:r>
      <w:r>
        <w:rPr>
          <w:rFonts w:hint="eastAsia" w:ascii="宋体" w:hAnsi="宋体" w:eastAsia="宋体" w:cs="宋体"/>
          <w:sz w:val="28"/>
          <w:szCs w:val="28"/>
        </w:rPr>
        <w:t>T</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rPr>
        <w:t>15</w:t>
      </w:r>
      <w:r>
        <w:rPr>
          <w:rFonts w:hint="eastAsia" w:ascii="宋体" w:hAnsi="宋体" w:eastAsia="宋体" w:cs="宋体"/>
          <w:sz w:val="28"/>
          <w:szCs w:val="28"/>
        </w:rPr>
        <w:t>-</w:t>
      </w:r>
      <w:r>
        <w:rPr>
          <w:rFonts w:hint="eastAsia" w:ascii="宋体" w:hAnsi="宋体" w:eastAsia="Times New Roman" w:cs="宋体"/>
          <w:sz w:val="28"/>
          <w:szCs w:val="28"/>
        </w:rPr>
        <w:t>83</w:t>
      </w:r>
    </w:p>
    <w:p>
      <w:pPr>
        <w:rPr>
          <w:rFonts w:hint="eastAsia" w:ascii="宋体" w:hAnsi="宋体" w:eastAsia="宋体" w:cs="宋体"/>
          <w:sz w:val="28"/>
          <w:szCs w:val="28"/>
          <w:lang w:val="en-US" w:eastAsia="zh-CN"/>
        </w:rPr>
      </w:pPr>
      <w:r>
        <w:rPr>
          <w:rFonts w:hint="eastAsia" w:eastAsia="Times New Roman"/>
          <w:sz w:val="28"/>
          <w:szCs w:val="28"/>
          <w:lang w:val="en-US" w:eastAsia="zh-CN"/>
        </w:rPr>
        <w:t>28</w:t>
      </w:r>
      <w:r>
        <w:rPr>
          <w:rFonts w:hint="eastAsia"/>
          <w:sz w:val="28"/>
          <w:szCs w:val="28"/>
          <w:lang w:val="en-US" w:eastAsia="zh-CN"/>
        </w:rPr>
        <w:t>.</w:t>
      </w:r>
      <w:r>
        <w:rPr>
          <w:rFonts w:hint="eastAsia"/>
          <w:sz w:val="28"/>
          <w:szCs w:val="28"/>
        </w:rPr>
        <w:t>《民用建筑室内环境污染控制技术规程》</w:t>
      </w:r>
      <w:r>
        <w:rPr>
          <w:rFonts w:hint="eastAsia" w:ascii="宋体" w:hAnsi="宋体" w:eastAsia="宋体" w:cs="宋体"/>
          <w:sz w:val="28"/>
          <w:szCs w:val="28"/>
        </w:rPr>
        <w:t>DBJ</w:t>
      </w:r>
      <w:r>
        <w:rPr>
          <w:rFonts w:hint="eastAsia" w:ascii="宋体" w:hAnsi="宋体" w:eastAsia="Times New Roman" w:cs="宋体"/>
          <w:sz w:val="28"/>
          <w:szCs w:val="28"/>
        </w:rPr>
        <w:t>15</w:t>
      </w:r>
      <w:r>
        <w:rPr>
          <w:rFonts w:hint="eastAsia" w:ascii="宋体" w:hAnsi="宋体" w:eastAsia="宋体" w:cs="宋体"/>
          <w:sz w:val="28"/>
          <w:szCs w:val="28"/>
        </w:rPr>
        <w:t>-</w:t>
      </w:r>
      <w:r>
        <w:rPr>
          <w:rFonts w:hint="eastAsia" w:ascii="宋体" w:hAnsi="宋体" w:eastAsia="Times New Roman" w:cs="宋体"/>
          <w:sz w:val="28"/>
          <w:szCs w:val="28"/>
        </w:rPr>
        <w:t>93</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29</w:t>
      </w:r>
      <w:r>
        <w:rPr>
          <w:rFonts w:hint="eastAsia" w:ascii="宋体" w:hAnsi="宋体" w:cs="宋体"/>
          <w:sz w:val="28"/>
          <w:szCs w:val="28"/>
          <w:lang w:val="en-US" w:eastAsia="zh-CN"/>
        </w:rPr>
        <w:t>.</w:t>
      </w:r>
      <w:r>
        <w:rPr>
          <w:rFonts w:hint="eastAsia" w:ascii="宋体" w:hAnsi="宋体" w:eastAsia="宋体" w:cs="宋体"/>
          <w:sz w:val="28"/>
          <w:szCs w:val="28"/>
        </w:rPr>
        <w:t>《广东省居住建筑节能设计标准》</w:t>
      </w:r>
      <w:r>
        <w:rPr>
          <w:rFonts w:hint="eastAsia" w:ascii="宋体" w:hAnsi="宋体" w:eastAsia="宋体" w:cs="宋体"/>
          <w:sz w:val="28"/>
          <w:szCs w:val="28"/>
          <w:lang w:val="en-US" w:eastAsia="zh-CN"/>
        </w:rPr>
        <w:t>DBJ/T</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15</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133</w:t>
      </w:r>
    </w:p>
    <w:p>
      <w:pPr>
        <w:rPr>
          <w:rFonts w:hint="eastAsia" w:eastAsia="宋体"/>
          <w:lang w:eastAsia="zh-CN"/>
        </w:rPr>
      </w:pPr>
      <w:r>
        <w:rPr>
          <w:rFonts w:hint="eastAsia" w:ascii="宋体" w:hAnsi="宋体" w:eastAsia="Times New Roman" w:cs="宋体"/>
          <w:sz w:val="28"/>
          <w:szCs w:val="28"/>
          <w:lang w:val="en-US" w:eastAsia="zh-CN"/>
        </w:rPr>
        <w:t>30</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《广东省绿色建筑设计规范》</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DBJ/T</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15</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201</w:t>
      </w:r>
      <w:r>
        <w:rPr>
          <w:rFonts w:hint="eastAsia"/>
        </w:rPr>
        <w:t xml:space="preserve"> </w:t>
      </w:r>
    </w:p>
    <w:p>
      <w:pPr>
        <w:rPr>
          <w:rFonts w:hint="eastAsia"/>
          <w:sz w:val="28"/>
          <w:szCs w:val="28"/>
        </w:rPr>
      </w:pPr>
      <w:r>
        <w:rPr>
          <w:rFonts w:hint="eastAsia" w:ascii="宋体" w:hAnsi="宋体" w:eastAsia="Times New Roman" w:cs="宋体"/>
          <w:sz w:val="28"/>
          <w:szCs w:val="28"/>
          <w:lang w:val="en-US" w:eastAsia="zh-CN"/>
        </w:rPr>
        <w:t>31</w:t>
      </w:r>
      <w:r>
        <w:rPr>
          <w:rFonts w:hint="eastAsia" w:ascii="宋体" w:hAnsi="宋体" w:eastAsia="宋体" w:cs="宋体"/>
          <w:sz w:val="28"/>
          <w:szCs w:val="28"/>
          <w:lang w:val="en-US" w:eastAsia="zh-CN"/>
        </w:rPr>
        <w:t>.</w:t>
      </w:r>
      <w:r>
        <w:rPr>
          <w:rFonts w:hint="eastAsia"/>
          <w:sz w:val="28"/>
          <w:szCs w:val="28"/>
          <w:lang w:eastAsia="zh-CN"/>
        </w:rPr>
        <w:t>《</w:t>
      </w:r>
      <w:r>
        <w:rPr>
          <w:rFonts w:hint="eastAsia"/>
          <w:sz w:val="28"/>
          <w:szCs w:val="28"/>
        </w:rPr>
        <w:t>中山市城市规划技术标准与准则》（</w:t>
      </w:r>
      <w:r>
        <w:rPr>
          <w:rFonts w:hint="eastAsia" w:eastAsia="Times New Roman"/>
          <w:sz w:val="28"/>
          <w:szCs w:val="28"/>
        </w:rPr>
        <w:t>2016</w:t>
      </w:r>
      <w:r>
        <w:rPr>
          <w:rFonts w:hint="eastAsia"/>
          <w:sz w:val="28"/>
          <w:szCs w:val="28"/>
        </w:rPr>
        <w:t>版）</w:t>
      </w:r>
    </w:p>
    <w:p>
      <w:pPr>
        <w:rPr>
          <w:rFonts w:hint="default" w:eastAsia="宋体"/>
          <w:lang w:val="en-US" w:eastAsia="zh-CN"/>
        </w:rPr>
      </w:pPr>
      <w:r>
        <w:rPr>
          <w:rFonts w:hint="eastAsia"/>
          <w:sz w:val="28"/>
          <w:szCs w:val="28"/>
          <w:lang w:val="en-US" w:eastAsia="zh-CN"/>
        </w:rPr>
        <w:t>32.《中山市绿色建筑设计指南》（2021版）</w:t>
      </w:r>
    </w:p>
    <w:p>
      <w:pPr>
        <w:rPr>
          <w:rFonts w:hint="eastAsia" w:ascii="宋体" w:hAnsi="宋体" w:eastAsia="宋体" w:cs="宋体"/>
          <w:lang w:eastAsia="zh-CN"/>
        </w:rPr>
      </w:pPr>
      <w:r>
        <w:rPr>
          <w:rFonts w:hint="eastAsia" w:ascii="宋体" w:hAnsi="宋体" w:cs="宋体"/>
          <w:sz w:val="28"/>
          <w:szCs w:val="28"/>
          <w:lang w:val="en-US" w:eastAsia="zh-CN"/>
        </w:rPr>
        <w:t>33.</w:t>
      </w:r>
      <w:r>
        <w:rPr>
          <w:rFonts w:hint="eastAsia" w:ascii="宋体" w:hAnsi="宋体" w:eastAsia="宋体" w:cs="宋体"/>
          <w:sz w:val="28"/>
          <w:szCs w:val="28"/>
        </w:rPr>
        <w:t>国家、省、市现行的相关法律、法规、规范性文件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二、工程概况</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项</w:t>
      </w:r>
      <w:r>
        <w:rPr>
          <w:rFonts w:hint="eastAsia" w:ascii="宋体" w:hAnsi="宋体" w:eastAsia="宋体" w:cs="宋体"/>
          <w:sz w:val="28"/>
          <w:szCs w:val="28"/>
        </w:rPr>
        <w:t>目名称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rPr>
        <w:t>项目地址</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3667760</wp:posOffset>
                </wp:positionH>
                <wp:positionV relativeFrom="paragraph">
                  <wp:posOffset>-433705</wp:posOffset>
                </wp:positionV>
                <wp:extent cx="2101215" cy="1623060"/>
                <wp:effectExtent l="7620" t="8255" r="24765" b="26035"/>
                <wp:wrapNone/>
                <wp:docPr id="1" name="矩形 282"/>
                <wp:cNvGraphicFramePr/>
                <a:graphic xmlns:a="http://schemas.openxmlformats.org/drawingml/2006/main">
                  <a:graphicData uri="http://schemas.microsoft.com/office/word/2010/wordprocessingShape">
                    <wps:wsp>
                      <wps:cNvSpPr/>
                      <wps:spPr>
                        <a:xfrm>
                          <a:off x="0" y="0"/>
                          <a:ext cx="2101215" cy="162306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rect id="矩形 282" o:spid="_x0000_s1026" o:spt="1" style="position:absolute;left:0pt;margin-left:288.8pt;margin-top:-34.15pt;height:127.8pt;width:165.45pt;z-index:251659264;mso-width-relative:page;mso-height-relative:page;" fillcolor="#FFFFFF" filled="t" stroked="t" coordsize="21600,21600" o:gfxdata="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6Y/CnZAAAACwEAAA8AAAAAAAAAAQAgAAAAIgAAAGRycy9kb3ducmV2LnhtbFBLAQIUABQAAAAI&#10;AIdO4kBCzTP6XgIAAOcEAAAOAAAAAAAAAAEAIAAAACgBAABkcnMvZTJvRG9jLnhtbFBLBQYAAAAA&#10;BgAGAFkBAAD4BQAAAAA=&#10;">
                <v:fill type="gradient" on="t" color2="#FFFFFF" angle="90" focus="100%" focussize="0f,0f" focusposition="0f,0f">
                  <o:fill type="gradientUnscaled" v:ext="backwardCompatible"/>
                </v:fill>
                <v:stroke weight="1.25pt" color="#739CC3" joinstyle="miter"/>
                <v:imagedata o:title=""/>
                <o:lock v:ext="edit" aspectratio="f"/>
                <v:textbox>
                  <w:txbxContent>
                    <w:p/>
                  </w:txbxContent>
                </v:textbox>
              </v:rect>
            </w:pict>
          </mc:Fallback>
        </mc:AlternateContent>
      </w:r>
      <w:r>
        <w:rPr>
          <w:rFonts w:hint="eastAsia" w:ascii="宋体" w:hAnsi="宋体" w:eastAsia="宋体" w:cs="宋体"/>
          <w:sz w:val="28"/>
          <w:szCs w:val="28"/>
        </w:rPr>
        <w:t>建筑类型</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rPr>
        <w:t>建筑功能</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rPr>
        <w:t>项目用地面积</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3546475</wp:posOffset>
                </wp:positionH>
                <wp:positionV relativeFrom="paragraph">
                  <wp:posOffset>13335</wp:posOffset>
                </wp:positionV>
                <wp:extent cx="2338705" cy="321310"/>
                <wp:effectExtent l="0" t="0" r="4445" b="2540"/>
                <wp:wrapNone/>
                <wp:docPr id="2" name="文本框 283"/>
                <wp:cNvGraphicFramePr/>
                <a:graphic xmlns:a="http://schemas.openxmlformats.org/drawingml/2006/main">
                  <a:graphicData uri="http://schemas.microsoft.com/office/word/2010/wordprocessingShape">
                    <wps:wsp>
                      <wps:cNvSpPr txBox="1"/>
                      <wps:spPr>
                        <a:xfrm>
                          <a:off x="0" y="0"/>
                          <a:ext cx="2338705" cy="321310"/>
                        </a:xfrm>
                        <a:prstGeom prst="rect">
                          <a:avLst/>
                        </a:prstGeom>
                        <a:gradFill rotWithShape="0">
                          <a:gsLst>
                            <a:gs pos="0">
                              <a:srgbClr val="FFFFFF"/>
                            </a:gs>
                            <a:gs pos="100000">
                              <a:srgbClr val="FFFFFF"/>
                            </a:gs>
                          </a:gsLst>
                          <a:lin ang="0"/>
                          <a:tileRect/>
                        </a:gradFill>
                        <a:ln w="15875">
                          <a:noFill/>
                        </a:ln>
                      </wps:spPr>
                      <wps:txbx>
                        <w:txbxContent>
                          <w:p>
                            <w:pPr>
                              <w:rPr>
                                <w:rFonts w:hint="default" w:eastAsia="宋体"/>
                                <w:lang w:val="en-US" w:eastAsia="zh-CN"/>
                              </w:rPr>
                            </w:pPr>
                            <w:r>
                              <w:rPr>
                                <w:rFonts w:hint="eastAsia"/>
                                <w:lang w:val="en-US" w:eastAsia="zh-CN"/>
                              </w:rPr>
                              <w:t>申报绿色建筑区域总平面位置示意图</w:t>
                            </w:r>
                          </w:p>
                        </w:txbxContent>
                      </wps:txbx>
                      <wps:bodyPr vert="horz" wrap="square" anchor="t" anchorCtr="0" upright="1"/>
                    </wps:wsp>
                  </a:graphicData>
                </a:graphic>
              </wp:anchor>
            </w:drawing>
          </mc:Choice>
          <mc:Fallback>
            <w:pict>
              <v:shape id="文本框 283" o:spid="_x0000_s1026" o:spt="202" type="#_x0000_t202" style="position:absolute;left:0pt;margin-left:279.25pt;margin-top:1.05pt;height:25.3pt;width:184.15pt;z-index:251660288;mso-width-relative:page;mso-height-relative:page;" fillcolor="#FFFFFF" filled="t" stroked="f" coordsize="21600,21600" o:gfxdata="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HVEf2QAA&#10;AAgBAAAPAAAAAAAAAAEAIAAAACIAAABkcnMvZG93bnJldi54bWxQSwECFAAUAAAACACHTuJA4kel&#10;RR0CAAA9BAAADgAAAAAAAAABACAAAAAoAQAAZHJzL2Uyb0RvYy54bWxQSwUGAAAAAAYABgBZAQAA&#10;twUAAAAA&#10;">
                <v:fill type="gradient" on="t" color2="#FFFFFF" angle="90" focus="100%" focussize="0f,0f" focusposition="0f,0f">
                  <o:fill type="gradientUnscaled" v:ext="backwardCompatible"/>
                </v:fill>
                <v:stroke on="f" weight="1.25pt"/>
                <v:imagedata o:title=""/>
                <o:lock v:ext="edit" aspectratio="f"/>
                <v:textbox>
                  <w:txbxContent>
                    <w:p>
                      <w:pPr>
                        <w:rPr>
                          <w:rFonts w:hint="default" w:eastAsia="宋体"/>
                          <w:lang w:val="en-US" w:eastAsia="zh-CN"/>
                        </w:rPr>
                      </w:pPr>
                      <w:r>
                        <w:rPr>
                          <w:rFonts w:hint="eastAsia"/>
                          <w:lang w:val="en-US" w:eastAsia="zh-CN"/>
                        </w:rPr>
                        <w:t>申报绿色建筑区域总平面位置示意图</w:t>
                      </w:r>
                    </w:p>
                  </w:txbxContent>
                </v:textbox>
              </v:shape>
            </w:pict>
          </mc:Fallback>
        </mc:AlternateContent>
      </w:r>
      <w:r>
        <w:rPr>
          <w:rFonts w:hint="eastAsia" w:ascii="宋体" w:hAnsi="宋体" w:eastAsia="宋体" w:cs="宋体"/>
          <w:sz w:val="28"/>
          <w:szCs w:val="28"/>
        </w:rPr>
        <w:t>项目建筑面积</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rPr>
      </w:pPr>
      <w:r>
        <w:rPr>
          <w:rFonts w:hint="eastAsia" w:ascii="宋体" w:hAnsi="宋体" w:eastAsia="宋体" w:cs="宋体"/>
          <w:sz w:val="28"/>
          <w:szCs w:val="28"/>
        </w:rPr>
        <w:t>绿色建筑建设目标</w:t>
      </w:r>
      <w:r>
        <w:rPr>
          <w:rFonts w:hint="eastAsia" w:ascii="宋体" w:hAnsi="宋体" w:eastAsia="宋体" w:cs="宋体"/>
          <w:sz w:val="28"/>
          <w:szCs w:val="28"/>
          <w:lang w:eastAsia="zh-CN"/>
        </w:rPr>
        <w:t>：</w:t>
      </w:r>
      <w:r>
        <w:rPr>
          <w:rFonts w:hint="eastAsia" w:ascii="宋体" w:hAnsi="宋体" w:eastAsia="宋体" w:cs="宋体"/>
          <w:sz w:val="28"/>
          <w:szCs w:val="28"/>
          <w:lang w:eastAsia="zh-CN"/>
        </w:rPr>
        <w:sym w:font="Wingdings" w:char="00A8"/>
      </w:r>
      <w:r>
        <w:rPr>
          <w:rFonts w:hint="eastAsia" w:ascii="宋体" w:hAnsi="宋体" w:eastAsia="宋体" w:cs="宋体"/>
          <w:sz w:val="28"/>
          <w:szCs w:val="28"/>
        </w:rPr>
        <w:t>基本级</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lang w:val="en-US" w:eastAsia="zh-CN"/>
        </w:rPr>
        <w:t>一</w:t>
      </w:r>
      <w:r>
        <w:rPr>
          <w:rFonts w:hint="eastAsia" w:ascii="宋体" w:hAnsi="宋体" w:eastAsia="宋体" w:cs="宋体"/>
          <w:sz w:val="28"/>
          <w:szCs w:val="28"/>
        </w:rPr>
        <w:t>星级</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lang w:val="en-US" w:eastAsia="zh-CN"/>
        </w:rPr>
        <w:t>二</w:t>
      </w:r>
      <w:r>
        <w:rPr>
          <w:rFonts w:hint="eastAsia" w:ascii="宋体" w:hAnsi="宋体" w:eastAsia="宋体" w:cs="宋体"/>
          <w:sz w:val="28"/>
          <w:szCs w:val="28"/>
        </w:rPr>
        <w:t>星级</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rPr>
        <w:t>三星级</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二、关键性指数指标及要求</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Times New Roman" w:cs="宋体"/>
          <w:b/>
          <w:bCs/>
          <w:sz w:val="28"/>
          <w:szCs w:val="28"/>
          <w:lang w:val="en-US" w:eastAsia="zh-CN"/>
        </w:rPr>
        <w:t>1</w:t>
      </w:r>
      <w:r>
        <w:rPr>
          <w:rFonts w:hint="eastAsia" w:ascii="宋体" w:hAnsi="宋体" w:eastAsia="宋体" w:cs="宋体"/>
          <w:b/>
          <w:bCs/>
          <w:sz w:val="28"/>
          <w:szCs w:val="28"/>
          <w:lang w:val="en-US" w:eastAsia="zh-CN"/>
        </w:rPr>
        <w:t>、关键性指标</w:t>
      </w:r>
    </w:p>
    <w:p>
      <w:pPr>
        <w:numPr>
          <w:ilvl w:val="0"/>
          <w:numId w:val="0"/>
        </w:numPr>
        <w:ind w:leftChars="0"/>
        <w:rPr>
          <w:rFonts w:hint="eastAsia" w:ascii="宋体" w:hAnsi="宋体" w:eastAsia="宋体" w:cs="宋体"/>
          <w:b/>
          <w:bCs/>
          <w:sz w:val="28"/>
          <w:szCs w:val="28"/>
          <w:lang w:eastAsia="zh-CN"/>
        </w:rPr>
      </w:pPr>
      <w:r>
        <w:rPr>
          <w:rFonts w:hint="eastAsia" w:ascii="宋体" w:hAnsi="宋体" w:eastAsia="宋体" w:cs="宋体"/>
          <w:b/>
          <w:bCs/>
          <w:sz w:val="28"/>
          <w:szCs w:val="28"/>
        </w:rPr>
        <w:t>建筑专业</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1</w:t>
      </w:r>
      <w:r>
        <w:rPr>
          <w:rFonts w:hint="eastAsia" w:ascii="宋体" w:hAnsi="宋体" w:eastAsia="宋体" w:cs="宋体"/>
          <w:sz w:val="28"/>
          <w:szCs w:val="28"/>
          <w:lang w:val="en-US" w:eastAsia="zh-CN"/>
        </w:rPr>
        <w:t>）围</w:t>
      </w:r>
      <w:r>
        <w:rPr>
          <w:rFonts w:hint="eastAsia" w:ascii="宋体" w:hAnsi="宋体" w:eastAsia="宋体" w:cs="宋体"/>
          <w:sz w:val="28"/>
          <w:szCs w:val="28"/>
        </w:rPr>
        <w:t>护结构热工性能的提高比例为</w:t>
      </w:r>
      <w:r>
        <w:rPr>
          <w:rFonts w:hint="eastAsia" w:ascii="宋体" w:hAnsi="宋体" w:eastAsia="宋体" w:cs="宋体"/>
          <w:sz w:val="28"/>
          <w:szCs w:val="28"/>
          <w:lang w:val="en-US" w:eastAsia="zh-CN"/>
        </w:rPr>
        <w:t>___</w:t>
      </w:r>
      <w:r>
        <w:rPr>
          <w:rFonts w:hint="eastAsia" w:ascii="宋体" w:hAnsi="宋体" w:cs="宋体"/>
          <w:sz w:val="28"/>
          <w:szCs w:val="28"/>
          <w:lang w:eastAsia="zh-CN"/>
        </w:rPr>
        <w:t>，</w:t>
      </w:r>
      <w:r>
        <w:rPr>
          <w:rFonts w:hint="eastAsia" w:ascii="宋体" w:hAnsi="宋体" w:eastAsia="宋体" w:cs="宋体"/>
          <w:sz w:val="28"/>
          <w:szCs w:val="28"/>
        </w:rPr>
        <w:t>或建筑供暖空调负荷降低比例为</w:t>
      </w:r>
      <w:r>
        <w:rPr>
          <w:rFonts w:hint="eastAsia" w:ascii="宋体" w:hAnsi="宋体" w:eastAsia="宋体" w:cs="宋体"/>
          <w:sz w:val="28"/>
          <w:szCs w:val="28"/>
          <w:lang w:val="en-US" w:eastAsia="zh-CN"/>
        </w:rPr>
        <w:t>___</w:t>
      </w:r>
      <w:r>
        <w:rPr>
          <w:rFonts w:hint="eastAsia" w:ascii="宋体" w:hAnsi="宋体" w:cs="宋体"/>
          <w:sz w:val="28"/>
          <w:szCs w:val="28"/>
          <w:lang w:val="en-US" w:eastAsia="zh-CN"/>
        </w:rPr>
        <w:t>；</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外墙保温形式：</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平均传热系数：东</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西</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北</w:t>
      </w:r>
      <w:r>
        <w:rPr>
          <w:rFonts w:hint="eastAsia" w:ascii="宋体" w:hAnsi="宋体" w:eastAsia="宋体" w:cs="宋体"/>
          <w:sz w:val="28"/>
          <w:szCs w:val="28"/>
          <w:u w:val="single"/>
          <w:lang w:val="en-US" w:eastAsia="zh-CN"/>
        </w:rPr>
        <w:t xml:space="preserve">    </w:t>
      </w:r>
      <w:r>
        <w:rPr>
          <w:rFonts w:hint="eastAsia" w:ascii="宋体" w:hAnsi="宋体" w:cs="宋体"/>
          <w:sz w:val="28"/>
          <w:szCs w:val="28"/>
          <w:lang w:val="en-US" w:eastAsia="zh-CN"/>
        </w:rPr>
        <w:t>；</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屋面保温形式：</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eastAsia" w:ascii="宋体" w:hAnsi="宋体" w:eastAsia="宋体" w:cs="宋体"/>
          <w:sz w:val="28"/>
          <w:szCs w:val="28"/>
          <w:lang w:val="en-US" w:eastAsia="zh-CN"/>
        </w:rPr>
        <w:t>平均传热系数：</w:t>
      </w:r>
      <w:r>
        <w:rPr>
          <w:rFonts w:hint="eastAsia" w:ascii="宋体" w:hAnsi="宋体" w:eastAsia="宋体" w:cs="宋体"/>
          <w:sz w:val="28"/>
          <w:szCs w:val="28"/>
          <w:u w:val="single"/>
          <w:lang w:val="en-US" w:eastAsia="zh-CN"/>
        </w:rPr>
        <w:t xml:space="preserve">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Times New Roman"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住宅建筑室外与卧室</w:t>
      </w:r>
      <w:r>
        <w:rPr>
          <w:rFonts w:hint="eastAsia" w:ascii="宋体" w:hAnsi="宋体" w:eastAsia="宋体" w:cs="宋体"/>
          <w:sz w:val="28"/>
          <w:szCs w:val="28"/>
          <w:lang w:val="en-US" w:eastAsia="zh-CN"/>
        </w:rPr>
        <w:t>之间</w:t>
      </w:r>
      <w:r>
        <w:rPr>
          <w:rFonts w:hint="eastAsia" w:ascii="宋体" w:hAnsi="宋体" w:eastAsia="宋体" w:cs="宋体"/>
          <w:sz w:val="28"/>
          <w:szCs w:val="28"/>
        </w:rPr>
        <w:t>的空气声隔声性能为</w:t>
      </w:r>
      <w:r>
        <w:rPr>
          <w:rFonts w:hint="eastAsia" w:ascii="宋体" w:hAnsi="宋体" w:eastAsia="宋体" w:cs="宋体"/>
          <w:sz w:val="28"/>
          <w:szCs w:val="28"/>
          <w:lang w:val="en-US" w:eastAsia="zh-CN"/>
        </w:rPr>
        <w:t>___</w:t>
      </w:r>
      <w:r>
        <w:rPr>
          <w:rFonts w:hint="eastAsia" w:ascii="宋体" w:hAnsi="宋体" w:cs="宋体"/>
          <w:sz w:val="28"/>
          <w:szCs w:val="28"/>
          <w:lang w:eastAsia="zh-CN"/>
        </w:rPr>
        <w:t>；</w:t>
      </w:r>
      <w:r>
        <w:rPr>
          <w:rFonts w:hint="eastAsia" w:ascii="宋体" w:hAnsi="宋体" w:eastAsia="宋体" w:cs="宋体"/>
          <w:sz w:val="28"/>
          <w:szCs w:val="28"/>
        </w:rPr>
        <w:t>分户墙</w:t>
      </w:r>
      <w:r>
        <w:rPr>
          <w:rFonts w:hint="eastAsia" w:ascii="宋体" w:hAnsi="宋体" w:eastAsia="宋体" w:cs="宋体"/>
          <w:sz w:val="28"/>
          <w:szCs w:val="28"/>
          <w:lang w:val="en-US" w:eastAsia="zh-CN"/>
        </w:rPr>
        <w:t>两侧</w:t>
      </w:r>
      <w:r>
        <w:rPr>
          <w:rFonts w:hint="eastAsia" w:ascii="宋体" w:hAnsi="宋体" w:eastAsia="宋体" w:cs="宋体"/>
          <w:sz w:val="28"/>
          <w:szCs w:val="28"/>
        </w:rPr>
        <w:t>卧室之间的空气声隔声性能为</w:t>
      </w:r>
      <w:r>
        <w:rPr>
          <w:rFonts w:hint="eastAsia" w:ascii="宋体" w:hAnsi="宋体" w:eastAsia="宋体" w:cs="宋体"/>
          <w:sz w:val="28"/>
          <w:szCs w:val="28"/>
          <w:lang w:val="en-US" w:eastAsia="zh-CN"/>
        </w:rPr>
        <w:t>___</w:t>
      </w:r>
      <w:r>
        <w:rPr>
          <w:rFonts w:hint="eastAsia" w:ascii="宋体" w:hAnsi="宋体" w:cs="宋体"/>
          <w:sz w:val="28"/>
          <w:szCs w:val="28"/>
          <w:lang w:val="en-US" w:eastAsia="zh-CN"/>
        </w:rPr>
        <w:t>；</w:t>
      </w:r>
      <w:r>
        <w:rPr>
          <w:rFonts w:hint="eastAsia" w:ascii="宋体" w:hAnsi="宋体" w:eastAsia="宋体" w:cs="宋体"/>
          <w:sz w:val="28"/>
          <w:szCs w:val="28"/>
        </w:rPr>
        <w:t>分户楼板</w:t>
      </w:r>
      <w:r>
        <w:rPr>
          <w:rFonts w:hint="eastAsia" w:ascii="宋体" w:hAnsi="宋体" w:eastAsia="宋体" w:cs="宋体"/>
          <w:sz w:val="28"/>
          <w:szCs w:val="28"/>
          <w:lang w:val="en-US" w:eastAsia="zh-CN"/>
        </w:rPr>
        <w:t>两侧卧室之间</w:t>
      </w:r>
      <w:r>
        <w:rPr>
          <w:rFonts w:hint="eastAsia" w:ascii="宋体" w:hAnsi="宋体" w:eastAsia="宋体" w:cs="宋体"/>
          <w:sz w:val="28"/>
          <w:szCs w:val="28"/>
        </w:rPr>
        <w:t>的空气声隔声性能为</w:t>
      </w:r>
      <w:r>
        <w:rPr>
          <w:rFonts w:hint="eastAsia" w:ascii="宋体" w:hAnsi="宋体" w:eastAsia="宋体" w:cs="宋体"/>
          <w:sz w:val="28"/>
          <w:szCs w:val="28"/>
          <w:lang w:val="en-US" w:eastAsia="zh-CN"/>
        </w:rPr>
        <w:t>___</w:t>
      </w:r>
      <w:r>
        <w:rPr>
          <w:rFonts w:hint="eastAsia" w:ascii="宋体" w:hAnsi="宋体" w:cs="宋体"/>
          <w:sz w:val="28"/>
          <w:szCs w:val="28"/>
          <w:lang w:val="en-US" w:eastAsia="zh-CN"/>
        </w:rPr>
        <w:t>；</w:t>
      </w:r>
      <w:r>
        <w:rPr>
          <w:rFonts w:hint="eastAsia" w:ascii="宋体" w:hAnsi="宋体" w:eastAsia="宋体" w:cs="宋体"/>
          <w:sz w:val="28"/>
          <w:szCs w:val="28"/>
        </w:rPr>
        <w:t>楼板的</w:t>
      </w:r>
      <w:r>
        <w:rPr>
          <w:rFonts w:hint="eastAsia" w:ascii="宋体" w:hAnsi="宋体" w:eastAsia="宋体" w:cs="宋体"/>
          <w:sz w:val="28"/>
          <w:szCs w:val="28"/>
          <w:lang w:val="en-US" w:eastAsia="zh-CN"/>
        </w:rPr>
        <w:t>撞击</w:t>
      </w:r>
      <w:r>
        <w:rPr>
          <w:rFonts w:hint="eastAsia" w:ascii="宋体" w:hAnsi="宋体" w:eastAsia="宋体" w:cs="宋体"/>
          <w:sz w:val="28"/>
          <w:szCs w:val="28"/>
        </w:rPr>
        <w:t>声隔声性能为</w:t>
      </w:r>
      <w:r>
        <w:rPr>
          <w:rFonts w:hint="eastAsia" w:ascii="宋体" w:hAnsi="宋体" w:eastAsia="宋体" w:cs="宋体"/>
          <w:sz w:val="28"/>
          <w:szCs w:val="28"/>
          <w:lang w:val="en-US" w:eastAsia="zh-CN"/>
        </w:rPr>
        <w:t>___。</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Times New Roman"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外窗气密性能为</w:t>
      </w:r>
      <w:r>
        <w:rPr>
          <w:rFonts w:hint="eastAsia" w:ascii="宋体" w:hAnsi="宋体" w:eastAsia="宋体" w:cs="宋体"/>
          <w:sz w:val="28"/>
          <w:szCs w:val="28"/>
          <w:lang w:val="en-US" w:eastAsia="zh-CN"/>
        </w:rPr>
        <w:t>____</w:t>
      </w:r>
      <w:r>
        <w:rPr>
          <w:rFonts w:hint="eastAsia" w:ascii="宋体" w:hAnsi="宋体" w:eastAsia="宋体" w:cs="宋体"/>
          <w:sz w:val="28"/>
          <w:szCs w:val="28"/>
        </w:rPr>
        <w:t>级</w:t>
      </w:r>
      <w:r>
        <w:rPr>
          <w:rFonts w:hint="eastAsia" w:ascii="宋体" w:hAnsi="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Times New Roman"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装修</w:t>
      </w:r>
      <w:r>
        <w:rPr>
          <w:rFonts w:hint="eastAsia" w:ascii="宋体" w:hAnsi="宋体" w:eastAsia="宋体" w:cs="宋体"/>
          <w:sz w:val="28"/>
          <w:szCs w:val="28"/>
          <w:lang w:val="en-US" w:eastAsia="zh-CN"/>
        </w:rPr>
        <w:t>区域</w:t>
      </w:r>
      <w:r>
        <w:rPr>
          <w:rFonts w:hint="eastAsia" w:ascii="宋体" w:hAnsi="宋体" w:eastAsia="宋体" w:cs="宋体"/>
          <w:sz w:val="28"/>
          <w:szCs w:val="28"/>
        </w:rPr>
        <w:t>，公共建筑</w:t>
      </w:r>
      <w:r>
        <w:rPr>
          <w:rFonts w:hint="eastAsia" w:ascii="宋体" w:hAnsi="宋体" w:eastAsia="宋体" w:cs="宋体"/>
          <w:sz w:val="28"/>
          <w:szCs w:val="28"/>
          <w:lang w:val="en-US" w:eastAsia="zh-CN"/>
        </w:rPr>
        <w:t>___</w:t>
      </w:r>
      <w:r>
        <w:rPr>
          <w:rFonts w:hint="eastAsia" w:ascii="宋体" w:hAnsi="宋体" w:eastAsia="宋体" w:cs="宋体"/>
          <w:sz w:val="28"/>
          <w:szCs w:val="28"/>
        </w:rPr>
        <w:t>，居住建筑</w:t>
      </w:r>
      <w:r>
        <w:rPr>
          <w:rFonts w:hint="eastAsia" w:ascii="宋体" w:hAnsi="宋体" w:eastAsia="宋体" w:cs="宋体"/>
          <w:sz w:val="28"/>
          <w:szCs w:val="28"/>
          <w:lang w:val="en-US" w:eastAsia="zh-CN"/>
        </w:rPr>
        <w:t>______。</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eastAsia="宋体" w:cs="宋体"/>
          <w:sz w:val="28"/>
          <w:szCs w:val="28"/>
        </w:rPr>
        <w:t>室内主要空气</w:t>
      </w:r>
      <w:r>
        <w:rPr>
          <w:rFonts w:hint="eastAsia" w:ascii="宋体" w:hAnsi="宋体" w:eastAsia="宋体" w:cs="宋体"/>
          <w:sz w:val="28"/>
          <w:szCs w:val="28"/>
          <w:lang w:val="en-US" w:eastAsia="zh-CN"/>
        </w:rPr>
        <w:t>污染</w:t>
      </w:r>
      <w:r>
        <w:rPr>
          <w:rFonts w:hint="eastAsia" w:ascii="宋体" w:hAnsi="宋体" w:eastAsia="宋体" w:cs="宋体"/>
          <w:sz w:val="28"/>
          <w:szCs w:val="28"/>
        </w:rPr>
        <w:t>物</w:t>
      </w:r>
      <w:r>
        <w:rPr>
          <w:rFonts w:hint="eastAsia" w:ascii="宋体" w:hAnsi="宋体" w:eastAsia="宋体" w:cs="宋体"/>
          <w:sz w:val="28"/>
          <w:szCs w:val="28"/>
          <w:lang w:val="en-US" w:eastAsia="zh-CN"/>
        </w:rPr>
        <w:t>浓度降低</w:t>
      </w:r>
      <w:r>
        <w:rPr>
          <w:rFonts w:hint="eastAsia" w:ascii="宋体" w:hAnsi="宋体" w:eastAsia="宋体" w:cs="宋体"/>
          <w:sz w:val="28"/>
          <w:szCs w:val="28"/>
        </w:rPr>
        <w:t>比例为</w:t>
      </w:r>
      <w:r>
        <w:rPr>
          <w:rFonts w:hint="eastAsia" w:ascii="宋体" w:hAnsi="宋体" w:eastAsia="宋体" w:cs="宋体"/>
          <w:sz w:val="28"/>
          <w:szCs w:val="28"/>
          <w:lang w:val="en-US" w:eastAsia="zh-CN"/>
        </w:rPr>
        <w:t>___。</w:t>
      </w:r>
    </w:p>
    <w:p>
      <w:pPr>
        <w:rPr>
          <w:rFonts w:hint="eastAsia" w:ascii="宋体" w:hAnsi="宋体" w:eastAsia="宋体" w:cs="宋体"/>
          <w:b/>
          <w:bCs/>
          <w:sz w:val="28"/>
          <w:szCs w:val="28"/>
          <w:lang w:eastAsia="zh-CN"/>
        </w:rPr>
      </w:pPr>
      <w:r>
        <w:rPr>
          <w:rFonts w:hint="eastAsia" w:ascii="宋体" w:hAnsi="宋体" w:eastAsia="宋体" w:cs="宋体"/>
          <w:b/>
          <w:bCs/>
          <w:sz w:val="28"/>
          <w:szCs w:val="28"/>
        </w:rPr>
        <w:t>给排水专业</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节水器具用水效率等级为</w:t>
      </w:r>
      <w:r>
        <w:rPr>
          <w:rFonts w:hint="eastAsia" w:ascii="宋体" w:hAnsi="宋体" w:eastAsia="宋体" w:cs="宋体"/>
          <w:sz w:val="28"/>
          <w:szCs w:val="28"/>
          <w:lang w:val="en-US" w:eastAsia="zh-CN"/>
        </w:rPr>
        <w:t>____</w:t>
      </w:r>
      <w:r>
        <w:rPr>
          <w:rFonts w:hint="eastAsia" w:ascii="宋体" w:hAnsi="宋体" w:eastAsia="宋体" w:cs="宋体"/>
          <w:sz w:val="28"/>
          <w:szCs w:val="28"/>
        </w:rPr>
        <w:t>级</w:t>
      </w:r>
      <w:r>
        <w:rPr>
          <w:rFonts w:hint="eastAsia" w:ascii="宋体" w:hAnsi="宋体" w:cs="宋体"/>
          <w:sz w:val="28"/>
          <w:szCs w:val="28"/>
          <w:lang w:eastAsia="zh-CN"/>
        </w:rPr>
        <w:t>。</w:t>
      </w:r>
    </w:p>
    <w:p>
      <w:pPr>
        <w:numPr>
          <w:ilvl w:val="0"/>
          <w:numId w:val="0"/>
        </w:numPr>
        <w:rPr>
          <w:rFonts w:hint="eastAsia" w:ascii="宋体" w:hAnsi="宋体" w:eastAsia="宋体" w:cs="宋体"/>
          <w:b/>
          <w:bCs/>
          <w:sz w:val="28"/>
          <w:szCs w:val="28"/>
          <w:lang w:val="en-US" w:eastAsia="zh-CN"/>
        </w:rPr>
      </w:pPr>
      <w:r>
        <w:rPr>
          <w:rFonts w:hint="eastAsia" w:ascii="宋体" w:hAnsi="宋体" w:eastAsia="Times New Roman" w:cs="宋体"/>
          <w:b/>
          <w:bCs/>
          <w:sz w:val="28"/>
          <w:szCs w:val="28"/>
          <w:lang w:val="en-US" w:eastAsia="zh-CN"/>
        </w:rPr>
        <w:t>2</w:t>
      </w:r>
      <w:r>
        <w:rPr>
          <w:rFonts w:hint="eastAsia" w:ascii="宋体" w:hAnsi="宋体" w:eastAsia="宋体" w:cs="宋体"/>
          <w:b/>
          <w:bCs/>
          <w:sz w:val="28"/>
          <w:szCs w:val="28"/>
          <w:lang w:val="en-US" w:eastAsia="zh-CN"/>
        </w:rPr>
        <w:t>、星级绿色建筑技术要求</w:t>
      </w:r>
    </w:p>
    <w:p>
      <w:pPr>
        <w:spacing w:before="123"/>
        <w:ind w:left="4" w:leftChars="0" w:right="0" w:hanging="4" w:firstLineChars="0"/>
        <w:jc w:val="center"/>
        <w:rPr>
          <w:rFonts w:hint="eastAsia" w:ascii="宋体" w:hAnsi="宋体" w:eastAsia="宋体" w:cs="宋体"/>
          <w:sz w:val="28"/>
          <w:szCs w:val="28"/>
          <w:lang w:val="en-US" w:eastAsia="zh-CN"/>
        </w:rPr>
      </w:pPr>
      <w:r>
        <w:rPr>
          <w:rFonts w:hint="eastAsia" w:ascii="宋体" w:hAnsi="宋体" w:eastAsia="宋体" w:cs="宋体"/>
          <w:b/>
          <w:bCs/>
          <w:sz w:val="24"/>
          <w:szCs w:val="24"/>
        </w:rPr>
        <w:t>星级绿色建筑的技术要求</w:t>
      </w:r>
      <w:r>
        <w:rPr>
          <w:rFonts w:hint="eastAsia" w:ascii="宋体" w:hAnsi="宋体" w:cs="宋体"/>
          <w:b/>
          <w:bCs/>
          <w:sz w:val="24"/>
          <w:szCs w:val="24"/>
          <w:lang w:val="en-US" w:eastAsia="zh-CN"/>
        </w:rPr>
        <w:t>表</w:t>
      </w:r>
    </w:p>
    <w:tbl>
      <w:tblPr>
        <w:tblStyle w:val="20"/>
        <w:tblW w:w="0" w:type="auto"/>
        <w:tblInd w:w="14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027"/>
        <w:gridCol w:w="1320"/>
        <w:gridCol w:w="2085"/>
        <w:gridCol w:w="2010"/>
        <w:gridCol w:w="12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027" w:type="dxa"/>
            <w:tcBorders>
              <w:tl2br w:val="nil"/>
              <w:tr2bl w:val="nil"/>
            </w:tcBorders>
            <w:noWrap w:val="0"/>
            <w:vAlign w:val="center"/>
          </w:tcPr>
          <w:p>
            <w:pPr>
              <w:pStyle w:val="42"/>
              <w:jc w:val="center"/>
              <w:rPr>
                <w:rFonts w:hint="eastAsia" w:ascii="宋体" w:hAnsi="宋体" w:eastAsia="宋体" w:cs="宋体"/>
                <w:sz w:val="21"/>
                <w:szCs w:val="21"/>
              </w:rPr>
            </w:pPr>
          </w:p>
        </w:tc>
        <w:tc>
          <w:tcPr>
            <w:tcW w:w="1320" w:type="dxa"/>
            <w:tcBorders>
              <w:tl2br w:val="nil"/>
              <w:tr2bl w:val="nil"/>
            </w:tcBorders>
            <w:noWrap w:val="0"/>
            <w:vAlign w:val="center"/>
          </w:tcPr>
          <w:p>
            <w:pPr>
              <w:pStyle w:val="42"/>
              <w:spacing w:before="58"/>
              <w:ind w:left="172" w:right="161"/>
              <w:jc w:val="center"/>
              <w:rPr>
                <w:rFonts w:hint="eastAsia" w:ascii="宋体" w:hAnsi="宋体" w:eastAsia="宋体" w:cs="宋体"/>
                <w:sz w:val="21"/>
                <w:szCs w:val="21"/>
              </w:rPr>
            </w:pPr>
            <w:r>
              <w:rPr>
                <w:rFonts w:hint="eastAsia" w:ascii="宋体" w:hAnsi="宋体" w:eastAsia="宋体" w:cs="宋体"/>
                <w:sz w:val="21"/>
                <w:szCs w:val="21"/>
              </w:rPr>
              <w:t>一星级</w:t>
            </w:r>
          </w:p>
        </w:tc>
        <w:tc>
          <w:tcPr>
            <w:tcW w:w="2085" w:type="dxa"/>
            <w:tcBorders>
              <w:tl2br w:val="nil"/>
              <w:tr2bl w:val="nil"/>
            </w:tcBorders>
            <w:noWrap w:val="0"/>
            <w:vAlign w:val="center"/>
          </w:tcPr>
          <w:p>
            <w:pPr>
              <w:pStyle w:val="42"/>
              <w:spacing w:before="58"/>
              <w:ind w:left="46" w:right="46"/>
              <w:jc w:val="center"/>
              <w:rPr>
                <w:rFonts w:hint="eastAsia" w:ascii="宋体" w:hAnsi="宋体" w:eastAsia="宋体" w:cs="宋体"/>
                <w:sz w:val="21"/>
                <w:szCs w:val="21"/>
              </w:rPr>
            </w:pPr>
            <w:r>
              <w:rPr>
                <w:rFonts w:hint="eastAsia" w:ascii="宋体" w:hAnsi="宋体" w:eastAsia="宋体" w:cs="宋体"/>
                <w:sz w:val="21"/>
                <w:szCs w:val="21"/>
              </w:rPr>
              <w:t>二星级</w:t>
            </w:r>
          </w:p>
        </w:tc>
        <w:tc>
          <w:tcPr>
            <w:tcW w:w="2010" w:type="dxa"/>
            <w:tcBorders>
              <w:tl2br w:val="nil"/>
              <w:tr2bl w:val="nil"/>
            </w:tcBorders>
            <w:noWrap w:val="0"/>
            <w:vAlign w:val="center"/>
          </w:tcPr>
          <w:p>
            <w:pPr>
              <w:pStyle w:val="42"/>
              <w:spacing w:before="58"/>
              <w:ind w:left="46" w:right="46"/>
              <w:jc w:val="center"/>
              <w:rPr>
                <w:rFonts w:hint="eastAsia" w:ascii="宋体" w:hAnsi="宋体" w:eastAsia="宋体" w:cs="宋体"/>
                <w:sz w:val="21"/>
                <w:szCs w:val="21"/>
              </w:rPr>
            </w:pPr>
            <w:r>
              <w:rPr>
                <w:rFonts w:hint="eastAsia" w:ascii="宋体" w:hAnsi="宋体" w:eastAsia="宋体" w:cs="宋体"/>
                <w:sz w:val="21"/>
                <w:szCs w:val="21"/>
              </w:rPr>
              <w:t>三星级</w:t>
            </w:r>
          </w:p>
        </w:tc>
        <w:tc>
          <w:tcPr>
            <w:tcW w:w="1246" w:type="dxa"/>
            <w:tcBorders>
              <w:tl2br w:val="nil"/>
              <w:tr2bl w:val="nil"/>
            </w:tcBorders>
            <w:noWrap w:val="0"/>
            <w:vAlign w:val="center"/>
          </w:tcPr>
          <w:p>
            <w:pPr>
              <w:pStyle w:val="42"/>
              <w:spacing w:before="58"/>
              <w:ind w:left="46" w:right="46"/>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本项目指标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027" w:type="dxa"/>
            <w:tcBorders>
              <w:tl2br w:val="nil"/>
              <w:tr2bl w:val="nil"/>
            </w:tcBorders>
            <w:noWrap w:val="0"/>
            <w:vAlign w:val="center"/>
          </w:tcPr>
          <w:p>
            <w:pPr>
              <w:pStyle w:val="42"/>
              <w:spacing w:line="260" w:lineRule="atLeast"/>
              <w:ind w:firstLine="210"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围护结构热工性能</w:t>
            </w:r>
          </w:p>
          <w:p>
            <w:pPr>
              <w:pStyle w:val="42"/>
              <w:spacing w:line="260" w:lineRule="atLeast"/>
              <w:ind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的提高比例，或建筑</w:t>
            </w:r>
          </w:p>
          <w:p>
            <w:pPr>
              <w:pStyle w:val="42"/>
              <w:spacing w:line="260" w:lineRule="atLeast"/>
              <w:ind w:firstLine="0" w:firstLineChars="0"/>
              <w:jc w:val="both"/>
              <w:rPr>
                <w:rFonts w:hint="eastAsia" w:ascii="宋体" w:hAnsi="宋体" w:eastAsia="宋体" w:cs="宋体"/>
                <w:sz w:val="21"/>
                <w:szCs w:val="21"/>
              </w:rPr>
            </w:pPr>
            <w:r>
              <w:rPr>
                <w:rFonts w:hint="eastAsia" w:ascii="宋体" w:hAnsi="宋体" w:eastAsia="宋体" w:cs="宋体"/>
                <w:spacing w:val="0"/>
                <w:sz w:val="21"/>
                <w:szCs w:val="21"/>
              </w:rPr>
              <w:t>供暖空调负荷降低比例</w:t>
            </w:r>
          </w:p>
        </w:tc>
        <w:tc>
          <w:tcPr>
            <w:tcW w:w="1320" w:type="dxa"/>
            <w:tcBorders>
              <w:tl2br w:val="nil"/>
              <w:tr2bl w:val="nil"/>
            </w:tcBorders>
            <w:noWrap w:val="0"/>
            <w:vAlign w:val="center"/>
          </w:tcPr>
          <w:p>
            <w:pPr>
              <w:spacing w:line="240" w:lineRule="auto"/>
              <w:ind w:left="0" w:leftChars="0" w:right="0" w:rightChars="0" w:firstLine="210" w:firstLineChars="100"/>
              <w:jc w:val="left"/>
              <w:outlineLvl w:val="9"/>
              <w:rPr>
                <w:rFonts w:hint="eastAsia" w:ascii="宋体" w:hAnsi="宋体" w:eastAsia="宋体" w:cs="宋体"/>
                <w:sz w:val="21"/>
                <w:szCs w:val="21"/>
              </w:rPr>
            </w:pPr>
            <w:r>
              <w:rPr>
                <w:rFonts w:hint="eastAsia" w:ascii="宋体" w:hAnsi="宋体" w:eastAsia="宋体" w:cs="宋体"/>
                <w:spacing w:val="0"/>
                <w:sz w:val="21"/>
                <w:szCs w:val="21"/>
              </w:rPr>
              <w:t>围护结构提高</w:t>
            </w:r>
            <w:r>
              <w:rPr>
                <w:rFonts w:hint="eastAsia" w:ascii="宋体" w:hAnsi="宋体" w:eastAsia="Times New Roman" w:cs="宋体"/>
                <w:sz w:val="21"/>
                <w:szCs w:val="21"/>
              </w:rPr>
              <w:t>5</w:t>
            </w:r>
            <w:r>
              <w:rPr>
                <w:rFonts w:hint="eastAsia" w:ascii="宋体" w:hAnsi="宋体" w:cs="宋体"/>
                <w:sz w:val="21"/>
                <w:szCs w:val="21"/>
                <w:lang w:val="en-US" w:eastAsia="zh-CN"/>
              </w:rPr>
              <w:t>%</w:t>
            </w:r>
            <w:r>
              <w:rPr>
                <w:rFonts w:hint="eastAsia" w:ascii="宋体" w:hAnsi="宋体" w:eastAsia="宋体" w:cs="宋体"/>
                <w:spacing w:val="0"/>
                <w:sz w:val="21"/>
                <w:szCs w:val="21"/>
              </w:rPr>
              <w:t>，或负荷降低</w:t>
            </w:r>
            <w:r>
              <w:rPr>
                <w:rFonts w:hint="eastAsia" w:ascii="宋体" w:hAnsi="宋体" w:cs="宋体"/>
                <w:spacing w:val="0"/>
                <w:sz w:val="21"/>
                <w:szCs w:val="21"/>
                <w:lang w:val="en-US" w:eastAsia="zh-CN"/>
              </w:rPr>
              <w:t xml:space="preserve"> </w:t>
            </w:r>
            <w:r>
              <w:rPr>
                <w:rFonts w:hint="eastAsia" w:ascii="宋体" w:hAnsi="宋体" w:eastAsia="Times New Roman" w:cs="宋体"/>
                <w:sz w:val="21"/>
                <w:szCs w:val="21"/>
              </w:rPr>
              <w:t>5</w:t>
            </w:r>
            <w:r>
              <w:rPr>
                <w:rFonts w:hint="eastAsia" w:ascii="宋体" w:hAnsi="宋体" w:eastAsia="宋体" w:cs="宋体"/>
                <w:sz w:val="21"/>
                <w:szCs w:val="21"/>
              </w:rPr>
              <w:t>%</w:t>
            </w:r>
          </w:p>
        </w:tc>
        <w:tc>
          <w:tcPr>
            <w:tcW w:w="2085" w:type="dxa"/>
            <w:tcBorders>
              <w:tl2br w:val="nil"/>
              <w:tr2bl w:val="nil"/>
            </w:tcBorders>
            <w:noWrap w:val="0"/>
            <w:vAlign w:val="center"/>
          </w:tcPr>
          <w:p>
            <w:pPr>
              <w:pStyle w:val="42"/>
              <w:spacing w:line="240" w:lineRule="auto"/>
              <w:ind w:left="210" w:leftChars="100" w:right="309" w:righ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10</w:t>
            </w:r>
            <w:r>
              <w:rPr>
                <w:rFonts w:hint="eastAsia" w:ascii="宋体" w:hAnsi="宋体" w:eastAsia="宋体" w:cs="宋体"/>
                <w:sz w:val="21"/>
                <w:szCs w:val="21"/>
              </w:rPr>
              <w:t>%，</w:t>
            </w:r>
            <w:r>
              <w:rPr>
                <w:rFonts w:hint="eastAsia" w:ascii="宋体" w:hAnsi="宋体" w:eastAsia="宋体" w:cs="宋体"/>
                <w:spacing w:val="20"/>
                <w:sz w:val="21"/>
                <w:szCs w:val="21"/>
              </w:rPr>
              <w:t>或负荷降低</w:t>
            </w:r>
            <w:r>
              <w:rPr>
                <w:rFonts w:hint="eastAsia" w:ascii="宋体" w:hAnsi="宋体" w:eastAsia="Times New Roman" w:cs="宋体"/>
                <w:sz w:val="21"/>
                <w:szCs w:val="21"/>
              </w:rPr>
              <w:t>10</w:t>
            </w:r>
            <w:r>
              <w:rPr>
                <w:rFonts w:hint="eastAsia" w:ascii="宋体" w:hAnsi="宋体" w:eastAsia="宋体" w:cs="宋体"/>
                <w:sz w:val="21"/>
                <w:szCs w:val="21"/>
              </w:rPr>
              <w:t>%</w:t>
            </w:r>
          </w:p>
        </w:tc>
        <w:tc>
          <w:tcPr>
            <w:tcW w:w="2010" w:type="dxa"/>
            <w:tcBorders>
              <w:tl2br w:val="nil"/>
              <w:tr2bl w:val="nil"/>
            </w:tcBorders>
            <w:noWrap w:val="0"/>
            <w:vAlign w:val="center"/>
          </w:tcPr>
          <w:p>
            <w:pPr>
              <w:pStyle w:val="42"/>
              <w:spacing w:line="240" w:lineRule="auto"/>
              <w:ind w:left="210" w:leftChars="100" w:right="328" w:righ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20</w:t>
            </w:r>
            <w:r>
              <w:rPr>
                <w:rFonts w:hint="eastAsia" w:ascii="宋体" w:hAnsi="宋体" w:eastAsia="宋体" w:cs="宋体"/>
                <w:sz w:val="21"/>
                <w:szCs w:val="21"/>
              </w:rPr>
              <w:t>%，</w:t>
            </w:r>
            <w:r>
              <w:rPr>
                <w:rFonts w:hint="eastAsia" w:ascii="宋体" w:hAnsi="宋体" w:eastAsia="宋体" w:cs="宋体"/>
                <w:spacing w:val="20"/>
                <w:sz w:val="21"/>
                <w:szCs w:val="21"/>
              </w:rPr>
              <w:t>或负荷降低</w:t>
            </w:r>
            <w:r>
              <w:rPr>
                <w:rFonts w:hint="eastAsia" w:ascii="宋体" w:hAnsi="宋体" w:eastAsia="Times New Roman" w:cs="宋体"/>
                <w:sz w:val="21"/>
                <w:szCs w:val="21"/>
              </w:rPr>
              <w:t>15</w:t>
            </w:r>
            <w:r>
              <w:rPr>
                <w:rFonts w:hint="eastAsia" w:ascii="宋体" w:hAnsi="宋体" w:eastAsia="宋体" w:cs="宋体"/>
                <w:sz w:val="21"/>
                <w:szCs w:val="21"/>
              </w:rPr>
              <w:t>%</w:t>
            </w:r>
          </w:p>
        </w:tc>
        <w:tc>
          <w:tcPr>
            <w:tcW w:w="1246" w:type="dxa"/>
            <w:tcBorders>
              <w:tl2br w:val="nil"/>
              <w:tr2bl w:val="nil"/>
            </w:tcBorders>
            <w:noWrap w:val="0"/>
            <w:vAlign w:val="center"/>
          </w:tcPr>
          <w:p>
            <w:pPr>
              <w:pStyle w:val="42"/>
              <w:spacing w:line="312" w:lineRule="auto"/>
              <w:ind w:left="9" w:right="328" w:firstLine="28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7" w:type="dxa"/>
            <w:tcBorders>
              <w:tl2br w:val="nil"/>
              <w:tr2bl w:val="nil"/>
            </w:tcBorders>
            <w:noWrap w:val="0"/>
            <w:vAlign w:val="center"/>
          </w:tcPr>
          <w:p>
            <w:pPr>
              <w:pStyle w:val="42"/>
              <w:spacing w:before="44" w:line="260" w:lineRule="atLeast"/>
              <w:ind w:firstLine="210" w:firstLineChars="100"/>
              <w:jc w:val="both"/>
              <w:rPr>
                <w:rFonts w:hint="eastAsia" w:ascii="宋体" w:hAnsi="宋体" w:eastAsia="宋体" w:cs="宋体"/>
                <w:sz w:val="21"/>
                <w:szCs w:val="21"/>
              </w:rPr>
            </w:pPr>
            <w:r>
              <w:rPr>
                <w:rFonts w:hint="eastAsia" w:ascii="宋体" w:hAnsi="宋体" w:eastAsia="宋体" w:cs="宋体"/>
                <w:sz w:val="21"/>
                <w:szCs w:val="21"/>
              </w:rPr>
              <w:t>节水器具用水效率等级</w:t>
            </w:r>
          </w:p>
        </w:tc>
        <w:tc>
          <w:tcPr>
            <w:tcW w:w="1320" w:type="dxa"/>
            <w:tcBorders>
              <w:tl2br w:val="nil"/>
              <w:tr2bl w:val="nil"/>
            </w:tcBorders>
            <w:noWrap w:val="0"/>
            <w:vAlign w:val="center"/>
          </w:tcPr>
          <w:p>
            <w:pPr>
              <w:pStyle w:val="42"/>
              <w:ind w:left="172" w:right="175"/>
              <w:jc w:val="center"/>
              <w:rPr>
                <w:rFonts w:hint="eastAsia" w:ascii="宋体" w:hAnsi="宋体" w:eastAsia="宋体" w:cs="宋体"/>
                <w:sz w:val="21"/>
                <w:szCs w:val="21"/>
              </w:rPr>
            </w:pPr>
            <w:r>
              <w:rPr>
                <w:rFonts w:hint="eastAsia" w:ascii="宋体" w:hAnsi="宋体" w:eastAsia="Times New Roman" w:cs="宋体"/>
                <w:sz w:val="21"/>
                <w:szCs w:val="21"/>
              </w:rPr>
              <w:t>3</w:t>
            </w:r>
            <w:r>
              <w:rPr>
                <w:rFonts w:hint="eastAsia" w:ascii="宋体" w:hAnsi="宋体" w:eastAsia="宋体" w:cs="宋体"/>
                <w:sz w:val="21"/>
                <w:szCs w:val="21"/>
              </w:rPr>
              <w:t>级</w:t>
            </w:r>
          </w:p>
        </w:tc>
        <w:tc>
          <w:tcPr>
            <w:tcW w:w="4095" w:type="dxa"/>
            <w:gridSpan w:val="2"/>
            <w:tcBorders>
              <w:tl2br w:val="nil"/>
              <w:tr2bl w:val="nil"/>
            </w:tcBorders>
            <w:noWrap w:val="0"/>
            <w:vAlign w:val="center"/>
          </w:tcPr>
          <w:p>
            <w:pPr>
              <w:pStyle w:val="42"/>
              <w:ind w:left="1411" w:right="1400"/>
              <w:jc w:val="center"/>
              <w:rPr>
                <w:rFonts w:hint="eastAsia" w:ascii="宋体" w:hAnsi="宋体" w:eastAsia="宋体" w:cs="宋体"/>
                <w:sz w:val="21"/>
                <w:szCs w:val="21"/>
              </w:rPr>
            </w:pPr>
            <w:r>
              <w:rPr>
                <w:rFonts w:hint="eastAsia" w:ascii="宋体" w:hAnsi="宋体" w:eastAsia="Times New Roman" w:cs="宋体"/>
                <w:sz w:val="21"/>
                <w:szCs w:val="21"/>
              </w:rPr>
              <w:t>2</w:t>
            </w:r>
            <w:r>
              <w:rPr>
                <w:rFonts w:hint="eastAsia" w:ascii="宋体" w:hAnsi="宋体" w:eastAsia="宋体" w:cs="宋体"/>
                <w:sz w:val="21"/>
                <w:szCs w:val="21"/>
              </w:rPr>
              <w:t>级</w:t>
            </w:r>
          </w:p>
        </w:tc>
        <w:tc>
          <w:tcPr>
            <w:tcW w:w="1246" w:type="dxa"/>
            <w:tcBorders>
              <w:tl2br w:val="nil"/>
              <w:tr2bl w:val="nil"/>
            </w:tcBorders>
            <w:noWrap w:val="0"/>
            <w:vAlign w:val="center"/>
          </w:tcPr>
          <w:p>
            <w:pPr>
              <w:pStyle w:val="42"/>
              <w:ind w:left="1411" w:right="140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2027" w:type="dxa"/>
            <w:tcBorders>
              <w:tl2br w:val="nil"/>
              <w:tr2bl w:val="nil"/>
            </w:tcBorders>
            <w:noWrap w:val="0"/>
            <w:vAlign w:val="center"/>
          </w:tcPr>
          <w:p>
            <w:pPr>
              <w:pStyle w:val="42"/>
              <w:jc w:val="center"/>
              <w:rPr>
                <w:rFonts w:hint="eastAsia" w:ascii="宋体" w:hAnsi="宋体" w:eastAsia="宋体" w:cs="宋体"/>
                <w:szCs w:val="21"/>
              </w:rPr>
            </w:pPr>
            <w:r>
              <w:rPr>
                <w:rFonts w:hint="eastAsia" w:ascii="宋体" w:hAnsi="宋体" w:eastAsia="宋体" w:cs="宋体"/>
                <w:szCs w:val="21"/>
              </w:rPr>
              <w:t>住宅建筑隔声性能</w:t>
            </w:r>
          </w:p>
        </w:tc>
        <w:tc>
          <w:tcPr>
            <w:tcW w:w="1320" w:type="dxa"/>
            <w:tcBorders>
              <w:tl2br w:val="nil"/>
              <w:tr2bl w:val="nil"/>
            </w:tcBorders>
            <w:noWrap w:val="0"/>
            <w:vAlign w:val="center"/>
          </w:tcPr>
          <w:p>
            <w:pPr>
              <w:pStyle w:val="42"/>
              <w:ind w:left="0"/>
              <w:jc w:val="center"/>
              <w:rPr>
                <w:rFonts w:hint="eastAsia" w:ascii="宋体" w:hAnsi="宋体" w:eastAsia="宋体" w:cs="宋体"/>
                <w:szCs w:val="21"/>
              </w:rPr>
            </w:pPr>
            <w:r>
              <w:rPr>
                <w:rFonts w:hint="eastAsia" w:ascii="宋体" w:hAnsi="宋体" w:eastAsia="宋体" w:cs="宋体"/>
                <w:w w:val="100"/>
                <w:szCs w:val="21"/>
              </w:rPr>
              <w:t>一</w:t>
            </w:r>
          </w:p>
        </w:tc>
        <w:tc>
          <w:tcPr>
            <w:tcW w:w="2085" w:type="dxa"/>
            <w:tcBorders>
              <w:tl2br w:val="nil"/>
              <w:tr2bl w:val="nil"/>
            </w:tcBorders>
            <w:noWrap w:val="0"/>
            <w:vAlign w:val="center"/>
          </w:tcPr>
          <w:p>
            <w:pPr>
              <w:pStyle w:val="42"/>
              <w:spacing w:line="360" w:lineRule="auto"/>
              <w:ind w:right="0" w:firstLine="210" w:firstLineChars="100"/>
              <w:jc w:val="left"/>
              <w:rPr>
                <w:rFonts w:hint="eastAsia"/>
                <w:lang w:eastAsia="zh-CN"/>
              </w:rPr>
            </w:pPr>
            <w:r>
              <w:rPr>
                <w:rFonts w:hint="eastAsia"/>
              </w:rPr>
              <w:t>室外与卧室之间、分户墙（楼板）两侧卧室之间的空气声隔声性能以及卧室楼板的撞击声隔声性能达到低限标准限值和高要求标准限值的平均值</w:t>
            </w:r>
            <w:r>
              <w:rPr>
                <w:rFonts w:hint="eastAsia"/>
                <w:lang w:eastAsia="zh-CN"/>
              </w:rPr>
              <w:t>。</w:t>
            </w:r>
          </w:p>
        </w:tc>
        <w:tc>
          <w:tcPr>
            <w:tcW w:w="2010" w:type="dxa"/>
            <w:tcBorders>
              <w:tl2br w:val="nil"/>
              <w:tr2bl w:val="nil"/>
            </w:tcBorders>
            <w:noWrap w:val="0"/>
            <w:vAlign w:val="center"/>
          </w:tcPr>
          <w:p>
            <w:pPr>
              <w:pStyle w:val="42"/>
              <w:spacing w:line="360" w:lineRule="auto"/>
              <w:ind w:firstLine="210" w:firstLineChars="100"/>
              <w:rPr>
                <w:rFonts w:hint="default"/>
              </w:rPr>
            </w:pPr>
            <w:r>
              <w:rPr>
                <w:rFonts w:hint="default"/>
              </w:rPr>
              <w:t>室外与卧室之间、</w:t>
            </w:r>
          </w:p>
          <w:p>
            <w:pPr>
              <w:pStyle w:val="42"/>
              <w:spacing w:line="360" w:lineRule="auto"/>
              <w:rPr>
                <w:rFonts w:hint="default"/>
              </w:rPr>
            </w:pPr>
            <w:r>
              <w:rPr>
                <w:rFonts w:hint="default"/>
              </w:rPr>
              <w:t>分户墙（楼板）两</w:t>
            </w:r>
          </w:p>
          <w:p>
            <w:pPr>
              <w:pStyle w:val="42"/>
              <w:spacing w:line="360" w:lineRule="auto"/>
              <w:rPr>
                <w:rFonts w:hint="default"/>
              </w:rPr>
            </w:pPr>
            <w:r>
              <w:rPr>
                <w:rFonts w:hint="default"/>
              </w:rPr>
              <w:t>侧卧室之间的空气</w:t>
            </w:r>
          </w:p>
          <w:p>
            <w:pPr>
              <w:pStyle w:val="42"/>
              <w:spacing w:line="360" w:lineRule="auto"/>
              <w:rPr>
                <w:rFonts w:hint="default"/>
              </w:rPr>
            </w:pPr>
            <w:r>
              <w:rPr>
                <w:rFonts w:hint="default"/>
              </w:rPr>
              <w:t>声隔声性能以及卧</w:t>
            </w:r>
          </w:p>
          <w:p>
            <w:pPr>
              <w:pStyle w:val="42"/>
              <w:spacing w:line="360" w:lineRule="auto"/>
              <w:rPr>
                <w:rFonts w:hint="default"/>
              </w:rPr>
            </w:pPr>
            <w:r>
              <w:rPr>
                <w:rFonts w:hint="default"/>
              </w:rPr>
              <w:t>室楼板的撞击声隔</w:t>
            </w:r>
          </w:p>
          <w:p>
            <w:pPr>
              <w:pStyle w:val="42"/>
              <w:spacing w:line="360" w:lineRule="auto"/>
              <w:rPr>
                <w:rFonts w:hint="default"/>
              </w:rPr>
            </w:pPr>
            <w:r>
              <w:rPr>
                <w:rFonts w:hint="default"/>
              </w:rPr>
              <w:t>声性能达到高要求</w:t>
            </w:r>
          </w:p>
          <w:p>
            <w:pPr>
              <w:pStyle w:val="42"/>
              <w:spacing w:line="360" w:lineRule="auto"/>
              <w:rPr>
                <w:rFonts w:hint="eastAsia"/>
              </w:rPr>
            </w:pPr>
            <w:r>
              <w:rPr>
                <w:rFonts w:hint="default"/>
              </w:rPr>
              <w:t>标准限值</w:t>
            </w:r>
            <w:r>
              <w:rPr>
                <w:rFonts w:hint="default"/>
                <w:lang w:eastAsia="zh-CN"/>
              </w:rPr>
              <w:t>。</w:t>
            </w:r>
          </w:p>
        </w:tc>
        <w:tc>
          <w:tcPr>
            <w:tcW w:w="1246" w:type="dxa"/>
            <w:tcBorders>
              <w:tl2br w:val="nil"/>
              <w:tr2bl w:val="nil"/>
            </w:tcBorders>
            <w:noWrap w:val="0"/>
            <w:vAlign w:val="center"/>
          </w:tcPr>
          <w:p>
            <w:pPr>
              <w:pStyle w:val="42"/>
              <w:spacing w:line="309" w:lineRule="auto"/>
              <w:ind w:left="9" w:right="-15" w:firstLine="2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7" w:type="dxa"/>
            <w:tcBorders>
              <w:tl2br w:val="nil"/>
              <w:tr2bl w:val="nil"/>
            </w:tcBorders>
            <w:noWrap w:val="0"/>
            <w:vAlign w:val="center"/>
          </w:tcPr>
          <w:p>
            <w:pPr>
              <w:pStyle w:val="42"/>
              <w:spacing w:before="44" w:line="260" w:lineRule="atLeas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室内主要空气污染物浓度降低比例</w:t>
            </w:r>
          </w:p>
        </w:tc>
        <w:tc>
          <w:tcPr>
            <w:tcW w:w="1320" w:type="dxa"/>
            <w:tcBorders>
              <w:tl2br w:val="nil"/>
              <w:tr2bl w:val="nil"/>
            </w:tcBorders>
            <w:noWrap w:val="0"/>
            <w:vAlign w:val="center"/>
          </w:tcPr>
          <w:p>
            <w:pPr>
              <w:pStyle w:val="42"/>
              <w:ind w:left="172" w:right="160"/>
              <w:jc w:val="center"/>
              <w:rPr>
                <w:rFonts w:hint="eastAsia" w:ascii="宋体" w:hAnsi="宋体" w:eastAsia="宋体" w:cs="宋体"/>
                <w:sz w:val="21"/>
                <w:szCs w:val="21"/>
              </w:rPr>
            </w:pPr>
            <w:r>
              <w:rPr>
                <w:rFonts w:hint="eastAsia" w:ascii="宋体" w:hAnsi="宋体" w:eastAsia="Times New Roman" w:cs="宋体"/>
                <w:sz w:val="21"/>
                <w:szCs w:val="21"/>
              </w:rPr>
              <w:t>10</w:t>
            </w:r>
            <w:r>
              <w:rPr>
                <w:rFonts w:hint="eastAsia" w:ascii="宋体" w:hAnsi="宋体" w:eastAsia="宋体" w:cs="宋体"/>
                <w:sz w:val="21"/>
                <w:szCs w:val="21"/>
              </w:rPr>
              <w:t>%</w:t>
            </w:r>
          </w:p>
        </w:tc>
        <w:tc>
          <w:tcPr>
            <w:tcW w:w="4095" w:type="dxa"/>
            <w:gridSpan w:val="2"/>
            <w:tcBorders>
              <w:tl2br w:val="nil"/>
              <w:tr2bl w:val="nil"/>
            </w:tcBorders>
            <w:noWrap w:val="0"/>
            <w:vAlign w:val="center"/>
          </w:tcPr>
          <w:p>
            <w:pPr>
              <w:pStyle w:val="42"/>
              <w:ind w:left="1410" w:right="1400"/>
              <w:jc w:val="center"/>
              <w:rPr>
                <w:rFonts w:hint="eastAsia" w:ascii="宋体" w:hAnsi="宋体" w:eastAsia="宋体" w:cs="宋体"/>
                <w:sz w:val="21"/>
                <w:szCs w:val="21"/>
              </w:rPr>
            </w:pPr>
            <w:r>
              <w:rPr>
                <w:rFonts w:hint="eastAsia" w:ascii="宋体" w:hAnsi="宋体" w:eastAsia="Times New Roman" w:cs="宋体"/>
                <w:sz w:val="21"/>
                <w:szCs w:val="21"/>
              </w:rPr>
              <w:t>20</w:t>
            </w:r>
            <w:r>
              <w:rPr>
                <w:rFonts w:hint="eastAsia" w:ascii="宋体" w:hAnsi="宋体" w:eastAsia="宋体" w:cs="宋体"/>
                <w:sz w:val="21"/>
                <w:szCs w:val="21"/>
              </w:rPr>
              <w:t>%</w:t>
            </w:r>
          </w:p>
        </w:tc>
        <w:tc>
          <w:tcPr>
            <w:tcW w:w="1246" w:type="dxa"/>
            <w:tcBorders>
              <w:tl2br w:val="nil"/>
              <w:tr2bl w:val="nil"/>
            </w:tcBorders>
            <w:noWrap w:val="0"/>
            <w:vAlign w:val="center"/>
          </w:tcPr>
          <w:p>
            <w:pPr>
              <w:pStyle w:val="42"/>
              <w:ind w:left="1410" w:right="140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027" w:type="dxa"/>
            <w:tcBorders>
              <w:tl2br w:val="nil"/>
              <w:tr2bl w:val="nil"/>
            </w:tcBorders>
            <w:noWrap w:val="0"/>
            <w:vAlign w:val="center"/>
          </w:tcPr>
          <w:p>
            <w:pPr>
              <w:pStyle w:val="42"/>
              <w:jc w:val="center"/>
              <w:rPr>
                <w:rFonts w:hint="eastAsia" w:ascii="宋体" w:hAnsi="宋体" w:eastAsia="宋体" w:cs="宋体"/>
                <w:sz w:val="21"/>
                <w:szCs w:val="21"/>
              </w:rPr>
            </w:pPr>
            <w:r>
              <w:rPr>
                <w:rFonts w:hint="eastAsia" w:ascii="宋体" w:hAnsi="宋体" w:eastAsia="宋体" w:cs="宋体"/>
                <w:sz w:val="21"/>
                <w:szCs w:val="21"/>
              </w:rPr>
              <w:t>外窗气密性能</w:t>
            </w:r>
          </w:p>
        </w:tc>
        <w:tc>
          <w:tcPr>
            <w:tcW w:w="5415" w:type="dxa"/>
            <w:gridSpan w:val="3"/>
            <w:tcBorders>
              <w:tl2br w:val="nil"/>
              <w:tr2bl w:val="nil"/>
            </w:tcBorders>
            <w:noWrap w:val="0"/>
            <w:vAlign w:val="center"/>
          </w:tcPr>
          <w:p>
            <w:pPr>
              <w:pStyle w:val="42"/>
              <w:spacing w:before="53" w:line="260" w:lineRule="atLeast"/>
              <w:ind w:left="0" w:right="-15"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rPr>
              <w:t>符合国家现行相关节能设计标准的规定，且外窗洞口与外</w:t>
            </w:r>
            <w:r>
              <w:rPr>
                <w:rFonts w:hint="eastAsia" w:ascii="宋体" w:hAnsi="宋体" w:eastAsia="宋体" w:cs="宋体"/>
                <w:spacing w:val="-3"/>
                <w:sz w:val="21"/>
                <w:szCs w:val="21"/>
              </w:rPr>
              <w:t>窗本体的结合部位应严密</w:t>
            </w:r>
            <w:r>
              <w:rPr>
                <w:rFonts w:hint="eastAsia" w:ascii="宋体" w:hAnsi="宋体" w:cs="宋体"/>
                <w:spacing w:val="-3"/>
                <w:sz w:val="21"/>
                <w:szCs w:val="21"/>
                <w:lang w:eastAsia="zh-CN"/>
              </w:rPr>
              <w:t>。</w:t>
            </w:r>
          </w:p>
        </w:tc>
        <w:tc>
          <w:tcPr>
            <w:tcW w:w="1246" w:type="dxa"/>
            <w:tcBorders>
              <w:tl2br w:val="nil"/>
              <w:tr2bl w:val="nil"/>
            </w:tcBorders>
            <w:noWrap w:val="0"/>
            <w:vAlign w:val="center"/>
          </w:tcPr>
          <w:p>
            <w:pPr>
              <w:pStyle w:val="42"/>
              <w:spacing w:before="53" w:line="260" w:lineRule="atLeast"/>
              <w:ind w:left="8" w:right="-15" w:firstLine="220"/>
              <w:jc w:val="both"/>
              <w:rPr>
                <w:rFonts w:hint="eastAsia" w:ascii="宋体" w:hAnsi="宋体" w:eastAsia="宋体" w:cs="宋体"/>
                <w:sz w:val="21"/>
                <w:szCs w:val="21"/>
              </w:rPr>
            </w:pPr>
          </w:p>
        </w:tc>
      </w:tr>
    </w:tbl>
    <w:p>
      <w:pPr>
        <w:numPr>
          <w:ilvl w:val="0"/>
          <w:numId w:val="0"/>
        </w:numPr>
        <w:rPr>
          <w:rFonts w:hint="eastAsia"/>
          <w:sz w:val="28"/>
          <w:szCs w:val="28"/>
          <w:lang w:eastAsia="zh-CN"/>
        </w:rPr>
      </w:pPr>
    </w:p>
    <w:p>
      <w:pPr>
        <w:numPr>
          <w:ilvl w:val="0"/>
          <w:numId w:val="2"/>
        </w:numPr>
        <w:ind w:left="0" w:leftChars="0" w:firstLine="0" w:firstLineChars="0"/>
        <w:rPr>
          <w:rFonts w:hint="eastAsia"/>
          <w:b/>
          <w:bCs/>
          <w:sz w:val="28"/>
          <w:szCs w:val="28"/>
          <w:lang w:val="en-US" w:eastAsia="zh-CN"/>
        </w:rPr>
      </w:pPr>
      <w:r>
        <w:rPr>
          <w:rFonts w:hint="eastAsia"/>
          <w:b/>
          <w:bCs/>
          <w:sz w:val="28"/>
          <w:szCs w:val="28"/>
          <w:lang w:val="en-US" w:eastAsia="zh-CN"/>
        </w:rPr>
        <w:t>提高与创新各专业均涉及条文得分</w:t>
      </w:r>
    </w:p>
    <w:p>
      <w:pPr>
        <w:rPr>
          <w:rFonts w:hint="eastAsia"/>
          <w:b/>
          <w:bCs/>
          <w:lang w:val="en-US" w:eastAsia="zh-CN"/>
        </w:rPr>
      </w:pPr>
      <w:r>
        <w:rPr>
          <w:rFonts w:hint="eastAsia" w:eastAsia="Times New Roman"/>
          <w:sz w:val="28"/>
          <w:szCs w:val="28"/>
          <w:lang w:val="en-US" w:eastAsia="zh-CN"/>
        </w:rPr>
        <w:t>1</w:t>
      </w:r>
      <w:r>
        <w:rPr>
          <w:rFonts w:hint="eastAsia"/>
          <w:sz w:val="28"/>
          <w:szCs w:val="28"/>
          <w:lang w:val="en-US" w:eastAsia="zh-CN"/>
        </w:rPr>
        <w:t>、</w:t>
      </w:r>
      <w:r>
        <w:rPr>
          <w:rFonts w:hint="eastAsia"/>
          <w:sz w:val="28"/>
          <w:szCs w:val="28"/>
        </w:rPr>
        <w:t>应用建筑信息</w:t>
      </w:r>
      <w:r>
        <w:rPr>
          <w:rFonts w:hint="eastAsia"/>
          <w:color w:val="000000"/>
          <w:sz w:val="28"/>
          <w:szCs w:val="28"/>
          <w:lang w:eastAsia="zh-CN"/>
        </w:rPr>
        <w:t>模型</w:t>
      </w:r>
      <w:r>
        <w:rPr>
          <w:rFonts w:hint="eastAsia"/>
          <w:sz w:val="28"/>
          <w:szCs w:val="28"/>
          <w:lang w:eastAsia="zh-CN"/>
        </w:rPr>
        <w:t>（BIM）技术。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vertAlign w:val="baseline"/>
                <w:lang w:val="en-US" w:eastAsia="zh-CN"/>
              </w:rPr>
            </w:pPr>
            <w:r>
              <w:rPr>
                <w:rFonts w:hint="eastAsia"/>
                <w:b w:val="0"/>
                <w:bCs w:val="0"/>
                <w:vertAlign w:val="baseline"/>
                <w:lang w:val="en-US" w:eastAsia="zh-CN"/>
              </w:rPr>
              <w:t>条文分值</w:t>
            </w:r>
          </w:p>
        </w:tc>
        <w:tc>
          <w:tcPr>
            <w:tcW w:w="1449" w:type="dxa"/>
            <w:noWrap w:val="0"/>
            <w:vAlign w:val="top"/>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得分情况</w:t>
            </w:r>
          </w:p>
        </w:tc>
        <w:tc>
          <w:tcPr>
            <w:tcW w:w="2790" w:type="dxa"/>
            <w:noWrap w:val="0"/>
            <w:vAlign w:val="top"/>
          </w:tcPr>
          <w:p>
            <w:pPr>
              <w:numPr>
                <w:ilvl w:val="0"/>
                <w:numId w:val="0"/>
              </w:numPr>
              <w:rPr>
                <w:rFonts w:hint="default"/>
                <w:b w:val="0"/>
                <w:bCs w:val="0"/>
                <w:vertAlign w:val="baseline"/>
                <w:lang w:val="en-US" w:eastAsia="zh-CN"/>
              </w:rPr>
            </w:pPr>
            <w:r>
              <w:rPr>
                <w:rFonts w:hint="eastAsia"/>
                <w:b w:val="0"/>
                <w:bCs w:val="0"/>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vertAlign w:val="baseline"/>
                <w:lang w:val="en-US" w:eastAsia="zh-CN"/>
              </w:rPr>
            </w:pPr>
            <w:r>
              <w:rPr>
                <w:rFonts w:hint="eastAsia" w:eastAsia="Times New Roman"/>
                <w:b w:val="0"/>
                <w:bCs w:val="0"/>
                <w:vertAlign w:val="baseline"/>
                <w:lang w:val="en-US" w:eastAsia="zh-CN"/>
              </w:rPr>
              <w:t>15</w:t>
            </w:r>
          </w:p>
        </w:tc>
        <w:tc>
          <w:tcPr>
            <w:tcW w:w="1449" w:type="dxa"/>
            <w:noWrap w:val="0"/>
            <w:vAlign w:val="top"/>
          </w:tcPr>
          <w:p>
            <w:pPr>
              <w:numPr>
                <w:ilvl w:val="0"/>
                <w:numId w:val="0"/>
              </w:numPr>
              <w:rPr>
                <w:rFonts w:hint="default"/>
                <w:b w:val="0"/>
                <w:bCs w:val="0"/>
                <w:vertAlign w:val="baseline"/>
                <w:lang w:val="en-US" w:eastAsia="zh-CN"/>
              </w:rPr>
            </w:pPr>
          </w:p>
        </w:tc>
        <w:tc>
          <w:tcPr>
            <w:tcW w:w="2790" w:type="dxa"/>
            <w:noWrap w:val="0"/>
            <w:vAlign w:val="top"/>
          </w:tcPr>
          <w:p>
            <w:pPr>
              <w:numPr>
                <w:ilvl w:val="0"/>
                <w:numId w:val="0"/>
              </w:numPr>
              <w:rPr>
                <w:rFonts w:hint="default"/>
                <w:b w:val="0"/>
                <w:bCs w:val="0"/>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应用建筑信息模型(</w:t>
      </w:r>
      <w:r>
        <w:rPr>
          <w:rFonts w:hint="eastAsia" w:ascii="宋体" w:hAnsi="宋体" w:eastAsia="宋体" w:cs="宋体"/>
          <w:i/>
          <w:iCs/>
          <w:color w:val="FF0000"/>
          <w:sz w:val="24"/>
          <w:szCs w:val="24"/>
          <w:lang w:val="en-US" w:eastAsia="zh-CN"/>
        </w:rPr>
        <w:t>BIM</w:t>
      </w:r>
      <w:r>
        <w:rPr>
          <w:rFonts w:hint="eastAsia" w:ascii="宋体" w:hAnsi="宋体" w:eastAsia="宋体" w:cs="宋体"/>
          <w:i/>
          <w:iCs/>
          <w:color w:val="FF0000"/>
          <w:sz w:val="24"/>
          <w:szCs w:val="24"/>
          <w:lang w:eastAsia="zh-CN"/>
        </w:rPr>
        <w:t>)技术，评价总分值为</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分。在建筑的规划设计、施工建造和运行维护阶段中的一个阶段应用，得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分；两个阶段应用，得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分；三个阶段应用，</w:t>
      </w:r>
      <w:r>
        <w:rPr>
          <w:rFonts w:hint="eastAsia"/>
          <w:i/>
          <w:iCs/>
          <w:color w:val="FF0000"/>
          <w:sz w:val="24"/>
          <w:szCs w:val="24"/>
          <w:lang w:val="en-US" w:eastAsia="zh-CN"/>
        </w:rPr>
        <w:t>得</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w:t>
      </w:r>
    </w:p>
    <w:p>
      <w:pPr>
        <w:rPr>
          <w:rFonts w:hint="default" w:eastAsia="宋体"/>
          <w:color w:val="auto"/>
          <w:sz w:val="28"/>
          <w:szCs w:val="28"/>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说明B</w:t>
      </w:r>
      <w:r>
        <w:rPr>
          <w:rFonts w:hint="eastAsia"/>
          <w:color w:val="auto"/>
          <w:sz w:val="21"/>
          <w:szCs w:val="21"/>
          <w:lang w:val="en-US" w:eastAsia="zh-CN"/>
        </w:rPr>
        <w:t>I</w:t>
      </w:r>
      <w:r>
        <w:rPr>
          <w:rFonts w:hint="eastAsia"/>
          <w:color w:val="auto"/>
          <w:sz w:val="21"/>
          <w:szCs w:val="21"/>
        </w:rPr>
        <w:t>M在各阶段的应用情况、取得的效果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r>
        <w:rPr>
          <w:rFonts w:hint="eastAsia"/>
          <w:color w:val="auto"/>
          <w:sz w:val="21"/>
          <w:szCs w:val="21"/>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BIM技术应用报告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进行建筑</w:t>
      </w:r>
      <w:r>
        <w:rPr>
          <w:rFonts w:hint="eastAsia"/>
          <w:color w:val="auto"/>
          <w:sz w:val="28"/>
          <w:szCs w:val="28"/>
          <w:lang w:val="en-US" w:eastAsia="zh-CN"/>
        </w:rPr>
        <w:t>碳</w:t>
      </w:r>
      <w:r>
        <w:rPr>
          <w:rFonts w:hint="eastAsia"/>
          <w:color w:val="auto"/>
          <w:sz w:val="28"/>
          <w:szCs w:val="28"/>
        </w:rPr>
        <w:t>排放计算分析，</w:t>
      </w:r>
      <w:r>
        <w:rPr>
          <w:rFonts w:hint="eastAsia"/>
          <w:color w:val="auto"/>
          <w:sz w:val="28"/>
          <w:szCs w:val="28"/>
          <w:lang w:val="en-US" w:eastAsia="zh-CN"/>
        </w:rPr>
        <w:t>采取措施降低</w:t>
      </w:r>
      <w:r>
        <w:rPr>
          <w:rFonts w:hint="eastAsia"/>
          <w:color w:val="auto"/>
          <w:sz w:val="28"/>
          <w:szCs w:val="28"/>
        </w:rPr>
        <w:t>单位建筑面积碳</w:t>
      </w:r>
      <w:r>
        <w:rPr>
          <w:rFonts w:hint="eastAsia"/>
          <w:color w:val="auto"/>
          <w:sz w:val="28"/>
          <w:szCs w:val="28"/>
          <w:lang w:val="en-US" w:eastAsia="zh-CN"/>
        </w:rPr>
        <w:t>排放</w:t>
      </w:r>
      <w:r>
        <w:rPr>
          <w:rFonts w:hint="eastAsia"/>
          <w:color w:val="auto"/>
          <w:sz w:val="28"/>
          <w:szCs w:val="28"/>
        </w:rPr>
        <w:t>强度</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c>
          <w:tcPr>
            <w:tcW w:w="2790"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c>
          <w:tcPr>
            <w:tcW w:w="279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eastAsia" w:eastAsia="Times New Roman"/>
          <w:i/>
          <w:iCs/>
          <w:color w:val="FF0000"/>
          <w:sz w:val="24"/>
          <w:szCs w:val="24"/>
          <w:lang w:val="en-US" w:eastAsia="zh-CN"/>
        </w:rPr>
        <w:t>9</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进行建筑碳排放计算分析，采取措施降低单位建筑面积碳排放强度</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lang w:eastAsia="zh-CN"/>
        </w:rPr>
        <w:t>评价分值为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w:t>
      </w:r>
    </w:p>
    <w:p>
      <w:pPr>
        <w:rPr>
          <w:rFonts w:hint="default" w:eastAsia="宋体"/>
          <w:color w:val="auto"/>
          <w:sz w:val="21"/>
          <w:szCs w:val="21"/>
          <w:u w:val="single"/>
          <w:lang w:val="en-US" w:eastAsia="zh-CN"/>
        </w:rPr>
      </w:pPr>
      <w:r>
        <w:rPr>
          <w:rFonts w:hint="eastAsia"/>
          <w:color w:val="auto"/>
          <w:sz w:val="28"/>
          <w:szCs w:val="28"/>
        </w:rPr>
        <w:t>技术措施</w:t>
      </w:r>
      <w:r>
        <w:rPr>
          <w:rFonts w:hint="eastAsia"/>
          <w:color w:val="auto"/>
          <w:sz w:val="28"/>
          <w:szCs w:val="28"/>
          <w:lang w:eastAsia="zh-CN"/>
        </w:rPr>
        <w:t>说明：</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建筑</w:t>
      </w:r>
      <w:r>
        <w:rPr>
          <w:rFonts w:hint="eastAsia"/>
          <w:color w:val="auto"/>
          <w:sz w:val="21"/>
          <w:szCs w:val="21"/>
        </w:rPr>
        <w:t>固有的</w:t>
      </w:r>
      <w:r>
        <w:rPr>
          <w:rFonts w:hint="eastAsia"/>
          <w:color w:val="auto"/>
          <w:sz w:val="21"/>
          <w:szCs w:val="21"/>
          <w:lang w:val="en-US" w:eastAsia="zh-CN"/>
        </w:rPr>
        <w:t>碳</w:t>
      </w:r>
      <w:r>
        <w:rPr>
          <w:rFonts w:hint="eastAsia"/>
          <w:color w:val="auto"/>
          <w:sz w:val="21"/>
          <w:szCs w:val="21"/>
        </w:rPr>
        <w:t>排放量计算过程及采取的降低碳排放量的</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：□碳排放计算分析报告</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采用建设工程质量潜在</w:t>
      </w:r>
      <w:r>
        <w:rPr>
          <w:rFonts w:hint="eastAsia"/>
          <w:color w:val="auto"/>
          <w:sz w:val="28"/>
          <w:szCs w:val="28"/>
          <w:lang w:val="en-US" w:eastAsia="zh-CN"/>
        </w:rPr>
        <w:t>缺陷保险产品。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c>
          <w:tcPr>
            <w:tcW w:w="2790"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20</w:t>
            </w:r>
          </w:p>
        </w:tc>
        <w:tc>
          <w:tcPr>
            <w:tcW w:w="1449" w:type="dxa"/>
            <w:noWrap w:val="0"/>
            <w:vAlign w:val="top"/>
          </w:tcPr>
          <w:p>
            <w:pPr>
              <w:numPr>
                <w:ilvl w:val="0"/>
                <w:numId w:val="0"/>
              </w:numPr>
              <w:rPr>
                <w:rFonts w:hint="default"/>
                <w:b w:val="0"/>
                <w:bCs w:val="0"/>
                <w:color w:val="auto"/>
                <w:vertAlign w:val="baseline"/>
                <w:lang w:val="en-US" w:eastAsia="zh-CN"/>
              </w:rPr>
            </w:pPr>
          </w:p>
        </w:tc>
        <w:tc>
          <w:tcPr>
            <w:tcW w:w="279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eastAsia" w:ascii="Times New Roman" w:hAnsi="Times New Roman" w:eastAsia="Times New Roman" w:cs="Times New Roman"/>
          <w:i/>
          <w:iCs/>
          <w:color w:val="FF0000"/>
          <w:sz w:val="24"/>
          <w:szCs w:val="24"/>
        </w:rPr>
        <w:t>9</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2</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9</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采用建设工程质量潜在缺陷保险产品，评价总分值为</w:t>
      </w:r>
      <w:r>
        <w:rPr>
          <w:rFonts w:hint="eastAsia" w:ascii="宋体" w:hAnsi="宋体" w:eastAsia="Times New Roman" w:cs="宋体"/>
          <w:i/>
          <w:iCs/>
          <w:color w:val="FF0000"/>
          <w:sz w:val="24"/>
          <w:szCs w:val="24"/>
          <w:lang w:val="en-US" w:eastAsia="zh-CN"/>
        </w:rPr>
        <w:t>20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保险承保范围包括地基基础工程、主体结构工程、屋面防水工程和其他土建工程的质量问题，得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保险承保范围包括装修工程、电气管线、上下水管线的安装工程，供热、供冷系统工程的质量问题，得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rPr>
          <w:rFonts w:hint="eastAsia"/>
          <w:color w:val="auto"/>
          <w:sz w:val="21"/>
          <w:szCs w:val="21"/>
          <w:lang w:eastAsia="zh-CN"/>
        </w:rPr>
      </w:pPr>
      <w:r>
        <w:rPr>
          <w:rFonts w:hint="eastAsia"/>
          <w:color w:val="auto"/>
          <w:sz w:val="28"/>
          <w:szCs w:val="28"/>
          <w:lang w:val="en-US" w:eastAsia="zh-CN"/>
        </w:rPr>
        <w:t>技术措施说明：</w:t>
      </w:r>
      <w:r>
        <w:rPr>
          <w:rFonts w:hint="eastAsia"/>
          <w:color w:val="auto"/>
          <w:sz w:val="21"/>
          <w:szCs w:val="21"/>
          <w:lang w:eastAsia="zh-CN"/>
        </w:rPr>
        <w:t>（</w:t>
      </w:r>
      <w:r>
        <w:rPr>
          <w:rFonts w:hint="eastAsia"/>
          <w:color w:val="auto"/>
          <w:sz w:val="21"/>
          <w:szCs w:val="21"/>
          <w:lang w:val="en-US" w:eastAsia="zh-CN"/>
        </w:rPr>
        <w:t>说明</w:t>
      </w:r>
      <w:r>
        <w:rPr>
          <w:rFonts w:hint="eastAsia"/>
          <w:color w:val="auto"/>
          <w:sz w:val="21"/>
          <w:szCs w:val="21"/>
        </w:rPr>
        <w:t>建设工程质量潜在缺陷保险的主要条款、保费、</w:t>
      </w:r>
      <w:r>
        <w:rPr>
          <w:rFonts w:hint="eastAsia"/>
          <w:color w:val="auto"/>
          <w:sz w:val="21"/>
          <w:szCs w:val="21"/>
          <w:lang w:val="en-US" w:eastAsia="zh-CN"/>
        </w:rPr>
        <w:t>保额。</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lang w:eastAsia="zh-CN"/>
        </w:rPr>
        <w:t>。</w:t>
      </w:r>
    </w:p>
    <w:p>
      <w:pPr>
        <w:rPr>
          <w:rFonts w:hint="eastAsia" w:eastAsia="宋体"/>
          <w:color w:val="auto"/>
          <w:sz w:val="28"/>
          <w:szCs w:val="28"/>
          <w:lang w:eastAsia="zh-CN"/>
        </w:rPr>
      </w:pPr>
      <w:r>
        <w:rPr>
          <w:rFonts w:hint="eastAsia"/>
          <w:color w:val="auto"/>
          <w:sz w:val="28"/>
          <w:szCs w:val="28"/>
          <w:lang w:eastAsia="zh-CN"/>
        </w:rPr>
        <w:t>证明材料：□</w:t>
      </w:r>
      <w:r>
        <w:rPr>
          <w:rFonts w:hint="eastAsia"/>
          <w:color w:val="auto"/>
          <w:sz w:val="28"/>
          <w:szCs w:val="28"/>
        </w:rPr>
        <w:t>建设工程质量保险产品保单</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采用</w:t>
      </w:r>
      <w:r>
        <w:rPr>
          <w:rFonts w:hint="eastAsia"/>
          <w:color w:val="auto"/>
          <w:sz w:val="28"/>
          <w:szCs w:val="28"/>
          <w:lang w:val="en-US" w:eastAsia="zh-CN"/>
        </w:rPr>
        <w:t>节约资源</w:t>
      </w:r>
      <w:r>
        <w:rPr>
          <w:rFonts w:hint="eastAsia"/>
          <w:color w:val="auto"/>
          <w:sz w:val="28"/>
          <w:szCs w:val="28"/>
        </w:rPr>
        <w:t>、保护</w:t>
      </w:r>
      <w:r>
        <w:rPr>
          <w:rFonts w:hint="eastAsia"/>
          <w:color w:val="auto"/>
          <w:sz w:val="28"/>
          <w:szCs w:val="28"/>
          <w:lang w:val="en-US" w:eastAsia="zh-CN"/>
        </w:rPr>
        <w:t>生态</w:t>
      </w:r>
      <w:r>
        <w:rPr>
          <w:rFonts w:hint="eastAsia"/>
          <w:color w:val="auto"/>
          <w:sz w:val="28"/>
          <w:szCs w:val="28"/>
        </w:rPr>
        <w:t>环境、保障安全</w:t>
      </w:r>
      <w:r>
        <w:rPr>
          <w:rFonts w:hint="eastAsia"/>
          <w:color w:val="auto"/>
          <w:sz w:val="28"/>
          <w:szCs w:val="28"/>
          <w:lang w:val="en-US" w:eastAsia="zh-CN"/>
        </w:rPr>
        <w:t>健康</w:t>
      </w:r>
      <w:r>
        <w:rPr>
          <w:rFonts w:hint="eastAsia"/>
          <w:color w:val="auto"/>
          <w:sz w:val="28"/>
          <w:szCs w:val="28"/>
        </w:rPr>
        <w:t>、智慧友好运行、传承历史文化等其他创新、并有明显效益</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c>
          <w:tcPr>
            <w:tcW w:w="2790"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40</w:t>
            </w:r>
          </w:p>
        </w:tc>
        <w:tc>
          <w:tcPr>
            <w:tcW w:w="1449" w:type="dxa"/>
            <w:noWrap w:val="0"/>
            <w:vAlign w:val="top"/>
          </w:tcPr>
          <w:p>
            <w:pPr>
              <w:numPr>
                <w:ilvl w:val="0"/>
                <w:numId w:val="0"/>
              </w:numPr>
              <w:rPr>
                <w:rFonts w:hint="default"/>
                <w:b w:val="0"/>
                <w:bCs w:val="0"/>
                <w:color w:val="auto"/>
                <w:vertAlign w:val="baseline"/>
                <w:lang w:val="en-US" w:eastAsia="zh-CN"/>
              </w:rPr>
            </w:pPr>
          </w:p>
        </w:tc>
        <w:tc>
          <w:tcPr>
            <w:tcW w:w="279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9</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10</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采取节约资源、保护生态环境、保障安全健康、智慧友好运行、传承历史文化等其他创新，并有明显效益，评价总分值为</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eastAsia="zh-CN"/>
        </w:rPr>
        <w:t>分。每采取一项，得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分，最高得</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w:t>
      </w:r>
      <w:r>
        <w:rPr>
          <w:rFonts w:hint="eastAsia"/>
          <w:color w:val="auto"/>
          <w:sz w:val="21"/>
          <w:szCs w:val="21"/>
        </w:rPr>
        <w:t>项目开发建设、运营维护过程中的其他创新措施及其社会和经济效益</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lang w:eastAsia="zh-CN"/>
        </w:rPr>
        <w:t>证明材料：□</w:t>
      </w:r>
      <w:r>
        <w:rPr>
          <w:rFonts w:hint="eastAsia"/>
          <w:color w:val="auto"/>
          <w:sz w:val="28"/>
          <w:szCs w:val="28"/>
        </w:rPr>
        <w:t>创新</w:t>
      </w:r>
      <w:r>
        <w:rPr>
          <w:rFonts w:hint="eastAsia"/>
          <w:color w:val="auto"/>
          <w:sz w:val="28"/>
          <w:szCs w:val="28"/>
          <w:lang w:val="en-US" w:eastAsia="zh-CN"/>
        </w:rPr>
        <w:t>措施</w:t>
      </w:r>
      <w:r>
        <w:rPr>
          <w:rFonts w:hint="eastAsia"/>
          <w:color w:val="auto"/>
          <w:sz w:val="28"/>
          <w:szCs w:val="28"/>
        </w:rPr>
        <w:t>的分析论文</w:t>
      </w:r>
      <w:r>
        <w:rPr>
          <w:rFonts w:hint="eastAsia"/>
          <w:color w:val="auto"/>
          <w:sz w:val="28"/>
          <w:szCs w:val="28"/>
          <w:lang w:eastAsia="zh-CN"/>
        </w:rPr>
        <w:t>（</w:t>
      </w:r>
      <w:r>
        <w:rPr>
          <w:rFonts w:hint="eastAsia"/>
          <w:color w:val="auto"/>
          <w:sz w:val="28"/>
          <w:szCs w:val="28"/>
        </w:rPr>
        <w:t>报告</w:t>
      </w:r>
      <w:r>
        <w:rPr>
          <w:rFonts w:hint="eastAsia"/>
          <w:color w:val="auto"/>
          <w:sz w:val="28"/>
          <w:szCs w:val="28"/>
          <w:lang w:eastAsia="zh-CN"/>
        </w:rPr>
        <w:t>）</w:t>
      </w:r>
    </w:p>
    <w:p>
      <w:pPr>
        <w:numPr>
          <w:ilvl w:val="0"/>
          <w:numId w:val="2"/>
        </w:numPr>
        <w:rPr>
          <w:rFonts w:hint="eastAsia" w:ascii="宋体" w:hAnsi="宋体" w:eastAsia="宋体" w:cs="宋体"/>
          <w:b/>
          <w:bCs/>
          <w:color w:val="auto"/>
          <w:sz w:val="28"/>
          <w:szCs w:val="28"/>
        </w:rPr>
      </w:pPr>
      <w:r>
        <w:rPr>
          <w:rFonts w:hint="eastAsia" w:ascii="宋体" w:hAnsi="宋体" w:eastAsia="宋体" w:cs="宋体"/>
          <w:b/>
          <w:bCs/>
          <w:color w:val="auto"/>
          <w:sz w:val="28"/>
          <w:szCs w:val="28"/>
        </w:rPr>
        <w:t>绿色建筑设计自评</w:t>
      </w:r>
    </w:p>
    <w:p>
      <w:pPr>
        <w:numPr>
          <w:ilvl w:val="0"/>
          <w:numId w:val="0"/>
        </w:numPr>
        <w:ind w:firstLine="280" w:firstLineChars="1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项目自评情况见下表：</w:t>
      </w:r>
    </w:p>
    <w:p>
      <w:pPr>
        <w:numPr>
          <w:ilvl w:val="0"/>
          <w:numId w:val="0"/>
        </w:numPr>
        <w:jc w:val="center"/>
        <w:rPr>
          <w:rFonts w:hint="eastAsia" w:ascii="黑体" w:hAnsi="黑体" w:eastAsia="黑体" w:cs="黑体"/>
          <w:color w:val="auto"/>
          <w:sz w:val="24"/>
          <w:szCs w:val="24"/>
        </w:rPr>
      </w:pPr>
      <w:r>
        <w:rPr>
          <w:rFonts w:hint="eastAsia" w:ascii="黑体" w:hAnsi="黑体" w:eastAsia="黑体" w:cs="黑体"/>
          <w:color w:val="auto"/>
          <w:sz w:val="24"/>
          <w:szCs w:val="24"/>
        </w:rPr>
        <w:t>绿色建筑设计自评</w:t>
      </w:r>
      <w:r>
        <w:rPr>
          <w:rFonts w:hint="eastAsia" w:ascii="黑体" w:hAnsi="黑体" w:eastAsia="黑体" w:cs="黑体"/>
          <w:color w:val="auto"/>
          <w:sz w:val="24"/>
          <w:szCs w:val="24"/>
          <w:lang w:val="en-US" w:eastAsia="zh-CN"/>
        </w:rPr>
        <w:t>表</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各专业汇总表</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安全耐久</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1</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健康舒适</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2</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生活便利</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3</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资源节约</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4</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环境宜居</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5</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提高与创新</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宋体" w:cs="宋体"/>
                <w:i w:val="0"/>
                <w:color w:val="auto"/>
                <w:kern w:val="0"/>
                <w:sz w:val="21"/>
                <w:szCs w:val="21"/>
                <w:u w:val="none"/>
                <w:vertAlign w:val="subscript"/>
                <w:lang w:val="en-US" w:eastAsia="zh-CN" w:bidi="ar"/>
              </w:rPr>
              <w:t>A</w:t>
            </w:r>
            <w:r>
              <w:rPr>
                <w:rFonts w:hint="eastAsia" w:ascii="宋体" w:hAnsi="宋体" w:cs="宋体"/>
                <w:i w:val="0"/>
                <w:color w:val="auto"/>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评分项总分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70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200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评分项最低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得分要求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30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30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21</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60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30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874"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single"/>
                <w:lang w:val="en-US"/>
              </w:rPr>
            </w:pPr>
            <w:r>
              <w:rPr>
                <w:rFonts w:hint="eastAsia" w:ascii="宋体" w:hAnsi="宋体" w:eastAsia="宋体" w:cs="宋体"/>
                <w:i w:val="0"/>
                <w:color w:val="auto"/>
                <w:kern w:val="0"/>
                <w:sz w:val="21"/>
                <w:szCs w:val="21"/>
                <w:u w:val="none"/>
                <w:lang w:val="en-US" w:eastAsia="zh-CN" w:bidi="ar"/>
              </w:rPr>
              <w:t>总得分</w:t>
            </w:r>
            <w:r>
              <w:rPr>
                <w:rFonts w:hint="eastAsia" w:ascii="宋体" w:hAnsi="宋体" w:cs="宋体"/>
                <w:i w:val="0"/>
                <w:color w:val="auto"/>
                <w:kern w:val="0"/>
                <w:sz w:val="21"/>
                <w:szCs w:val="21"/>
                <w:u w:val="none"/>
                <w:lang w:val="en-US" w:eastAsia="zh-CN" w:bidi="ar"/>
              </w:rPr>
              <w:t>：</w:t>
            </w:r>
            <w:r>
              <w:rPr>
                <w:rFonts w:hint="eastAsia" w:ascii="宋体" w:hAnsi="宋体" w:cs="宋体"/>
                <w:i w:val="0"/>
                <w:color w:val="auto"/>
                <w:kern w:val="0"/>
                <w:sz w:val="21"/>
                <w:szCs w:val="21"/>
                <w:u w:val="single"/>
                <w:lang w:val="en-US" w:eastAsia="zh-CN" w:bidi="ar"/>
              </w:rPr>
              <w:t xml:space="preserve">    </w:t>
            </w:r>
            <w:r>
              <w:rPr>
                <w:rFonts w:hint="eastAsia" w:ascii="宋体" w:hAnsi="宋体" w:cs="宋体"/>
                <w:i w:val="0"/>
                <w:color w:val="auto"/>
                <w:kern w:val="0"/>
                <w:sz w:val="21"/>
                <w:szCs w:val="21"/>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计算方法：</w:t>
            </w:r>
            <w:r>
              <w:rPr>
                <w:rFonts w:hint="eastAsia" w:ascii="宋体" w:hAnsi="宋体" w:eastAsia="宋体" w:cs="宋体"/>
                <w:i w:val="0"/>
                <w:color w:val="auto"/>
                <w:kern w:val="0"/>
                <w:sz w:val="21"/>
                <w:szCs w:val="21"/>
                <w:u w:val="none"/>
                <w:lang w:val="en-US" w:eastAsia="zh-CN" w:bidi="ar"/>
              </w:rPr>
              <w:t>Q=（Q</w:t>
            </w:r>
            <w:r>
              <w:rPr>
                <w:rFonts w:hint="eastAsia" w:ascii="宋体" w:hAnsi="宋体" w:eastAsia="Times New Roman" w:cs="宋体"/>
                <w:i w:val="0"/>
                <w:color w:val="auto"/>
                <w:kern w:val="0"/>
                <w:sz w:val="21"/>
                <w:szCs w:val="21"/>
                <w:u w:val="none"/>
                <w:vertAlign w:val="subscript"/>
                <w:lang w:val="en-US" w:eastAsia="zh-CN" w:bidi="ar"/>
              </w:rPr>
              <w:t>0</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1</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2</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3</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4</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5</w:t>
            </w:r>
            <w:r>
              <w:rPr>
                <w:rFonts w:hint="eastAsia" w:ascii="宋体" w:hAnsi="宋体" w:eastAsia="宋体" w:cs="宋体"/>
                <w:i w:val="0"/>
                <w:color w:val="auto"/>
                <w:kern w:val="0"/>
                <w:sz w:val="21"/>
                <w:szCs w:val="21"/>
                <w:u w:val="none"/>
                <w:lang w:val="en-US" w:eastAsia="zh-CN" w:bidi="ar"/>
              </w:rPr>
              <w:t>+Q</w:t>
            </w:r>
            <w:r>
              <w:rPr>
                <w:rFonts w:hint="eastAsia" w:ascii="宋体" w:hAnsi="宋体" w:eastAsia="宋体" w:cs="宋体"/>
                <w:i w:val="0"/>
                <w:color w:val="auto"/>
                <w:kern w:val="0"/>
                <w:sz w:val="21"/>
                <w:szCs w:val="21"/>
                <w:u w:val="none"/>
                <w:vertAlign w:val="subscript"/>
                <w:lang w:val="en-US" w:eastAsia="zh-CN" w:bidi="ar"/>
              </w:rPr>
              <w:t>A</w:t>
            </w:r>
            <w:r>
              <w:rPr>
                <w:rFonts w:hint="eastAsia" w:ascii="宋体" w:hAnsi="宋体" w:eastAsia="宋体" w:cs="宋体"/>
                <w:i w:val="0"/>
                <w:color w:val="auto"/>
                <w:kern w:val="0"/>
                <w:sz w:val="21"/>
                <w:szCs w:val="21"/>
                <w:u w:val="none"/>
                <w:lang w:val="en-US" w:eastAsia="zh-CN" w:bidi="ar"/>
              </w:rPr>
              <w:t>）/</w:t>
            </w:r>
            <w:r>
              <w:rPr>
                <w:rFonts w:hint="eastAsia" w:ascii="宋体" w:hAnsi="宋体" w:eastAsia="Times New Roman" w:cs="宋体"/>
                <w:i w:val="0"/>
                <w:color w:val="auto"/>
                <w:kern w:val="0"/>
                <w:sz w:val="21"/>
                <w:szCs w:val="21"/>
                <w:u w:val="none"/>
                <w:lang w:val="en-US" w:eastAsia="zh-CN" w:bidi="ar"/>
              </w:rPr>
              <w:t>10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0</w:t>
            </w:r>
            <w:r>
              <w:rPr>
                <w:rFonts w:hint="eastAsia" w:ascii="宋体" w:hAnsi="宋体" w:eastAsia="宋体" w:cs="宋体"/>
                <w:i w:val="0"/>
                <w:color w:val="auto"/>
                <w:kern w:val="0"/>
                <w:sz w:val="21"/>
                <w:szCs w:val="21"/>
                <w:u w:val="none"/>
                <w:lang w:val="en-US" w:eastAsia="zh-CN" w:bidi="ar"/>
              </w:rPr>
              <w:t>为控制项基础分值，当满足所有控制项的要求是取</w:t>
            </w:r>
            <w:r>
              <w:rPr>
                <w:rFonts w:hint="eastAsia" w:ascii="宋体" w:hAnsi="宋体" w:eastAsia="Times New Roman" w:cs="宋体"/>
                <w:i w:val="0"/>
                <w:color w:val="auto"/>
                <w:kern w:val="0"/>
                <w:sz w:val="21"/>
                <w:szCs w:val="21"/>
                <w:u w:val="none"/>
                <w:lang w:val="en-US" w:eastAsia="zh-CN" w:bidi="ar"/>
              </w:rPr>
              <w:t>400</w:t>
            </w:r>
            <w:r>
              <w:rPr>
                <w:rFonts w:hint="eastAsia" w:ascii="宋体" w:hAnsi="宋体" w:eastAsia="宋体" w:cs="宋体"/>
                <w:i w:val="0"/>
                <w:color w:val="auto"/>
                <w:kern w:val="0"/>
                <w:sz w:val="21"/>
                <w:szCs w:val="21"/>
                <w:u w:val="none"/>
                <w:lang w:val="en-US" w:eastAsia="zh-CN" w:bidi="ar"/>
              </w:rPr>
              <w:t>分。</w:t>
            </w:r>
          </w:p>
        </w:tc>
      </w:tr>
    </w:tbl>
    <w:p>
      <w:pPr>
        <w:rPr>
          <w:rFonts w:hint="eastAsia"/>
          <w:color w:val="auto"/>
          <w:sz w:val="28"/>
          <w:szCs w:val="28"/>
          <w:lang w:val="en-US" w:eastAsia="zh-CN"/>
        </w:rPr>
      </w:pPr>
    </w:p>
    <w:p>
      <w:pPr>
        <w:rPr>
          <w:rFonts w:hint="eastAsia"/>
          <w:b/>
          <w:bCs/>
          <w:color w:val="auto"/>
          <w:sz w:val="28"/>
          <w:szCs w:val="28"/>
          <w:lang w:val="en-US" w:eastAsia="zh-CN"/>
        </w:rPr>
      </w:pPr>
      <w:r>
        <w:rPr>
          <w:rFonts w:hint="eastAsia"/>
          <w:color w:val="auto"/>
          <w:sz w:val="28"/>
          <w:szCs w:val="28"/>
          <w:lang w:val="en-US" w:eastAsia="zh-CN"/>
        </w:rPr>
        <w:t>上述</w:t>
      </w:r>
      <w:r>
        <w:rPr>
          <w:rFonts w:hint="eastAsia"/>
          <w:color w:val="auto"/>
          <w:sz w:val="28"/>
          <w:szCs w:val="28"/>
        </w:rPr>
        <w:t>绿色建筑设计自评</w:t>
      </w:r>
      <w:r>
        <w:rPr>
          <w:rFonts w:hint="eastAsia"/>
          <w:color w:val="auto"/>
          <w:sz w:val="28"/>
          <w:szCs w:val="28"/>
          <w:lang w:val="en-US" w:eastAsia="zh-CN"/>
        </w:rPr>
        <w:t>表</w:t>
      </w:r>
      <w:r>
        <w:rPr>
          <w:rFonts w:hint="eastAsia"/>
          <w:b w:val="0"/>
          <w:bCs w:val="0"/>
          <w:color w:val="auto"/>
          <w:sz w:val="28"/>
          <w:szCs w:val="28"/>
          <w:lang w:val="en-US" w:eastAsia="zh-CN"/>
        </w:rPr>
        <w:t>按专业细分为下面</w:t>
      </w:r>
      <w:r>
        <w:rPr>
          <w:rFonts w:hint="eastAsia" w:eastAsia="Times New Roman"/>
          <w:b w:val="0"/>
          <w:bCs w:val="0"/>
          <w:color w:val="auto"/>
          <w:sz w:val="28"/>
          <w:szCs w:val="28"/>
          <w:lang w:val="en-US" w:eastAsia="zh-CN"/>
        </w:rPr>
        <w:t>8</w:t>
      </w:r>
      <w:r>
        <w:rPr>
          <w:rFonts w:hint="eastAsia"/>
          <w:b w:val="0"/>
          <w:bCs w:val="0"/>
          <w:color w:val="auto"/>
          <w:sz w:val="28"/>
          <w:szCs w:val="28"/>
          <w:lang w:val="en-US" w:eastAsia="zh-CN"/>
        </w:rPr>
        <w:t>项：</w:t>
      </w:r>
    </w:p>
    <w:p>
      <w:pPr>
        <w:numPr>
          <w:ilvl w:val="0"/>
          <w:numId w:val="3"/>
        </w:numPr>
        <w:rPr>
          <w:rFonts w:hint="eastAsia"/>
          <w:color w:val="auto"/>
          <w:sz w:val="28"/>
          <w:szCs w:val="28"/>
          <w:lang w:val="en-US" w:eastAsia="zh-CN"/>
        </w:rPr>
      </w:pPr>
      <w:r>
        <w:rPr>
          <w:rFonts w:hint="eastAsia"/>
          <w:color w:val="auto"/>
          <w:sz w:val="28"/>
          <w:szCs w:val="28"/>
          <w:lang w:val="en-US" w:eastAsia="zh-CN"/>
        </w:rPr>
        <w:t>规划专业满足规划专篇中所有控制项要求，评分项得分如下：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规划专业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得分情况详见规划专篇（名称、图号）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ascii="宋体" w:hAnsi="宋体" w:eastAsia="宋体" w:cs="宋体"/>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default"/>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ascii="宋体" w:hAnsi="宋体" w:eastAsia="宋体" w:cs="宋体"/>
          <w:color w:val="auto"/>
          <w:sz w:val="28"/>
          <w:szCs w:val="28"/>
          <w:u w:val="single"/>
          <w:lang w:val="en-US" w:eastAsia="zh-CN"/>
        </w:rPr>
        <w:t xml:space="preserve">         </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lang w:val="en-US" w:eastAsia="zh-CN"/>
        </w:rPr>
      </w:pPr>
      <w:r>
        <w:rPr>
          <w:rFonts w:hint="eastAsia"/>
          <w:color w:val="auto"/>
          <w:sz w:val="28"/>
          <w:szCs w:val="28"/>
          <w:lang w:val="en-US" w:eastAsia="zh-CN"/>
        </w:rPr>
        <w:t>建筑专业满足规划专篇中所有控制项要求，评分项得分如下：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建筑专业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得分情况详见建筑专篇（名称、图号）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default"/>
          <w:color w:val="auto"/>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default"/>
          <w:color w:val="auto"/>
          <w:sz w:val="28"/>
          <w:szCs w:val="28"/>
          <w:lang w:val="en-US" w:eastAsia="zh-CN"/>
        </w:rPr>
      </w:pPr>
      <w:r>
        <w:rPr>
          <w:rFonts w:hint="eastAsia"/>
          <w:color w:val="auto"/>
          <w:sz w:val="28"/>
          <w:szCs w:val="28"/>
          <w:lang w:val="en-US" w:eastAsia="zh-CN"/>
        </w:rPr>
        <w:t>景观专业满足规划专篇中所有控制项要求，评分项得分如下：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景观专业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得分情况详见景观专篇（名称、图号）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default"/>
          <w:color w:val="auto"/>
          <w:sz w:val="28"/>
          <w:szCs w:val="28"/>
          <w:u w:val="none"/>
          <w:lang w:val="en-US" w:eastAsia="zh-CN"/>
        </w:rPr>
      </w:pPr>
      <w:r>
        <w:rPr>
          <w:rFonts w:hint="eastAsia"/>
          <w:color w:val="auto"/>
          <w:sz w:val="28"/>
          <w:szCs w:val="28"/>
          <w:lang w:val="en-US" w:eastAsia="zh-CN"/>
        </w:rPr>
        <w:t>结构专业满足规划专篇中所有控制项要求，评分项得分如下：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结构专业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得分情况详见结构专篇（名称、图号）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结构专业绿建设计负责人（签名）：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结构专业绿建审查员（签名）：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u w:val="none"/>
          <w:lang w:val="en-US" w:eastAsia="zh-CN"/>
        </w:rPr>
      </w:pPr>
      <w:r>
        <w:rPr>
          <w:rFonts w:hint="eastAsia"/>
          <w:color w:val="auto"/>
          <w:sz w:val="28"/>
          <w:szCs w:val="28"/>
          <w:lang w:val="en-US" w:eastAsia="zh-CN"/>
        </w:rPr>
        <w:t>给排水专业满足规划专篇中所有控制项要求，评分项得分如下：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给排水</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得分情况详见给排水专篇（名称、图号）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给排水专业绿建设计负责人（签名）：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ind w:leftChars="0"/>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给排水专业绿建审查员（签名）：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u w:val="none"/>
          <w:lang w:val="en-US" w:eastAsia="zh-CN"/>
        </w:rPr>
      </w:pPr>
      <w:r>
        <w:rPr>
          <w:rFonts w:hint="eastAsia"/>
          <w:color w:val="auto"/>
          <w:sz w:val="28"/>
          <w:szCs w:val="28"/>
          <w:lang w:val="en-US" w:eastAsia="zh-CN"/>
        </w:rPr>
        <w:t>电气专业满足电气专篇中所有控制项要求，评分项得分如下：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电气</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得分情况详见电气专篇（名称、图号）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电气专业绿建设计负责人（签名）：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ind w:leftChars="0"/>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电气专业绿建审查员（签名）：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u w:val="none"/>
          <w:lang w:val="en-US" w:eastAsia="zh-CN"/>
        </w:rPr>
      </w:pPr>
      <w:r>
        <w:rPr>
          <w:rFonts w:hint="eastAsia"/>
          <w:color w:val="auto"/>
          <w:sz w:val="28"/>
          <w:szCs w:val="28"/>
          <w:u w:val="none"/>
          <w:lang w:val="en-US" w:eastAsia="zh-CN"/>
        </w:rPr>
        <w:t>暖通专业</w:t>
      </w:r>
    </w:p>
    <w:p>
      <w:pPr>
        <w:numPr>
          <w:ilvl w:val="0"/>
          <w:numId w:val="0"/>
        </w:numPr>
        <w:ind w:leftChars="0"/>
        <w:rPr>
          <w:rFonts w:hint="default"/>
          <w:color w:val="auto"/>
          <w:sz w:val="28"/>
          <w:szCs w:val="28"/>
          <w:u w:val="none"/>
          <w:lang w:val="en-US" w:eastAsia="zh-CN"/>
        </w:rPr>
      </w:pPr>
      <w:r>
        <w:rPr>
          <w:rFonts w:hint="eastAsia"/>
          <w:color w:val="auto"/>
          <w:sz w:val="28"/>
          <w:szCs w:val="28"/>
          <w:lang w:val="en-US" w:eastAsia="zh-CN"/>
        </w:rPr>
        <w:t>暖通专业满足电气专篇中所有控制项要求，评分项得分如下：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暖通专业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得分情况详见暖通专篇（名称、图号）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暖通专业绿建设计负责人（签名）：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ind w:leftChars="0"/>
        <w:rPr>
          <w:rFonts w:hint="eastAsia"/>
          <w:b w:val="0"/>
          <w:bCs w:val="0"/>
          <w:color w:val="auto"/>
          <w:sz w:val="28"/>
          <w:szCs w:val="28"/>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暖通专业绿建审查员（签名）：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b w:val="0"/>
          <w:bCs w:val="0"/>
          <w:color w:val="auto"/>
          <w:sz w:val="28"/>
          <w:szCs w:val="28"/>
          <w:u w:val="single"/>
          <w:lang w:val="en-US" w:eastAsia="zh-CN"/>
        </w:rPr>
      </w:pPr>
      <w:r>
        <w:rPr>
          <w:rFonts w:hint="eastAsia"/>
          <w:b w:val="0"/>
          <w:bCs w:val="0"/>
          <w:color w:val="auto"/>
          <w:sz w:val="28"/>
          <w:szCs w:val="28"/>
          <w:lang w:val="en-US" w:eastAsia="zh-CN"/>
        </w:rPr>
        <w:t>创新和提高项中各专业均涉及条文（</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6</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7</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10</w:t>
      </w:r>
      <w:r>
        <w:rPr>
          <w:rFonts w:hint="eastAsia"/>
          <w:b w:val="0"/>
          <w:bCs w:val="0"/>
          <w:color w:val="auto"/>
          <w:sz w:val="28"/>
          <w:szCs w:val="28"/>
          <w:lang w:val="en-US" w:eastAsia="zh-CN"/>
        </w:rPr>
        <w:t>）得分</w:t>
      </w:r>
      <w:r>
        <w:rPr>
          <w:rFonts w:hint="eastAsia"/>
          <w:b w:val="0"/>
          <w:bCs w:val="0"/>
          <w:color w:val="auto"/>
          <w:sz w:val="28"/>
          <w:szCs w:val="28"/>
          <w:u w:val="single"/>
          <w:lang w:val="en-US" w:eastAsia="zh-CN"/>
        </w:rPr>
        <w:t xml:space="preserve">      </w:t>
      </w:r>
      <w:r>
        <w:rPr>
          <w:rFonts w:hint="eastAsia"/>
          <w:b w:val="0"/>
          <w:bCs w:val="0"/>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pStyle w:val="4"/>
        <w:spacing w:line="360" w:lineRule="auto"/>
        <w:rPr>
          <w:rFonts w:hint="default" w:ascii="Times New Roman" w:hAnsi="Times New Roman" w:eastAsia="宋体" w:cs="Times New Roman"/>
          <w:b/>
          <w:bCs w:val="0"/>
          <w:color w:val="auto"/>
          <w:sz w:val="30"/>
          <w:szCs w:val="30"/>
          <w:lang w:val="en-US" w:eastAsia="zh-CN"/>
        </w:rPr>
      </w:pPr>
      <w:bookmarkStart w:id="235" w:name="_Toc28715"/>
      <w:bookmarkStart w:id="236" w:name="_Toc17467"/>
      <w:bookmarkStart w:id="237" w:name="_Toc12944"/>
      <w:bookmarkStart w:id="238" w:name="_Toc14264"/>
      <w:bookmarkStart w:id="239" w:name="_Toc1557"/>
      <w:bookmarkStart w:id="240" w:name="_Toc2769"/>
      <w:bookmarkStart w:id="241" w:name="_Toc19429"/>
      <w:bookmarkStart w:id="242" w:name="_Toc1425"/>
      <w:bookmarkStart w:id="243" w:name="_Toc16068"/>
      <w:bookmarkStart w:id="244" w:name="_Toc18877"/>
      <w:bookmarkStart w:id="245" w:name="_Toc12755"/>
      <w:bookmarkStart w:id="246" w:name="_Toc10696"/>
      <w:bookmarkStart w:id="247" w:name="_Toc28335"/>
      <w:bookmarkStart w:id="248" w:name="_Toc31045"/>
      <w:bookmarkStart w:id="249" w:name="_Toc21985"/>
      <w:bookmarkStart w:id="250" w:name="_Toc568"/>
      <w:bookmarkStart w:id="251" w:name="_Toc22293"/>
      <w:bookmarkStart w:id="252" w:name="_Toc20274"/>
      <w:r>
        <w:rPr>
          <w:rFonts w:hint="default" w:ascii="Times New Roman" w:hAnsi="Times New Roman" w:eastAsia="Times New Roman" w:cs="Times New Roman"/>
          <w:b/>
          <w:bCs w:val="0"/>
          <w:color w:val="auto"/>
          <w:sz w:val="30"/>
          <w:szCs w:val="30"/>
          <w:lang w:val="en-US" w:eastAsia="zh-CN"/>
        </w:rPr>
        <w:t>4</w:t>
      </w:r>
      <w:r>
        <w:rPr>
          <w:rFonts w:hint="default" w:ascii="Times New Roman" w:hAnsi="Times New Roman" w:eastAsia="宋体" w:cs="Times New Roman"/>
          <w:b/>
          <w:bCs w:val="0"/>
          <w:color w:val="auto"/>
          <w:sz w:val="30"/>
          <w:szCs w:val="30"/>
          <w:lang w:val="en-US" w:eastAsia="zh-CN"/>
        </w:rPr>
        <w:t>.</w:t>
      </w:r>
      <w:r>
        <w:rPr>
          <w:rFonts w:hint="default" w:ascii="Times New Roman" w:hAnsi="Times New Roman" w:eastAsia="Times New Roman" w:cs="Times New Roman"/>
          <w:b/>
          <w:bCs w:val="0"/>
          <w:color w:val="auto"/>
          <w:sz w:val="30"/>
          <w:szCs w:val="30"/>
          <w:lang w:val="en-US" w:eastAsia="zh-CN"/>
        </w:rPr>
        <w:t>2</w:t>
      </w:r>
      <w:r>
        <w:rPr>
          <w:rFonts w:hint="default" w:ascii="Times New Roman" w:hAnsi="Times New Roman" w:eastAsia="宋体" w:cs="Times New Roman"/>
          <w:b/>
          <w:bCs w:val="0"/>
          <w:color w:val="auto"/>
          <w:sz w:val="30"/>
          <w:szCs w:val="30"/>
          <w:lang w:val="en-US" w:eastAsia="zh-CN"/>
        </w:rPr>
        <w:t xml:space="preserve">  中山市绿色建筑设计说明专篇-</w:t>
      </w:r>
      <w:r>
        <w:rPr>
          <w:rFonts w:hint="default"/>
          <w:b/>
          <w:bCs w:val="0"/>
          <w:color w:val="auto"/>
          <w:sz w:val="30"/>
          <w:szCs w:val="30"/>
          <w:lang w:val="en-US" w:eastAsia="zh-CN"/>
        </w:rPr>
        <w:t>规划、建筑、景观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spacing w:line="360" w:lineRule="auto"/>
        <w:jc w:val="center"/>
        <w:rPr>
          <w:rFonts w:hint="default"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中山市绿色建筑设计说明专篇-</w:t>
      </w:r>
      <w:r>
        <w:rPr>
          <w:rFonts w:hint="eastAsia" w:ascii="黑体" w:hAnsi="黑体" w:eastAsia="黑体" w:cs="黑体"/>
          <w:b w:val="0"/>
          <w:bCs w:val="0"/>
          <w:color w:val="auto"/>
          <w:sz w:val="30"/>
          <w:szCs w:val="30"/>
          <w:lang w:val="en-US" w:eastAsia="zh-CN"/>
        </w:rPr>
        <w:t>规划、建筑、景观</w:t>
      </w:r>
    </w:p>
    <w:p>
      <w:pPr>
        <w:jc w:val="left"/>
        <w:rPr>
          <w:rFonts w:hint="eastAsia" w:ascii="黑体" w:hAnsi="黑体" w:eastAsia="黑体" w:cs="黑体"/>
          <w:b/>
          <w:bCs/>
          <w:color w:val="auto"/>
          <w:sz w:val="28"/>
          <w:szCs w:val="28"/>
          <w:lang w:val="en-US" w:eastAsia="zh-CN"/>
        </w:rPr>
      </w:pPr>
      <w:r>
        <w:rPr>
          <w:rFonts w:hint="eastAsia"/>
          <w:b/>
          <w:bCs/>
          <w:color w:val="auto"/>
          <w:sz w:val="30"/>
          <w:szCs w:val="30"/>
          <w:lang w:val="en-US" w:eastAsia="zh-CN"/>
        </w:rPr>
        <w:t>（一）规划</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A.必须说明内容</w:t>
      </w:r>
      <w:r>
        <w:rPr>
          <w:rFonts w:hint="eastAsia" w:ascii="宋体" w:hAnsi="宋体" w:cs="宋体"/>
          <w:b/>
          <w:bCs/>
          <w:color w:val="auto"/>
          <w:sz w:val="28"/>
          <w:szCs w:val="28"/>
          <w:lang w:val="en-US" w:eastAsia="zh-CN"/>
        </w:rPr>
        <w:t>（控制项）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lang w:eastAsia="zh-CN"/>
        </w:rPr>
        <w:t>场地应避开滑坡</w:t>
      </w:r>
      <w:r>
        <w:rPr>
          <w:rFonts w:hint="eastAsia"/>
          <w:color w:val="auto"/>
          <w:sz w:val="28"/>
          <w:szCs w:val="28"/>
        </w:rPr>
        <w:t>、</w:t>
      </w:r>
      <w:r>
        <w:rPr>
          <w:rFonts w:hint="eastAsia"/>
          <w:color w:val="auto"/>
          <w:sz w:val="28"/>
          <w:szCs w:val="28"/>
          <w:lang w:eastAsia="zh-CN"/>
        </w:rPr>
        <w:t>泥石流等地质</w:t>
      </w:r>
      <w:r>
        <w:rPr>
          <w:rFonts w:hint="eastAsia"/>
          <w:color w:val="auto"/>
          <w:sz w:val="28"/>
          <w:szCs w:val="28"/>
        </w:rPr>
        <w:t>危险地</w:t>
      </w:r>
      <w:r>
        <w:rPr>
          <w:rFonts w:hint="eastAsia"/>
          <w:color w:val="auto"/>
          <w:sz w:val="28"/>
          <w:szCs w:val="28"/>
          <w:lang w:val="en-US" w:eastAsia="zh-CN"/>
        </w:rPr>
        <w:t>段</w:t>
      </w:r>
      <w:r>
        <w:rPr>
          <w:rFonts w:hint="eastAsia"/>
          <w:color w:val="auto"/>
          <w:sz w:val="28"/>
          <w:szCs w:val="28"/>
        </w:rPr>
        <w:t>，易发生</w:t>
      </w:r>
      <w:r>
        <w:rPr>
          <w:rFonts w:hint="eastAsia"/>
          <w:color w:val="auto"/>
          <w:sz w:val="28"/>
          <w:szCs w:val="28"/>
          <w:lang w:val="en-US" w:eastAsia="zh-CN"/>
        </w:rPr>
        <w:t>洪涝</w:t>
      </w:r>
      <w:r>
        <w:rPr>
          <w:rFonts w:hint="eastAsia"/>
          <w:color w:val="auto"/>
          <w:sz w:val="28"/>
          <w:szCs w:val="28"/>
        </w:rPr>
        <w:t>地区应有可靠的防</w:t>
      </w:r>
      <w:r>
        <w:rPr>
          <w:rFonts w:hint="eastAsia"/>
          <w:color w:val="auto"/>
          <w:sz w:val="28"/>
          <w:szCs w:val="28"/>
          <w:lang w:val="en-US" w:eastAsia="zh-CN"/>
        </w:rPr>
        <w:t>洪涝</w:t>
      </w:r>
      <w:r>
        <w:rPr>
          <w:rFonts w:hint="eastAsia"/>
          <w:color w:val="auto"/>
          <w:sz w:val="28"/>
          <w:szCs w:val="28"/>
        </w:rPr>
        <w:t>基础设施</w:t>
      </w:r>
      <w:r>
        <w:rPr>
          <w:rFonts w:hint="eastAsia"/>
          <w:color w:val="auto"/>
          <w:sz w:val="28"/>
          <w:szCs w:val="28"/>
          <w:lang w:eastAsia="zh-CN"/>
        </w:rPr>
        <w:t>；</w:t>
      </w:r>
      <w:r>
        <w:rPr>
          <w:rFonts w:hint="eastAsia"/>
          <w:color w:val="auto"/>
          <w:sz w:val="28"/>
          <w:szCs w:val="28"/>
        </w:rPr>
        <w:t>场地应无危险化学品、易燃</w:t>
      </w:r>
      <w:r>
        <w:rPr>
          <w:rFonts w:hint="eastAsia"/>
          <w:color w:val="auto"/>
          <w:sz w:val="28"/>
          <w:szCs w:val="28"/>
          <w:lang w:val="en-US" w:eastAsia="zh-CN"/>
        </w:rPr>
        <w:t>易</w:t>
      </w:r>
      <w:r>
        <w:rPr>
          <w:rFonts w:hint="eastAsia"/>
          <w:color w:val="auto"/>
          <w:sz w:val="28"/>
          <w:szCs w:val="28"/>
        </w:rPr>
        <w:t>爆危险</w:t>
      </w:r>
      <w:r>
        <w:rPr>
          <w:rFonts w:hint="eastAsia"/>
          <w:color w:val="auto"/>
          <w:sz w:val="28"/>
          <w:szCs w:val="28"/>
          <w:lang w:val="en-US" w:eastAsia="zh-CN"/>
        </w:rPr>
        <w:t>源</w:t>
      </w:r>
      <w:r>
        <w:rPr>
          <w:rFonts w:hint="eastAsia"/>
          <w:color w:val="auto"/>
          <w:sz w:val="28"/>
          <w:szCs w:val="28"/>
        </w:rPr>
        <w:t>的</w:t>
      </w:r>
      <w:r>
        <w:rPr>
          <w:rFonts w:hint="eastAsia"/>
          <w:color w:val="auto"/>
          <w:sz w:val="28"/>
          <w:szCs w:val="28"/>
          <w:lang w:val="en-US" w:eastAsia="zh-CN"/>
        </w:rPr>
        <w:t>威胁</w:t>
      </w:r>
      <w:r>
        <w:rPr>
          <w:rFonts w:hint="eastAsia"/>
          <w:color w:val="auto"/>
          <w:sz w:val="28"/>
          <w:szCs w:val="28"/>
        </w:rPr>
        <w:t>，应无电磁辐射、含</w:t>
      </w:r>
      <w:r>
        <w:rPr>
          <w:rFonts w:hint="eastAsia"/>
          <w:color w:val="auto"/>
          <w:sz w:val="28"/>
          <w:szCs w:val="28"/>
          <w:lang w:val="en-US" w:eastAsia="zh-CN"/>
        </w:rPr>
        <w:t>氡土壤</w:t>
      </w:r>
      <w:r>
        <w:rPr>
          <w:rFonts w:hint="eastAsia"/>
          <w:color w:val="auto"/>
          <w:sz w:val="28"/>
          <w:szCs w:val="28"/>
        </w:rPr>
        <w:t>的危害</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根据</w:t>
      </w:r>
      <w:r>
        <w:rPr>
          <w:rFonts w:hint="eastAsia"/>
          <w:color w:val="auto"/>
          <w:sz w:val="21"/>
          <w:szCs w:val="21"/>
          <w:lang w:val="en-US" w:eastAsia="zh-CN"/>
        </w:rPr>
        <w:t>项目</w:t>
      </w:r>
      <w:r>
        <w:rPr>
          <w:rFonts w:hint="eastAsia"/>
          <w:color w:val="auto"/>
          <w:sz w:val="21"/>
          <w:szCs w:val="21"/>
        </w:rPr>
        <w:t>选址进行具体分析</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8"/>
          <w:szCs w:val="28"/>
          <w:u w:val="none"/>
          <w:lang w:val="en-US" w:eastAsia="zh-CN"/>
        </w:rPr>
        <w:t>。</w:t>
      </w:r>
    </w:p>
    <w:p>
      <w:pPr>
        <w:rPr>
          <w:rFonts w:hint="eastAsia"/>
          <w:color w:val="auto"/>
          <w:sz w:val="28"/>
          <w:szCs w:val="28"/>
        </w:rPr>
      </w:pPr>
      <w:r>
        <w:rPr>
          <w:rFonts w:hint="eastAsia"/>
          <w:color w:val="auto"/>
          <w:sz w:val="28"/>
          <w:szCs w:val="28"/>
        </w:rPr>
        <w:t>证明</w:t>
      </w:r>
      <w:r>
        <w:rPr>
          <w:rFonts w:hint="eastAsia"/>
          <w:color w:val="auto"/>
          <w:sz w:val="28"/>
          <w:szCs w:val="28"/>
          <w:lang w:val="en-US" w:eastAsia="zh-CN"/>
        </w:rPr>
        <w:t>材</w:t>
      </w:r>
      <w:r>
        <w:rPr>
          <w:rFonts w:hint="eastAsia"/>
          <w:color w:val="auto"/>
          <w:sz w:val="28"/>
          <w:szCs w:val="28"/>
        </w:rPr>
        <w:t>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专业、图号</w:t>
      </w:r>
      <w:r>
        <w:rPr>
          <w:rFonts w:hint="eastAsia"/>
          <w:color w:val="auto"/>
          <w:sz w:val="28"/>
          <w:szCs w:val="28"/>
          <w:lang w:eastAsia="zh-CN"/>
        </w:rPr>
        <w:t>）□</w:t>
      </w:r>
      <w:r>
        <w:rPr>
          <w:rFonts w:hint="eastAsia"/>
          <w:color w:val="auto"/>
          <w:sz w:val="28"/>
          <w:szCs w:val="28"/>
        </w:rPr>
        <w:t>环评报告</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土壤氡</w:t>
      </w:r>
      <w:r>
        <w:rPr>
          <w:rFonts w:hint="eastAsia"/>
          <w:color w:val="auto"/>
          <w:sz w:val="28"/>
          <w:szCs w:val="28"/>
        </w:rPr>
        <w:t>检测报告</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电磁辐射</w:t>
      </w:r>
      <w:r>
        <w:rPr>
          <w:rFonts w:hint="eastAsia"/>
          <w:color w:val="auto"/>
          <w:sz w:val="28"/>
          <w:szCs w:val="28"/>
        </w:rPr>
        <w:t>检测报告</w:t>
      </w:r>
    </w:p>
    <w:p>
      <w:pPr>
        <w:rPr>
          <w:rFonts w:hint="eastAsia"/>
          <w:color w:val="auto"/>
          <w:sz w:val="28"/>
          <w:szCs w:val="28"/>
          <w:lang w:val="en-US" w:eastAsia="zh-CN"/>
        </w:rPr>
      </w:pPr>
      <w:r>
        <w:rPr>
          <w:rFonts w:hint="eastAsia" w:eastAsia="Times New Roman"/>
          <w:color w:val="auto"/>
          <w:sz w:val="28"/>
          <w:szCs w:val="28"/>
          <w:lang w:val="en-US" w:eastAsia="zh-CN"/>
        </w:rPr>
        <w:t>2</w:t>
      </w:r>
      <w:r>
        <w:rPr>
          <w:rFonts w:hint="eastAsia"/>
          <w:color w:val="auto"/>
          <w:sz w:val="28"/>
          <w:szCs w:val="28"/>
          <w:lang w:val="en-US" w:eastAsia="zh-CN"/>
        </w:rPr>
        <w:t>、场</w:t>
      </w:r>
      <w:r>
        <w:rPr>
          <w:rFonts w:hint="eastAsia"/>
          <w:color w:val="auto"/>
          <w:sz w:val="28"/>
          <w:szCs w:val="28"/>
        </w:rPr>
        <w:t>地人行出</w:t>
      </w:r>
      <w:r>
        <w:rPr>
          <w:rFonts w:hint="eastAsia"/>
          <w:color w:val="auto"/>
          <w:sz w:val="28"/>
          <w:szCs w:val="28"/>
          <w:lang w:val="en-US" w:eastAsia="zh-CN"/>
        </w:rPr>
        <w:t>入口</w:t>
      </w:r>
      <w:r>
        <w:rPr>
          <w:rFonts w:hint="eastAsia" w:eastAsia="Times New Roman"/>
          <w:color w:val="auto"/>
          <w:sz w:val="28"/>
          <w:szCs w:val="28"/>
        </w:rPr>
        <w:t>50</w:t>
      </w:r>
      <w:r>
        <w:rPr>
          <w:rFonts w:hint="eastAsia" w:eastAsia="Times New Roman"/>
          <w:color w:val="auto"/>
          <w:sz w:val="28"/>
          <w:szCs w:val="28"/>
          <w:lang w:val="en-US" w:eastAsia="zh-CN"/>
        </w:rPr>
        <w:t>0</w:t>
      </w:r>
      <w:r>
        <w:rPr>
          <w:rFonts w:hint="eastAsia"/>
          <w:color w:val="auto"/>
          <w:sz w:val="28"/>
          <w:szCs w:val="28"/>
          <w:lang w:val="en-US" w:eastAsia="zh-CN"/>
        </w:rPr>
        <w:t>m</w:t>
      </w:r>
      <w:r>
        <w:rPr>
          <w:rFonts w:hint="eastAsia"/>
          <w:color w:val="auto"/>
          <w:sz w:val="28"/>
          <w:szCs w:val="28"/>
        </w:rPr>
        <w:t>内应设有公共交通站点或配</w:t>
      </w:r>
      <w:r>
        <w:rPr>
          <w:rFonts w:hint="eastAsia"/>
          <w:color w:val="auto"/>
          <w:sz w:val="28"/>
          <w:szCs w:val="28"/>
          <w:lang w:val="en-US" w:eastAsia="zh-CN"/>
        </w:rPr>
        <w:t>备</w:t>
      </w:r>
      <w:r>
        <w:rPr>
          <w:rFonts w:hint="eastAsia"/>
          <w:color w:val="auto"/>
          <w:sz w:val="28"/>
          <w:szCs w:val="28"/>
        </w:rPr>
        <w:t>联系公共交通站点的专用</w:t>
      </w:r>
      <w:r>
        <w:rPr>
          <w:rFonts w:hint="eastAsia"/>
          <w:color w:val="auto"/>
          <w:sz w:val="28"/>
          <w:szCs w:val="28"/>
          <w:lang w:val="en-US" w:eastAsia="zh-CN"/>
        </w:rPr>
        <w:t>接驳车。（</w:t>
      </w: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根据</w:t>
      </w:r>
      <w:r>
        <w:rPr>
          <w:rFonts w:hint="eastAsia"/>
          <w:color w:val="auto"/>
          <w:sz w:val="21"/>
          <w:szCs w:val="21"/>
          <w:lang w:val="en-US" w:eastAsia="zh-CN"/>
        </w:rPr>
        <w:t>选</w:t>
      </w:r>
      <w:r>
        <w:rPr>
          <w:rFonts w:hint="eastAsia"/>
          <w:color w:val="auto"/>
          <w:sz w:val="21"/>
          <w:szCs w:val="21"/>
        </w:rPr>
        <w:t>址进行具体分析</w:t>
      </w:r>
      <w:r>
        <w:rPr>
          <w:rFonts w:hint="eastAsia"/>
          <w:color w:val="auto"/>
          <w:sz w:val="21"/>
          <w:szCs w:val="21"/>
          <w:lang w:eastAsia="zh-CN"/>
        </w:rPr>
        <w:t>。</w:t>
      </w:r>
      <w:r>
        <w:rPr>
          <w:rFonts w:hint="eastAsia"/>
          <w:color w:val="auto"/>
          <w:sz w:val="21"/>
          <w:szCs w:val="21"/>
          <w:lang w:val="en-US" w:eastAsia="zh-CN"/>
        </w:rPr>
        <w:t>对场地内公共交通站点之间的交通流线或联系公共交通站点的专用接驳车设置情况进行说明，其距离数值宜采用约数。）</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lang w:val="en-US" w:eastAsia="zh-CN"/>
        </w:rPr>
        <w:t>场地周边公共交通设施布局示意图；</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建筑规划布局应满足日照标准，且不得降低周边建筑的日照标准</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拟建建筑日照影响范围内有住宅建筑，其距离满足</w:t>
      </w:r>
      <w:r>
        <w:rPr>
          <w:rFonts w:hint="eastAsia"/>
          <w:color w:val="auto"/>
          <w:sz w:val="21"/>
          <w:szCs w:val="21"/>
          <w:lang w:val="en-US" w:eastAsia="zh-CN"/>
        </w:rPr>
        <w:t>市自然资源</w:t>
      </w:r>
      <w:r>
        <w:rPr>
          <w:rFonts w:hint="eastAsia"/>
          <w:color w:val="auto"/>
          <w:sz w:val="21"/>
          <w:szCs w:val="21"/>
        </w:rPr>
        <w:t>局</w:t>
      </w:r>
      <w:r>
        <w:rPr>
          <w:rFonts w:hint="eastAsia"/>
          <w:color w:val="auto"/>
          <w:sz w:val="21"/>
          <w:szCs w:val="21"/>
          <w:lang w:val="en-US" w:eastAsia="zh-CN"/>
        </w:rPr>
        <w:t>要</w:t>
      </w:r>
      <w:r>
        <w:rPr>
          <w:rFonts w:hint="eastAsia"/>
          <w:color w:val="auto"/>
          <w:sz w:val="21"/>
          <w:szCs w:val="21"/>
        </w:rPr>
        <w:t>求，不会周边建筑的日照产生影响</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专业、图号</w:t>
      </w:r>
      <w:r>
        <w:rPr>
          <w:rFonts w:hint="eastAsia"/>
          <w:color w:val="auto"/>
          <w:sz w:val="28"/>
          <w:szCs w:val="28"/>
          <w:lang w:eastAsia="zh-CN"/>
        </w:rPr>
        <w:t>）；□</w:t>
      </w:r>
      <w:r>
        <w:rPr>
          <w:rFonts w:hint="eastAsia"/>
          <w:color w:val="auto"/>
          <w:sz w:val="28"/>
          <w:szCs w:val="28"/>
          <w:lang w:val="en-US" w:eastAsia="zh-CN"/>
        </w:rPr>
        <w:t>日照模拟分析报告</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场地内不应有排放</w:t>
      </w:r>
      <w:r>
        <w:rPr>
          <w:rFonts w:hint="eastAsia"/>
          <w:color w:val="auto"/>
          <w:sz w:val="28"/>
          <w:szCs w:val="28"/>
          <w:lang w:val="en-US" w:eastAsia="zh-CN"/>
        </w:rPr>
        <w:t>超标</w:t>
      </w:r>
      <w:r>
        <w:rPr>
          <w:rFonts w:hint="eastAsia"/>
          <w:color w:val="auto"/>
          <w:sz w:val="28"/>
          <w:szCs w:val="28"/>
        </w:rPr>
        <w:t>的污染源</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lang w:val="en-US" w:eastAsia="zh-CN"/>
        </w:rPr>
        <w:t>6</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措施说明：</w:t>
      </w:r>
      <w:r>
        <w:rPr>
          <w:rFonts w:hint="eastAsia"/>
          <w:color w:val="auto"/>
          <w:sz w:val="21"/>
          <w:szCs w:val="21"/>
          <w:lang w:val="en-US" w:eastAsia="zh-CN"/>
        </w:rPr>
        <w:t>（</w:t>
      </w:r>
      <w:r>
        <w:rPr>
          <w:rFonts w:hint="eastAsia"/>
          <w:color w:val="auto"/>
          <w:sz w:val="21"/>
          <w:szCs w:val="21"/>
        </w:rPr>
        <w:t>根据项目情况进行具体分析</w:t>
      </w:r>
      <w:r>
        <w:rPr>
          <w:rFonts w:hint="eastAsia"/>
          <w:color w:val="auto"/>
          <w:sz w:val="21"/>
          <w:szCs w:val="21"/>
          <w:lang w:eastAsia="zh-CN"/>
        </w:rPr>
        <w:t>，</w:t>
      </w:r>
      <w:r>
        <w:rPr>
          <w:rFonts w:hint="eastAsia"/>
          <w:color w:val="auto"/>
          <w:sz w:val="21"/>
          <w:szCs w:val="21"/>
          <w:lang w:val="en-US" w:eastAsia="zh-CN"/>
        </w:rPr>
        <w:t>说明项目场地内的污染源及避免排放超标的控制措施。）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5</w:t>
      </w:r>
      <w:r>
        <w:rPr>
          <w:rFonts w:hint="eastAsia"/>
          <w:color w:val="auto"/>
          <w:sz w:val="28"/>
          <w:szCs w:val="28"/>
          <w:lang w:val="en-US" w:eastAsia="zh-CN"/>
        </w:rPr>
        <w:t>、总建筑面积达到</w:t>
      </w:r>
      <w:r>
        <w:rPr>
          <w:rFonts w:hint="eastAsia" w:eastAsia="Times New Roman"/>
          <w:color w:val="auto"/>
          <w:sz w:val="28"/>
          <w:szCs w:val="28"/>
          <w:lang w:val="en-US" w:eastAsia="zh-CN"/>
        </w:rPr>
        <w:t>10</w:t>
      </w:r>
      <w:r>
        <w:rPr>
          <w:rFonts w:hint="eastAsia"/>
          <w:color w:val="auto"/>
          <w:sz w:val="28"/>
          <w:szCs w:val="28"/>
          <w:lang w:val="en-US" w:eastAsia="zh-CN"/>
        </w:rPr>
        <w:t>万平方米及以上居住小区，应按室内人均建筑面积不低于</w:t>
      </w:r>
      <w:r>
        <w:rPr>
          <w:rFonts w:hint="eastAsia" w:eastAsia="Times New Roman"/>
          <w:color w:val="auto"/>
          <w:sz w:val="28"/>
          <w:szCs w:val="28"/>
          <w:lang w:val="en-US" w:eastAsia="zh-CN"/>
        </w:rPr>
        <w:t>0</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平方米或室外人均用地不低于</w:t>
      </w:r>
      <w:r>
        <w:rPr>
          <w:rFonts w:hint="eastAsia" w:eastAsia="Times New Roman"/>
          <w:color w:val="auto"/>
          <w:sz w:val="28"/>
          <w:szCs w:val="28"/>
          <w:lang w:val="en-US" w:eastAsia="zh-CN"/>
        </w:rPr>
        <w:t>0</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 xml:space="preserve">平方米标准，配建全民健身设施。（《广东省绿色建筑设计规范》DBJ/T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 xml:space="preserve"> </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val="en-US" w:eastAsia="zh-CN"/>
        </w:rPr>
        <w:t>条）</w:t>
      </w:r>
    </w:p>
    <w:p>
      <w:pPr>
        <w:rPr>
          <w:rFonts w:hint="default" w:eastAsia="宋体"/>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措施说明：</w:t>
      </w:r>
      <w:r>
        <w:rPr>
          <w:rFonts w:hint="eastAsia"/>
          <w:color w:val="auto"/>
          <w:sz w:val="21"/>
          <w:szCs w:val="21"/>
          <w:lang w:val="en-US" w:eastAsia="zh-CN"/>
        </w:rPr>
        <w:t>（</w:t>
      </w:r>
      <w:r>
        <w:rPr>
          <w:rFonts w:hint="eastAsia"/>
          <w:color w:val="auto"/>
          <w:sz w:val="21"/>
          <w:szCs w:val="21"/>
        </w:rPr>
        <w:t>根据项目情况进行具体分析</w:t>
      </w:r>
      <w:r>
        <w:rPr>
          <w:rFonts w:hint="eastAsia"/>
          <w:color w:val="auto"/>
          <w:sz w:val="21"/>
          <w:szCs w:val="21"/>
          <w:lang w:eastAsia="zh-CN"/>
        </w:rPr>
        <w:t>，</w:t>
      </w:r>
      <w:r>
        <w:rPr>
          <w:rFonts w:hint="eastAsia"/>
          <w:color w:val="auto"/>
          <w:sz w:val="21"/>
          <w:szCs w:val="21"/>
          <w:lang w:val="en-US" w:eastAsia="zh-CN"/>
        </w:rPr>
        <w:t>说明项目场地内的配建全民健身设施的情况。）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ascii="黑体" w:hAnsi="黑体" w:eastAsia="黑体" w:cs="黑体"/>
          <w:b/>
          <w:bCs/>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全民健身设施用地指标计算书</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B.自选说明内容（评分项）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场地与公共交通站点联系</w:t>
      </w:r>
      <w:r>
        <w:rPr>
          <w:rFonts w:hint="eastAsia"/>
          <w:color w:val="auto"/>
          <w:sz w:val="28"/>
          <w:szCs w:val="28"/>
          <w:lang w:val="en-US" w:eastAsia="zh-CN"/>
        </w:rPr>
        <w:t>便捷。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场地与公共交通站点联系便捷，评价总分值为</w:t>
      </w:r>
      <w:r>
        <w:rPr>
          <w:rFonts w:hint="eastAsia" w:eastAsia="Times New Roman"/>
          <w:i/>
          <w:iCs/>
          <w:color w:val="FF0000"/>
          <w:sz w:val="24"/>
          <w:szCs w:val="24"/>
          <w:lang w:val="en-US" w:eastAsia="zh-CN"/>
        </w:rPr>
        <w:t>8</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场地岀入口到达公共交通站点的步行距离不超过</w:t>
      </w:r>
      <w:r>
        <w:rPr>
          <w:rFonts w:hint="eastAsia" w:eastAsia="Times New Roman"/>
          <w:i/>
          <w:iCs/>
          <w:color w:val="FF0000"/>
          <w:sz w:val="24"/>
          <w:szCs w:val="24"/>
          <w:lang w:val="en-US" w:eastAsia="zh-CN"/>
        </w:rPr>
        <w:t>500</w:t>
      </w:r>
      <w:r>
        <w:rPr>
          <w:rFonts w:hint="eastAsia"/>
          <w:i/>
          <w:iCs/>
          <w:color w:val="FF0000"/>
          <w:sz w:val="24"/>
          <w:szCs w:val="24"/>
          <w:lang w:val="en-US" w:eastAsia="zh-CN"/>
        </w:rPr>
        <w:t>m，或到达轨道交通站的步行距离不大于</w:t>
      </w:r>
      <w:r>
        <w:rPr>
          <w:rFonts w:hint="eastAsia" w:eastAsia="Times New Roman"/>
          <w:i/>
          <w:iCs/>
          <w:color w:val="FF0000"/>
          <w:sz w:val="24"/>
          <w:szCs w:val="24"/>
          <w:lang w:val="en-US" w:eastAsia="zh-CN"/>
        </w:rPr>
        <w:t>800</w:t>
      </w:r>
      <w:r>
        <w:rPr>
          <w:rFonts w:hint="eastAsia"/>
          <w:i/>
          <w:iCs/>
          <w:color w:val="FF0000"/>
          <w:sz w:val="24"/>
          <w:szCs w:val="24"/>
          <w:lang w:val="en-US" w:eastAsia="zh-CN"/>
        </w:rPr>
        <w:t>m，得</w:t>
      </w:r>
      <w:r>
        <w:rPr>
          <w:rFonts w:hint="eastAsia" w:eastAsia="Times New Roman"/>
          <w:i/>
          <w:iCs/>
          <w:color w:val="FF0000"/>
          <w:sz w:val="24"/>
          <w:szCs w:val="24"/>
          <w:lang w:val="en-US" w:eastAsia="zh-CN"/>
        </w:rPr>
        <w:t>2</w:t>
      </w:r>
      <w:r>
        <w:rPr>
          <w:rFonts w:hint="eastAsia"/>
          <w:i/>
          <w:iCs/>
          <w:color w:val="FF0000"/>
          <w:sz w:val="24"/>
          <w:szCs w:val="24"/>
          <w:lang w:val="en-US" w:eastAsia="zh-CN"/>
        </w:rPr>
        <w:t>分；场地岀入口到达公共交通站点的步行距离不超过</w:t>
      </w:r>
      <w:r>
        <w:rPr>
          <w:rFonts w:hint="eastAsia" w:eastAsia="Times New Roman"/>
          <w:i/>
          <w:iCs/>
          <w:color w:val="FF0000"/>
          <w:sz w:val="24"/>
          <w:szCs w:val="24"/>
          <w:lang w:val="en-US" w:eastAsia="zh-CN"/>
        </w:rPr>
        <w:t>300</w:t>
      </w:r>
      <w:r>
        <w:rPr>
          <w:rFonts w:hint="eastAsia"/>
          <w:i/>
          <w:iCs/>
          <w:color w:val="FF0000"/>
          <w:sz w:val="24"/>
          <w:szCs w:val="24"/>
          <w:lang w:val="en-US" w:eastAsia="zh-CN"/>
        </w:rPr>
        <w:t>m，或到达轨道交通站的步行距离不大于</w:t>
      </w:r>
      <w:r>
        <w:rPr>
          <w:rFonts w:hint="eastAsia" w:eastAsia="Times New Roman"/>
          <w:i/>
          <w:iCs/>
          <w:color w:val="FF0000"/>
          <w:sz w:val="24"/>
          <w:szCs w:val="24"/>
          <w:lang w:val="en-US" w:eastAsia="zh-CN"/>
        </w:rPr>
        <w:t>500</w:t>
      </w:r>
      <w:r>
        <w:rPr>
          <w:rFonts w:hint="eastAsia"/>
          <w:i/>
          <w:iCs/>
          <w:color w:val="FF0000"/>
          <w:sz w:val="24"/>
          <w:szCs w:val="24"/>
          <w:lang w:val="en-US" w:eastAsia="zh-CN"/>
        </w:rPr>
        <w:t>m，得</w:t>
      </w:r>
      <w:r>
        <w:rPr>
          <w:rFonts w:hint="eastAsia" w:eastAsia="Times New Roman"/>
          <w:i/>
          <w:iCs/>
          <w:color w:val="FF0000"/>
          <w:sz w:val="24"/>
          <w:szCs w:val="24"/>
          <w:lang w:val="en-US" w:eastAsia="zh-CN"/>
        </w:rPr>
        <w:t>4</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场地岀入口步行距离</w:t>
      </w:r>
      <w:r>
        <w:rPr>
          <w:rFonts w:hint="eastAsia" w:eastAsia="Times New Roman"/>
          <w:i/>
          <w:iCs/>
          <w:color w:val="FF0000"/>
          <w:sz w:val="24"/>
          <w:szCs w:val="24"/>
          <w:lang w:val="en-US" w:eastAsia="zh-CN"/>
        </w:rPr>
        <w:t>800</w:t>
      </w:r>
      <w:r>
        <w:rPr>
          <w:rFonts w:hint="eastAsia"/>
          <w:i/>
          <w:iCs/>
          <w:color w:val="FF0000"/>
          <w:sz w:val="24"/>
          <w:szCs w:val="24"/>
          <w:lang w:val="en-US" w:eastAsia="zh-CN"/>
        </w:rPr>
        <w:t>m范围内设有不少于</w:t>
      </w:r>
      <w:r>
        <w:rPr>
          <w:rFonts w:hint="eastAsia" w:eastAsia="Times New Roman"/>
          <w:i/>
          <w:iCs/>
          <w:color w:val="FF0000"/>
          <w:sz w:val="24"/>
          <w:szCs w:val="24"/>
          <w:lang w:val="en-US" w:eastAsia="zh-CN"/>
        </w:rPr>
        <w:t>2</w:t>
      </w:r>
      <w:r>
        <w:rPr>
          <w:rFonts w:hint="eastAsia"/>
          <w:i/>
          <w:iCs/>
          <w:color w:val="FF0000"/>
          <w:sz w:val="24"/>
          <w:szCs w:val="24"/>
          <w:lang w:val="en-US" w:eastAsia="zh-CN"/>
        </w:rPr>
        <w:t>条线路的公共交通站点，得</w:t>
      </w:r>
      <w:r>
        <w:rPr>
          <w:rFonts w:hint="eastAsia" w:eastAsia="Times New Roman"/>
          <w:i/>
          <w:iCs/>
          <w:color w:val="FF0000"/>
          <w:sz w:val="24"/>
          <w:szCs w:val="24"/>
          <w:lang w:val="en-US" w:eastAsia="zh-CN"/>
        </w:rPr>
        <w:t>4</w:t>
      </w:r>
      <w:r>
        <w:rPr>
          <w:rFonts w:hint="eastAsia"/>
          <w:i/>
          <w:iCs/>
          <w:color w:val="FF0000"/>
          <w:sz w:val="24"/>
          <w:szCs w:val="24"/>
          <w:lang w:val="en-US" w:eastAsia="zh-CN"/>
        </w:rPr>
        <w:t>分。</w:t>
      </w:r>
    </w:p>
    <w:p>
      <w:pPr>
        <w:rPr>
          <w:rFonts w:hint="default"/>
          <w:color w:val="auto"/>
          <w:sz w:val="21"/>
          <w:szCs w:val="21"/>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对场地内公共交通站点之同的交通流线或联系公共交通</w:t>
      </w:r>
      <w:r>
        <w:rPr>
          <w:rFonts w:hint="eastAsia"/>
          <w:color w:val="auto"/>
          <w:sz w:val="21"/>
          <w:szCs w:val="21"/>
          <w:lang w:val="en-US" w:eastAsia="zh-CN"/>
        </w:rPr>
        <w:t>站</w:t>
      </w:r>
      <w:r>
        <w:rPr>
          <w:rFonts w:hint="eastAsia"/>
          <w:color w:val="auto"/>
          <w:sz w:val="21"/>
          <w:szCs w:val="21"/>
        </w:rPr>
        <w:t>点的专用</w:t>
      </w:r>
      <w:r>
        <w:rPr>
          <w:rFonts w:hint="eastAsia"/>
          <w:color w:val="auto"/>
          <w:sz w:val="21"/>
          <w:szCs w:val="21"/>
          <w:lang w:val="en-US" w:eastAsia="zh-CN"/>
        </w:rPr>
        <w:t>接驳车</w:t>
      </w:r>
      <w:r>
        <w:rPr>
          <w:rFonts w:hint="eastAsia"/>
          <w:color w:val="auto"/>
          <w:sz w:val="21"/>
          <w:szCs w:val="21"/>
        </w:rPr>
        <w:t>设置情况进行说明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场地周边公共交通设施布局示意图</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w:t>
      </w:r>
      <w:r>
        <w:rPr>
          <w:rFonts w:hint="eastAsia"/>
          <w:color w:val="auto"/>
          <w:sz w:val="28"/>
          <w:szCs w:val="28"/>
          <w:lang w:eastAsia="zh-CN"/>
        </w:rPr>
        <w:t>、图号）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提供便利的公共服务</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eastAsia="zh-CN"/>
        </w:rPr>
      </w:pPr>
      <w:r>
        <w:rPr>
          <w:rFonts w:hint="eastAsia"/>
          <w:i/>
          <w:iCs/>
          <w:color w:val="FF0000"/>
          <w:sz w:val="24"/>
          <w:szCs w:val="24"/>
          <w:lang w:val="en-US" w:eastAsia="zh-CN"/>
        </w:rPr>
        <w:t>对应条</w:t>
      </w:r>
      <w:r>
        <w:rPr>
          <w:rFonts w:hint="eastAsia" w:ascii="宋体" w:hAnsi="宋体" w:eastAsia="宋体" w:cs="宋体"/>
          <w:i/>
          <w:iCs/>
          <w:color w:val="FF0000"/>
          <w:sz w:val="24"/>
          <w:szCs w:val="24"/>
          <w:lang w:val="en-US" w:eastAsia="zh-CN"/>
        </w:rPr>
        <w:t>文：</w:t>
      </w:r>
      <w:r>
        <w:rPr>
          <w:rFonts w:hint="eastAsia" w:ascii="Times New Roman" w:hAnsi="Times New Roman" w:eastAsia="Times New Roman" w:cs="Times New Roman"/>
          <w:i/>
          <w:iCs/>
          <w:color w:val="FF0000"/>
          <w:sz w:val="24"/>
          <w:szCs w:val="24"/>
        </w:rPr>
        <w:t>6</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2</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3</w:t>
      </w:r>
      <w:r>
        <w:rPr>
          <w:rFonts w:hint="eastAsia" w:ascii="Times New Roman" w:hAnsi="Times New Roman" w:cs="Times New Roman"/>
          <w:i/>
          <w:iCs/>
          <w:color w:val="FF0000"/>
          <w:sz w:val="24"/>
          <w:szCs w:val="24"/>
          <w:lang w:val="en-US" w:eastAsia="zh-CN"/>
        </w:rPr>
        <w:t xml:space="preserve">  </w:t>
      </w:r>
      <w:r>
        <w:rPr>
          <w:rFonts w:hint="eastAsia"/>
          <w:i/>
          <w:iCs/>
          <w:color w:val="FF0000"/>
          <w:sz w:val="24"/>
          <w:szCs w:val="24"/>
          <w:lang w:eastAsia="zh-CN"/>
        </w:rPr>
        <w:t>提供便利的公共服务，评价总分值为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分，并按下列规则评分：</w:t>
      </w:r>
    </w:p>
    <w:p>
      <w:pPr>
        <w:ind w:firstLine="480" w:firstLineChars="200"/>
        <w:rPr>
          <w:rFonts w:hint="eastAsia"/>
          <w:i/>
          <w:iCs/>
          <w:color w:val="FF0000"/>
          <w:sz w:val="24"/>
          <w:szCs w:val="24"/>
          <w:lang w:eastAsia="zh-CN"/>
        </w:rPr>
      </w:pPr>
      <w:r>
        <w:rPr>
          <w:rFonts w:hint="eastAsia" w:eastAsia="Times New Roman"/>
          <w:i/>
          <w:iCs/>
          <w:color w:val="FF0000"/>
          <w:sz w:val="24"/>
          <w:szCs w:val="24"/>
          <w:lang w:eastAsia="zh-CN"/>
        </w:rPr>
        <w:t>1</w:t>
      </w:r>
      <w:r>
        <w:rPr>
          <w:rFonts w:hint="eastAsia"/>
          <w:i/>
          <w:iCs/>
          <w:color w:val="FF0000"/>
          <w:sz w:val="24"/>
          <w:szCs w:val="24"/>
          <w:lang w:val="en-US" w:eastAsia="zh-CN"/>
        </w:rPr>
        <w:t xml:space="preserve">  </w:t>
      </w:r>
      <w:r>
        <w:rPr>
          <w:rFonts w:hint="eastAsia"/>
          <w:i/>
          <w:iCs/>
          <w:color w:val="FF0000"/>
          <w:sz w:val="24"/>
          <w:szCs w:val="24"/>
          <w:lang w:eastAsia="zh-CN"/>
        </w:rPr>
        <w:t>住宅建筑，满足下列要求中的</w:t>
      </w:r>
      <w:r>
        <w:rPr>
          <w:rFonts w:hint="eastAsia" w:eastAsia="Times New Roman"/>
          <w:i/>
          <w:iCs/>
          <w:color w:val="FF0000"/>
          <w:sz w:val="24"/>
          <w:szCs w:val="24"/>
          <w:lang w:eastAsia="zh-CN"/>
        </w:rPr>
        <w:t>4</w:t>
      </w:r>
      <w:r>
        <w:rPr>
          <w:rFonts w:hint="eastAsia"/>
          <w:i/>
          <w:iCs/>
          <w:color w:val="FF0000"/>
          <w:sz w:val="24"/>
          <w:szCs w:val="24"/>
          <w:lang w:eastAsia="zh-CN"/>
        </w:rPr>
        <w:t>项，得</w:t>
      </w:r>
      <w:r>
        <w:rPr>
          <w:rFonts w:hint="eastAsia" w:eastAsia="Times New Roman"/>
          <w:i/>
          <w:iCs/>
          <w:color w:val="FF0000"/>
          <w:sz w:val="24"/>
          <w:szCs w:val="24"/>
          <w:lang w:eastAsia="zh-CN"/>
        </w:rPr>
        <w:t>5</w:t>
      </w:r>
      <w:r>
        <w:rPr>
          <w:rFonts w:hint="eastAsia"/>
          <w:i/>
          <w:iCs/>
          <w:color w:val="FF0000"/>
          <w:sz w:val="24"/>
          <w:szCs w:val="24"/>
          <w:lang w:eastAsia="zh-CN"/>
        </w:rPr>
        <w:t>分；满足</w:t>
      </w:r>
      <w:r>
        <w:rPr>
          <w:rFonts w:hint="eastAsia" w:eastAsia="Times New Roman"/>
          <w:i/>
          <w:iCs/>
          <w:color w:val="FF0000"/>
          <w:sz w:val="24"/>
          <w:szCs w:val="24"/>
          <w:lang w:eastAsia="zh-CN"/>
        </w:rPr>
        <w:t>6</w:t>
      </w:r>
      <w:r>
        <w:rPr>
          <w:rFonts w:hint="eastAsia"/>
          <w:i/>
          <w:iCs/>
          <w:color w:val="FF0000"/>
          <w:sz w:val="24"/>
          <w:szCs w:val="24"/>
          <w:lang w:eastAsia="zh-CN"/>
        </w:rPr>
        <w:t>项及以上，得</w:t>
      </w:r>
      <w:r>
        <w:rPr>
          <w:rFonts w:hint="eastAsia" w:eastAsia="Times New Roman"/>
          <w:i/>
          <w:iCs/>
          <w:color w:val="FF0000"/>
          <w:sz w:val="24"/>
          <w:szCs w:val="24"/>
          <w:lang w:eastAsia="zh-CN"/>
        </w:rPr>
        <w:t>10</w:t>
      </w:r>
      <w:r>
        <w:rPr>
          <w:rFonts w:hint="eastAsia"/>
          <w:i/>
          <w:iCs/>
          <w:color w:val="FF0000"/>
          <w:sz w:val="24"/>
          <w:szCs w:val="24"/>
          <w:lang w:eastAsia="zh-CN"/>
        </w:rPr>
        <w:t>分。</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场地岀入口到达幼儿园的步行距离不大于</w:t>
      </w:r>
      <w:r>
        <w:rPr>
          <w:rFonts w:hint="eastAsia" w:eastAsia="Times New Roman"/>
          <w:i/>
          <w:iCs/>
          <w:color w:val="FF0000"/>
          <w:sz w:val="24"/>
          <w:szCs w:val="24"/>
          <w:lang w:eastAsia="zh-CN"/>
        </w:rPr>
        <w:t>300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场地岀入口到达小学的步行距离不大于</w:t>
      </w:r>
      <w:r>
        <w:rPr>
          <w:rFonts w:hint="eastAsia" w:eastAsia="Times New Roman"/>
          <w:i/>
          <w:iCs/>
          <w:color w:val="FF0000"/>
          <w:sz w:val="24"/>
          <w:szCs w:val="24"/>
          <w:lang w:eastAsia="zh-CN"/>
        </w:rPr>
        <w:t>500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w:t>
      </w:r>
      <w:r>
        <w:rPr>
          <w:rFonts w:hint="eastAsia"/>
          <w:i/>
          <w:iCs/>
          <w:color w:val="FF0000"/>
          <w:sz w:val="24"/>
          <w:szCs w:val="24"/>
          <w:lang w:eastAsia="zh-CN"/>
        </w:rPr>
        <w:t>场地岀入口到达中学的步行距离不大于</w:t>
      </w:r>
      <w:r>
        <w:rPr>
          <w:rFonts w:hint="eastAsia" w:eastAsia="Times New Roman"/>
          <w:i/>
          <w:iCs/>
          <w:color w:val="FF0000"/>
          <w:sz w:val="24"/>
          <w:szCs w:val="24"/>
          <w:lang w:eastAsia="zh-CN"/>
        </w:rPr>
        <w:t>1000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i/>
          <w:iCs/>
          <w:color w:val="FF0000"/>
          <w:sz w:val="24"/>
          <w:szCs w:val="24"/>
          <w:lang w:eastAsia="zh-CN"/>
        </w:rPr>
        <w:t>场地岀入口到达医院的步行距离不大于</w:t>
      </w:r>
      <w:r>
        <w:rPr>
          <w:rFonts w:hint="eastAsia" w:eastAsia="Times New Roman"/>
          <w:i/>
          <w:iCs/>
          <w:color w:val="FF0000"/>
          <w:sz w:val="24"/>
          <w:szCs w:val="24"/>
          <w:lang w:eastAsia="zh-CN"/>
        </w:rPr>
        <w:t>1000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i/>
          <w:iCs/>
          <w:color w:val="FF0000"/>
          <w:sz w:val="24"/>
          <w:szCs w:val="24"/>
          <w:lang w:eastAsia="zh-CN"/>
        </w:rPr>
        <w:t>场地岀入口到达群众文化活动设施的步行距离不大于</w:t>
      </w:r>
      <w:r>
        <w:rPr>
          <w:rFonts w:hint="eastAsia" w:eastAsia="Times New Roman"/>
          <w:i/>
          <w:iCs/>
          <w:color w:val="FF0000"/>
          <w:sz w:val="24"/>
          <w:szCs w:val="24"/>
          <w:lang w:eastAsia="zh-CN"/>
        </w:rPr>
        <w:t>800</w:t>
      </w:r>
      <w:r>
        <w:rPr>
          <w:rFonts w:hint="eastAsia"/>
          <w:i/>
          <w:iCs/>
          <w:color w:val="FF0000"/>
          <w:sz w:val="24"/>
          <w:szCs w:val="24"/>
          <w:lang w:val="en-US" w:eastAsia="zh-CN"/>
        </w:rPr>
        <w:t>m</w:t>
      </w:r>
      <w:r>
        <w:rPr>
          <w:rFonts w:hint="eastAsia"/>
          <w:i/>
          <w:iCs/>
          <w:color w:val="FF0000"/>
          <w:sz w:val="24"/>
          <w:szCs w:val="24"/>
          <w:lang w:eastAsia="zh-CN"/>
        </w:rPr>
        <w:t>；</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i/>
          <w:iCs/>
          <w:color w:val="FF0000"/>
          <w:sz w:val="24"/>
          <w:szCs w:val="24"/>
          <w:lang w:eastAsia="zh-CN"/>
        </w:rPr>
        <w:t>场地岀入口到达老年人日间照料设施的步行距离不大于</w:t>
      </w:r>
      <w:r>
        <w:rPr>
          <w:rFonts w:hint="eastAsia" w:eastAsia="Times New Roman"/>
          <w:i/>
          <w:iCs/>
          <w:color w:val="FF0000"/>
          <w:sz w:val="24"/>
          <w:szCs w:val="24"/>
          <w:lang w:eastAsia="zh-CN"/>
        </w:rPr>
        <w:t>500</w:t>
      </w:r>
      <w:r>
        <w:rPr>
          <w:rFonts w:hint="eastAsia"/>
          <w:i/>
          <w:iCs/>
          <w:color w:val="FF0000"/>
          <w:sz w:val="24"/>
          <w:szCs w:val="24"/>
          <w:lang w:val="en-US" w:eastAsia="zh-CN"/>
        </w:rPr>
        <w:t>m</w:t>
      </w:r>
      <w:r>
        <w:rPr>
          <w:rFonts w:hint="eastAsia"/>
          <w:i/>
          <w:iCs/>
          <w:color w:val="FF0000"/>
          <w:sz w:val="24"/>
          <w:szCs w:val="24"/>
          <w:lang w:eastAsia="zh-CN"/>
        </w:rPr>
        <w:t>；</w:t>
      </w:r>
    </w:p>
    <w:p>
      <w:pPr>
        <w:numPr>
          <w:ilvl w:val="0"/>
          <w:numId w:val="0"/>
        </w:num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i/>
          <w:iCs/>
          <w:color w:val="FF0000"/>
          <w:sz w:val="24"/>
          <w:szCs w:val="24"/>
          <w:lang w:eastAsia="zh-CN"/>
        </w:rPr>
        <w:t>场地周边</w:t>
      </w:r>
      <w:r>
        <w:rPr>
          <w:rFonts w:hint="eastAsia" w:eastAsia="Times New Roman"/>
          <w:i/>
          <w:iCs/>
          <w:color w:val="FF0000"/>
          <w:sz w:val="24"/>
          <w:szCs w:val="24"/>
          <w:lang w:eastAsia="zh-CN"/>
        </w:rPr>
        <w:t>500</w:t>
      </w:r>
      <w:r>
        <w:rPr>
          <w:rFonts w:hint="eastAsia"/>
          <w:i/>
          <w:iCs/>
          <w:color w:val="FF0000"/>
          <w:sz w:val="24"/>
          <w:szCs w:val="24"/>
          <w:lang w:eastAsia="zh-CN"/>
        </w:rPr>
        <w:t>m范围内具有不少于</w:t>
      </w:r>
      <w:r>
        <w:rPr>
          <w:rFonts w:hint="eastAsia" w:eastAsia="Times New Roman"/>
          <w:i/>
          <w:iCs/>
          <w:color w:val="FF0000"/>
          <w:sz w:val="24"/>
          <w:szCs w:val="24"/>
          <w:lang w:eastAsia="zh-CN"/>
        </w:rPr>
        <w:t>3</w:t>
      </w:r>
      <w:r>
        <w:rPr>
          <w:rFonts w:hint="eastAsia"/>
          <w:i/>
          <w:iCs/>
          <w:color w:val="FF0000"/>
          <w:sz w:val="24"/>
          <w:szCs w:val="24"/>
          <w:lang w:eastAsia="zh-CN"/>
        </w:rPr>
        <w:t>种商业服务设施。</w:t>
      </w:r>
    </w:p>
    <w:p>
      <w:pPr>
        <w:ind w:firstLine="480" w:firstLineChars="200"/>
        <w:rPr>
          <w:rFonts w:hint="eastAsia"/>
          <w:i/>
          <w:iCs/>
          <w:color w:val="FF0000"/>
          <w:sz w:val="24"/>
          <w:szCs w:val="24"/>
          <w:lang w:eastAsia="zh-CN"/>
        </w:rPr>
      </w:pPr>
      <w:r>
        <w:rPr>
          <w:rFonts w:hint="eastAsia" w:eastAsia="Times New Roman"/>
          <w:i/>
          <w:iCs/>
          <w:color w:val="FF0000"/>
          <w:sz w:val="24"/>
          <w:szCs w:val="24"/>
          <w:lang w:eastAsia="zh-CN"/>
        </w:rPr>
        <w:t>2</w:t>
      </w:r>
      <w:r>
        <w:rPr>
          <w:rFonts w:hint="eastAsia"/>
          <w:i/>
          <w:iCs/>
          <w:color w:val="FF0000"/>
          <w:sz w:val="24"/>
          <w:szCs w:val="24"/>
          <w:lang w:val="en-US" w:eastAsia="zh-CN"/>
        </w:rPr>
        <w:t xml:space="preserve">  </w:t>
      </w:r>
      <w:r>
        <w:rPr>
          <w:rFonts w:hint="eastAsia"/>
          <w:i/>
          <w:iCs/>
          <w:color w:val="FF0000"/>
          <w:sz w:val="24"/>
          <w:szCs w:val="24"/>
          <w:lang w:eastAsia="zh-CN"/>
        </w:rPr>
        <w:t>公共建筑，满足下列要求中的</w:t>
      </w:r>
      <w:r>
        <w:rPr>
          <w:rFonts w:hint="eastAsia" w:eastAsia="Times New Roman"/>
          <w:i/>
          <w:iCs/>
          <w:color w:val="FF0000"/>
          <w:sz w:val="24"/>
          <w:szCs w:val="24"/>
          <w:lang w:eastAsia="zh-CN"/>
        </w:rPr>
        <w:t>3</w:t>
      </w:r>
      <w:r>
        <w:rPr>
          <w:rFonts w:hint="eastAsia"/>
          <w:i/>
          <w:iCs/>
          <w:color w:val="FF0000"/>
          <w:sz w:val="24"/>
          <w:szCs w:val="24"/>
          <w:lang w:eastAsia="zh-CN"/>
        </w:rPr>
        <w:t>项，得</w:t>
      </w:r>
      <w:r>
        <w:rPr>
          <w:rFonts w:hint="eastAsia" w:eastAsia="Times New Roman"/>
          <w:i/>
          <w:iCs/>
          <w:color w:val="FF0000"/>
          <w:sz w:val="24"/>
          <w:szCs w:val="24"/>
          <w:lang w:eastAsia="zh-CN"/>
        </w:rPr>
        <w:t>5</w:t>
      </w:r>
      <w:r>
        <w:rPr>
          <w:rFonts w:hint="eastAsia"/>
          <w:i/>
          <w:iCs/>
          <w:color w:val="FF0000"/>
          <w:sz w:val="24"/>
          <w:szCs w:val="24"/>
          <w:lang w:eastAsia="zh-CN"/>
        </w:rPr>
        <w:t>分；满足</w:t>
      </w:r>
      <w:r>
        <w:rPr>
          <w:rFonts w:hint="eastAsia" w:eastAsia="Times New Roman"/>
          <w:i/>
          <w:iCs/>
          <w:color w:val="FF0000"/>
          <w:sz w:val="24"/>
          <w:szCs w:val="24"/>
          <w:lang w:eastAsia="zh-CN"/>
        </w:rPr>
        <w:t>5</w:t>
      </w:r>
      <w:r>
        <w:rPr>
          <w:rFonts w:hint="eastAsia"/>
          <w:i/>
          <w:iCs/>
          <w:color w:val="FF0000"/>
          <w:sz w:val="24"/>
          <w:szCs w:val="24"/>
          <w:lang w:eastAsia="zh-CN"/>
        </w:rPr>
        <w:t>项，得</w:t>
      </w:r>
      <w:r>
        <w:rPr>
          <w:rFonts w:hint="eastAsia" w:eastAsia="Times New Roman"/>
          <w:i/>
          <w:iCs/>
          <w:color w:val="FF0000"/>
          <w:sz w:val="24"/>
          <w:szCs w:val="24"/>
          <w:lang w:eastAsia="zh-CN"/>
        </w:rPr>
        <w:t>10</w:t>
      </w:r>
      <w:r>
        <w:rPr>
          <w:rFonts w:hint="eastAsia"/>
          <w:i/>
          <w:iCs/>
          <w:color w:val="FF0000"/>
          <w:sz w:val="24"/>
          <w:szCs w:val="24"/>
          <w:lang w:eastAsia="zh-CN"/>
        </w:rPr>
        <w:t>分。</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建筑内至少兼容</w:t>
      </w:r>
      <w:r>
        <w:rPr>
          <w:rFonts w:hint="eastAsia" w:eastAsia="Times New Roman"/>
          <w:i/>
          <w:iCs/>
          <w:color w:val="FF0000"/>
          <w:sz w:val="24"/>
          <w:szCs w:val="24"/>
          <w:lang w:eastAsia="zh-CN"/>
        </w:rPr>
        <w:t>2</w:t>
      </w:r>
      <w:r>
        <w:rPr>
          <w:rFonts w:hint="eastAsia"/>
          <w:i/>
          <w:iCs/>
          <w:color w:val="FF0000"/>
          <w:sz w:val="24"/>
          <w:szCs w:val="24"/>
          <w:lang w:eastAsia="zh-CN"/>
        </w:rPr>
        <w:t>种面向社会的公共服务功能；</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建筑向社会公众提供开放的公共活动空间；</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w:t>
      </w:r>
      <w:r>
        <w:rPr>
          <w:rFonts w:hint="eastAsia"/>
          <w:i/>
          <w:iCs/>
          <w:color w:val="FF0000"/>
          <w:sz w:val="24"/>
          <w:szCs w:val="24"/>
          <w:lang w:eastAsia="zh-CN"/>
        </w:rPr>
        <w:t>电动汽车充电桩的车位数占总车位数的比例不低于</w:t>
      </w:r>
      <w:r>
        <w:rPr>
          <w:rFonts w:hint="eastAsia" w:eastAsia="Times New Roman"/>
          <w:i/>
          <w:iCs/>
          <w:color w:val="FF0000"/>
          <w:sz w:val="24"/>
          <w:szCs w:val="24"/>
          <w:lang w:eastAsia="zh-CN"/>
        </w:rPr>
        <w:t>10</w:t>
      </w:r>
      <w:r>
        <w:rPr>
          <w:rFonts w:hint="eastAsia"/>
          <w:i/>
          <w:iCs/>
          <w:color w:val="FF0000"/>
          <w:sz w:val="24"/>
          <w:szCs w:val="24"/>
          <w:lang w:eastAsia="zh-CN"/>
        </w:rPr>
        <w:t>%；</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i/>
          <w:iCs/>
          <w:color w:val="FF0000"/>
          <w:sz w:val="24"/>
          <w:szCs w:val="24"/>
          <w:lang w:eastAsia="zh-CN"/>
        </w:rPr>
        <w:t>周边</w:t>
      </w:r>
      <w:r>
        <w:rPr>
          <w:rFonts w:hint="eastAsia" w:eastAsia="Times New Roman"/>
          <w:i/>
          <w:iCs/>
          <w:color w:val="FF0000"/>
          <w:sz w:val="24"/>
          <w:szCs w:val="24"/>
          <w:lang w:eastAsia="zh-CN"/>
        </w:rPr>
        <w:t>500</w:t>
      </w:r>
      <w:r>
        <w:rPr>
          <w:rFonts w:hint="eastAsia"/>
          <w:i/>
          <w:iCs/>
          <w:color w:val="FF0000"/>
          <w:sz w:val="24"/>
          <w:szCs w:val="24"/>
          <w:lang w:eastAsia="zh-CN"/>
        </w:rPr>
        <w:t>m范围内设有社会公共停车场（库）；</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i/>
          <w:iCs/>
          <w:color w:val="FF0000"/>
          <w:sz w:val="24"/>
          <w:szCs w:val="24"/>
          <w:lang w:eastAsia="zh-CN"/>
        </w:rPr>
        <w:t>场地不封闭或场地内步行公共通道向社会开放。</w:t>
      </w:r>
    </w:p>
    <w:p>
      <w:pPr>
        <w:rPr>
          <w:rFonts w:hint="default" w:eastAsia="宋体"/>
          <w:color w:val="auto"/>
          <w:sz w:val="28"/>
          <w:szCs w:val="28"/>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说明项目各项公共服务的设置情况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公共服务设施布局图及位置标识图</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城市绿地、广场及公共运动场地等</w:t>
      </w:r>
      <w:r>
        <w:rPr>
          <w:rFonts w:hint="eastAsia"/>
          <w:color w:val="auto"/>
          <w:sz w:val="28"/>
          <w:szCs w:val="28"/>
          <w:lang w:val="en-US" w:eastAsia="zh-CN"/>
        </w:rPr>
        <w:t>开敞</w:t>
      </w:r>
      <w:r>
        <w:rPr>
          <w:rFonts w:hint="eastAsia"/>
          <w:color w:val="auto"/>
          <w:sz w:val="28"/>
          <w:szCs w:val="28"/>
        </w:rPr>
        <w:t>空间，步行可达</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4</w:t>
      </w:r>
      <w:r>
        <w:rPr>
          <w:rFonts w:hint="eastAsia"/>
          <w:i/>
          <w:iCs/>
          <w:color w:val="FF0000"/>
          <w:sz w:val="24"/>
          <w:szCs w:val="24"/>
          <w:lang w:val="en-US" w:eastAsia="zh-CN"/>
        </w:rPr>
        <w:t xml:space="preserve">  </w:t>
      </w:r>
      <w:r>
        <w:rPr>
          <w:rFonts w:hint="eastAsia"/>
          <w:i/>
          <w:iCs/>
          <w:color w:val="FF0000"/>
          <w:sz w:val="24"/>
          <w:szCs w:val="24"/>
          <w:lang w:eastAsia="zh-CN"/>
        </w:rPr>
        <w:t>城市绿地、广场及公共运动场地等开敞空间，步行可达，评价总分值为</w:t>
      </w:r>
      <w:r>
        <w:rPr>
          <w:rFonts w:hint="eastAsia" w:eastAsia="Times New Roman"/>
          <w:i/>
          <w:iCs/>
          <w:color w:val="FF0000"/>
          <w:sz w:val="24"/>
          <w:szCs w:val="24"/>
          <w:lang w:eastAsia="zh-CN"/>
        </w:rPr>
        <w:t>5</w:t>
      </w:r>
      <w:r>
        <w:rPr>
          <w:rFonts w:hint="eastAsia"/>
          <w:i/>
          <w:iCs/>
          <w:color w:val="FF0000"/>
          <w:sz w:val="24"/>
          <w:szCs w:val="24"/>
          <w:lang w:eastAsia="zh-CN"/>
        </w:rPr>
        <w:t>分，并按下列规则分别评分并累计：</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场地岀入口到达城市公园绿地、居住区公园、广场的步行距离不大于</w:t>
      </w:r>
      <w:r>
        <w:rPr>
          <w:rFonts w:hint="eastAsia" w:eastAsia="Times New Roman"/>
          <w:i/>
          <w:iCs/>
          <w:color w:val="FF0000"/>
          <w:sz w:val="24"/>
          <w:szCs w:val="24"/>
          <w:lang w:eastAsia="zh-CN"/>
        </w:rPr>
        <w:t>300</w:t>
      </w:r>
      <w:r>
        <w:rPr>
          <w:rFonts w:hint="eastAsia"/>
          <w:i/>
          <w:iCs/>
          <w:color w:val="FF0000"/>
          <w:sz w:val="24"/>
          <w:szCs w:val="24"/>
          <w:lang w:eastAsia="zh-CN"/>
        </w:rPr>
        <w:t>m，得</w:t>
      </w:r>
      <w:r>
        <w:rPr>
          <w:rFonts w:hint="eastAsia" w:eastAsia="Times New Roman"/>
          <w:i/>
          <w:iCs/>
          <w:color w:val="FF0000"/>
          <w:sz w:val="24"/>
          <w:szCs w:val="24"/>
          <w:lang w:eastAsia="zh-CN"/>
        </w:rPr>
        <w:t>3</w:t>
      </w:r>
      <w:r>
        <w:rPr>
          <w:rFonts w:hint="eastAsia"/>
          <w:i/>
          <w:iCs/>
          <w:color w:val="FF0000"/>
          <w:sz w:val="24"/>
          <w:szCs w:val="24"/>
          <w:lang w:eastAsia="zh-CN"/>
        </w:rPr>
        <w:t>分；</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到达中型多功能运动场地的步行距离不大于</w:t>
      </w:r>
      <w:r>
        <w:rPr>
          <w:rFonts w:hint="eastAsia" w:eastAsia="Times New Roman"/>
          <w:i/>
          <w:iCs/>
          <w:color w:val="FF0000"/>
          <w:sz w:val="24"/>
          <w:szCs w:val="24"/>
          <w:lang w:eastAsia="zh-CN"/>
        </w:rPr>
        <w:t>500</w:t>
      </w:r>
      <w:r>
        <w:rPr>
          <w:rFonts w:hint="eastAsia"/>
          <w:i/>
          <w:iCs/>
          <w:color w:val="FF0000"/>
          <w:sz w:val="24"/>
          <w:szCs w:val="24"/>
          <w:lang w:eastAsia="zh-CN"/>
        </w:rPr>
        <w:t>m，得</w:t>
      </w:r>
      <w:r>
        <w:rPr>
          <w:rFonts w:hint="eastAsia" w:eastAsia="Times New Roman"/>
          <w:i/>
          <w:iCs/>
          <w:color w:val="FF0000"/>
          <w:sz w:val="24"/>
          <w:szCs w:val="24"/>
          <w:lang w:eastAsia="zh-CN"/>
        </w:rPr>
        <w:t>2</w:t>
      </w:r>
      <w:r>
        <w:rPr>
          <w:rFonts w:hint="eastAsia"/>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说明项目场地周边的城市公共</w:t>
      </w:r>
      <w:r>
        <w:rPr>
          <w:rFonts w:hint="eastAsia"/>
          <w:color w:val="auto"/>
          <w:sz w:val="21"/>
          <w:szCs w:val="21"/>
          <w:lang w:val="en-US" w:eastAsia="zh-CN"/>
        </w:rPr>
        <w:t>开敞</w:t>
      </w:r>
      <w:r>
        <w:rPr>
          <w:rFonts w:hint="eastAsia"/>
          <w:color w:val="auto"/>
          <w:sz w:val="21"/>
          <w:szCs w:val="21"/>
        </w:rPr>
        <w:t>空间</w:t>
      </w:r>
      <w:r>
        <w:rPr>
          <w:rFonts w:hint="eastAsia"/>
          <w:color w:val="auto"/>
          <w:sz w:val="21"/>
          <w:szCs w:val="21"/>
          <w:lang w:eastAsia="zh-CN"/>
        </w:rPr>
        <w:t>；</w:t>
      </w:r>
      <w:r>
        <w:rPr>
          <w:rFonts w:hint="eastAsia"/>
          <w:color w:val="auto"/>
          <w:sz w:val="21"/>
          <w:szCs w:val="21"/>
        </w:rPr>
        <w:t>说明与中型多功能运动场地的步行</w:t>
      </w:r>
      <w:r>
        <w:rPr>
          <w:rFonts w:hint="eastAsia"/>
          <w:color w:val="auto"/>
          <w:sz w:val="21"/>
          <w:szCs w:val="21"/>
          <w:lang w:val="en-US" w:eastAsia="zh-CN"/>
        </w:rPr>
        <w:t>距离</w:t>
      </w:r>
      <w:r>
        <w:rPr>
          <w:rFonts w:hint="eastAsia"/>
          <w:color w:val="auto"/>
          <w:sz w:val="21"/>
          <w:szCs w:val="21"/>
        </w:rPr>
        <w:t>，其</w:t>
      </w:r>
      <w:r>
        <w:rPr>
          <w:rFonts w:hint="eastAsia"/>
          <w:color w:val="auto"/>
          <w:sz w:val="21"/>
          <w:szCs w:val="21"/>
          <w:lang w:val="en-US" w:eastAsia="zh-CN"/>
        </w:rPr>
        <w:t>距离</w:t>
      </w:r>
      <w:r>
        <w:rPr>
          <w:rFonts w:hint="eastAsia"/>
          <w:color w:val="auto"/>
          <w:sz w:val="21"/>
          <w:szCs w:val="21"/>
        </w:rPr>
        <w:t>数值</w:t>
      </w:r>
      <w:r>
        <w:rPr>
          <w:rFonts w:hint="eastAsia"/>
          <w:color w:val="auto"/>
          <w:sz w:val="21"/>
          <w:szCs w:val="21"/>
          <w:lang w:val="en-US" w:eastAsia="zh-CN"/>
        </w:rPr>
        <w:t>宜采用约数。）</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场地周边公共设施布局图或规划图</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、节</w:t>
      </w:r>
      <w:r>
        <w:rPr>
          <w:rFonts w:hint="eastAsia"/>
          <w:color w:val="auto"/>
          <w:sz w:val="28"/>
          <w:szCs w:val="28"/>
        </w:rPr>
        <w:t>约集约利用土地</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20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i/>
          <w:iCs/>
          <w:color w:val="FF0000"/>
          <w:sz w:val="24"/>
          <w:szCs w:val="24"/>
          <w:lang w:eastAsia="zh-CN"/>
        </w:rPr>
        <w:t>节约集约利用土地，评价总分值为</w:t>
      </w:r>
      <w:r>
        <w:rPr>
          <w:rFonts w:hint="eastAsia" w:eastAsia="Times New Roman"/>
          <w:i/>
          <w:iCs/>
          <w:color w:val="FF0000"/>
          <w:sz w:val="24"/>
          <w:szCs w:val="24"/>
          <w:lang w:eastAsia="zh-CN"/>
        </w:rPr>
        <w:t>20</w:t>
      </w:r>
      <w:r>
        <w:rPr>
          <w:rFonts w:hint="eastAsia"/>
          <w:i/>
          <w:iCs/>
          <w:color w:val="FF0000"/>
          <w:sz w:val="24"/>
          <w:szCs w:val="24"/>
          <w:lang w:eastAsia="zh-CN"/>
        </w:rPr>
        <w:t>分，并按下列规则评分：</w:t>
      </w:r>
    </w:p>
    <w:p>
      <w:pPr>
        <w:ind w:firstLine="480" w:firstLineChars="200"/>
        <w:rPr>
          <w:rFonts w:hint="eastAsia"/>
          <w:i/>
          <w:iCs/>
          <w:color w:val="FF0000"/>
          <w:sz w:val="24"/>
          <w:szCs w:val="24"/>
          <w:lang w:eastAsia="zh-CN"/>
        </w:rPr>
      </w:pPr>
      <w:r>
        <w:rPr>
          <w:rFonts w:hint="eastAsia" w:eastAsia="Times New Roman"/>
          <w:i/>
          <w:iCs/>
          <w:color w:val="FF0000"/>
          <w:sz w:val="24"/>
          <w:szCs w:val="24"/>
          <w:lang w:eastAsia="zh-CN"/>
        </w:rPr>
        <w:t>1</w:t>
      </w:r>
      <w:r>
        <w:rPr>
          <w:rFonts w:hint="eastAsia"/>
          <w:i/>
          <w:iCs/>
          <w:color w:val="FF0000"/>
          <w:sz w:val="24"/>
          <w:szCs w:val="24"/>
          <w:lang w:val="en-US" w:eastAsia="zh-CN"/>
        </w:rPr>
        <w:t xml:space="preserve"> </w:t>
      </w:r>
      <w:r>
        <w:rPr>
          <w:rFonts w:hint="eastAsia"/>
          <w:i/>
          <w:iCs/>
          <w:color w:val="FF0000"/>
          <w:sz w:val="24"/>
          <w:szCs w:val="24"/>
          <w:lang w:eastAsia="zh-CN"/>
        </w:rPr>
        <w:t>对于住宅建筑，根据其所在居住街坊人均住宅用地指标按表</w:t>
      </w:r>
      <w:r>
        <w:rPr>
          <w:rFonts w:hint="eastAsia" w:eastAsia="Times New Roman"/>
          <w:i/>
          <w:iCs/>
          <w:color w:val="FF0000"/>
          <w:sz w:val="24"/>
          <w:szCs w:val="24"/>
          <w:lang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eastAsia="zh-CN"/>
        </w:rPr>
        <w:t>的规则评分。</w:t>
      </w:r>
    </w:p>
    <w:p>
      <w:pPr>
        <w:spacing w:before="1" w:after="2"/>
        <w:ind w:right="0"/>
        <w:jc w:val="center"/>
        <w:rPr>
          <w:rFonts w:hint="eastAsia" w:ascii="宋体" w:hAnsi="宋体" w:eastAsia="宋体" w:cs="宋体"/>
          <w:b/>
          <w:bCs/>
          <w:i/>
          <w:iCs/>
          <w:color w:val="FF0000"/>
          <w:sz w:val="21"/>
          <w:szCs w:val="21"/>
        </w:rPr>
      </w:pPr>
      <w:r>
        <w:rPr>
          <w:rFonts w:hint="eastAsia" w:ascii="宋体" w:hAnsi="宋体" w:eastAsia="宋体" w:cs="宋体"/>
          <w:b/>
          <w:bCs/>
          <w:i/>
          <w:iCs/>
          <w:color w:val="FF0000"/>
          <w:sz w:val="21"/>
          <w:szCs w:val="21"/>
        </w:rPr>
        <w:t>表</w:t>
      </w:r>
      <w:r>
        <w:rPr>
          <w:rFonts w:hint="eastAsia" w:eastAsia="Times New Roman" w:cs="宋体"/>
          <w:b/>
          <w:bCs/>
          <w:i/>
          <w:iCs/>
          <w:color w:val="FF0000"/>
          <w:sz w:val="21"/>
          <w:szCs w:val="21"/>
          <w:lang w:val="en-US" w:eastAsia="zh-CN"/>
        </w:rPr>
        <w:t>7</w:t>
      </w:r>
      <w:r>
        <w:rPr>
          <w:rFonts w:hint="eastAsia" w:cs="宋体"/>
          <w:b/>
          <w:bCs/>
          <w:i/>
          <w:iCs/>
          <w:color w:val="FF0000"/>
          <w:sz w:val="21"/>
          <w:szCs w:val="21"/>
          <w:lang w:val="en-US" w:eastAsia="zh-CN"/>
        </w:rPr>
        <w:t>.</w:t>
      </w:r>
      <w:r>
        <w:rPr>
          <w:rFonts w:hint="eastAsia" w:eastAsia="Times New Roman" w:cs="宋体"/>
          <w:b/>
          <w:bCs/>
          <w:i/>
          <w:iCs/>
          <w:color w:val="FF0000"/>
          <w:sz w:val="21"/>
          <w:szCs w:val="21"/>
          <w:lang w:val="en-US" w:eastAsia="zh-CN"/>
        </w:rPr>
        <w:t>2</w:t>
      </w:r>
      <w:r>
        <w:rPr>
          <w:rFonts w:hint="eastAsia" w:cs="宋体"/>
          <w:b/>
          <w:bCs/>
          <w:i/>
          <w:iCs/>
          <w:color w:val="FF0000"/>
          <w:sz w:val="21"/>
          <w:szCs w:val="21"/>
          <w:lang w:val="en-US" w:eastAsia="zh-CN"/>
        </w:rPr>
        <w:t>.</w:t>
      </w:r>
      <w:r>
        <w:rPr>
          <w:rFonts w:hint="eastAsia" w:eastAsia="Times New Roman" w:cs="宋体"/>
          <w:b/>
          <w:bCs/>
          <w:i/>
          <w:iCs/>
          <w:color w:val="FF0000"/>
          <w:sz w:val="21"/>
          <w:szCs w:val="21"/>
          <w:lang w:val="en-US" w:eastAsia="zh-CN"/>
        </w:rPr>
        <w:t>1</w:t>
      </w:r>
      <w:r>
        <w:rPr>
          <w:rFonts w:hint="eastAsia" w:cs="宋体"/>
          <w:b/>
          <w:bCs/>
          <w:i/>
          <w:iCs/>
          <w:color w:val="FF0000"/>
          <w:sz w:val="21"/>
          <w:szCs w:val="21"/>
          <w:lang w:val="en-US" w:eastAsia="zh-CN"/>
        </w:rPr>
        <w:t>-</w:t>
      </w:r>
      <w:r>
        <w:rPr>
          <w:rFonts w:hint="eastAsia" w:eastAsia="Times New Roman" w:cs="宋体"/>
          <w:b/>
          <w:bCs/>
          <w:i/>
          <w:iCs/>
          <w:color w:val="FF0000"/>
          <w:sz w:val="21"/>
          <w:szCs w:val="21"/>
          <w:lang w:val="en-US" w:eastAsia="zh-CN"/>
        </w:rPr>
        <w:t>1</w:t>
      </w:r>
      <w:r>
        <w:rPr>
          <w:rFonts w:hint="eastAsia" w:ascii="宋体" w:hAnsi="宋体" w:eastAsia="宋体" w:cs="宋体"/>
          <w:b/>
          <w:bCs/>
          <w:i/>
          <w:iCs/>
          <w:color w:val="FF0000"/>
          <w:sz w:val="21"/>
          <w:szCs w:val="21"/>
        </w:rPr>
        <w:t>居住街坊人均住宅用地指标评分规则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886"/>
        <w:gridCol w:w="878"/>
        <w:gridCol w:w="871"/>
        <w:gridCol w:w="878"/>
        <w:gridCol w:w="871"/>
        <w:gridCol w:w="878"/>
        <w:gridCol w:w="634"/>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88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建筑气候区划</w:t>
            </w:r>
          </w:p>
        </w:tc>
        <w:tc>
          <w:tcPr>
            <w:tcW w:w="4376" w:type="dxa"/>
            <w:gridSpan w:val="5"/>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人均住宅用地指标A(m</w:t>
            </w:r>
            <w:r>
              <w:rPr>
                <w:rFonts w:hint="eastAsia" w:eastAsia="Times New Roman"/>
                <w:i/>
                <w:iCs/>
                <w:color w:val="FF0000"/>
                <w:sz w:val="18"/>
                <w:szCs w:val="18"/>
                <w:vertAlign w:val="superscript"/>
              </w:rPr>
              <w:t>2</w:t>
            </w:r>
            <w:r>
              <w:rPr>
                <w:rFonts w:hint="eastAsia"/>
                <w:i/>
                <w:iCs/>
                <w:color w:val="FF0000"/>
                <w:sz w:val="18"/>
                <w:szCs w:val="18"/>
              </w:rPr>
              <w:t>)</w:t>
            </w:r>
          </w:p>
        </w:tc>
        <w:tc>
          <w:tcPr>
            <w:tcW w:w="634" w:type="dxa"/>
            <w:vMerge w:val="restart"/>
            <w:tcBorders>
              <w:tl2br w:val="nil"/>
              <w:tr2bl w:val="nil"/>
            </w:tcBorders>
            <w:noWrap w:val="0"/>
            <w:vAlign w:val="center"/>
          </w:tcPr>
          <w:p>
            <w:pPr>
              <w:ind w:firstLine="0" w:firstLineChars="0"/>
              <w:jc w:val="center"/>
              <w:rPr>
                <w:rFonts w:hint="eastAsia"/>
                <w:i/>
                <w:iCs/>
                <w:color w:val="FF0000"/>
                <w:sz w:val="18"/>
                <w:szCs w:val="18"/>
              </w:rPr>
            </w:pPr>
            <w:r>
              <w:rPr>
                <w:rFonts w:hint="eastAsia"/>
                <w:i/>
                <w:iCs/>
                <w:color w:val="FF0000"/>
                <w:sz w:val="18"/>
                <w:szCs w:val="18"/>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623" w:hRule="atLeast"/>
          <w:jc w:val="center"/>
        </w:trPr>
        <w:tc>
          <w:tcPr>
            <w:tcW w:w="886" w:type="dxa"/>
            <w:vMerge w:val="continue"/>
            <w:tcBorders>
              <w:tl2br w:val="nil"/>
              <w:tr2bl w:val="nil"/>
            </w:tcBorders>
            <w:noWrap w:val="0"/>
            <w:vAlign w:val="center"/>
          </w:tcPr>
          <w:p>
            <w:pPr>
              <w:jc w:val="center"/>
              <w:rPr>
                <w:rFonts w:hint="eastAsia"/>
                <w:i/>
                <w:iCs/>
                <w:color w:val="FF0000"/>
                <w:sz w:val="18"/>
                <w:szCs w:val="18"/>
              </w:rPr>
            </w:pP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3</w:t>
            </w:r>
            <w:r>
              <w:rPr>
                <w:rFonts w:hint="eastAsia"/>
                <w:i/>
                <w:iCs/>
                <w:color w:val="FF0000"/>
                <w:sz w:val="18"/>
                <w:szCs w:val="18"/>
              </w:rPr>
              <w:t>层</w:t>
            </w:r>
          </w:p>
          <w:p>
            <w:pPr>
              <w:jc w:val="center"/>
              <w:rPr>
                <w:rFonts w:hint="eastAsia"/>
                <w:i/>
                <w:iCs/>
                <w:color w:val="FF0000"/>
                <w:sz w:val="18"/>
                <w:szCs w:val="18"/>
              </w:rPr>
            </w:pPr>
            <w:r>
              <w:rPr>
                <w:rFonts w:hint="eastAsia"/>
                <w:i/>
                <w:iCs/>
                <w:color w:val="FF0000"/>
                <w:sz w:val="18"/>
                <w:szCs w:val="18"/>
              </w:rPr>
              <w:t>及以下</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4</w:t>
            </w:r>
            <w:r>
              <w:rPr>
                <w:rFonts w:hint="eastAsia"/>
                <w:i/>
                <w:iCs/>
                <w:color w:val="FF0000"/>
                <w:sz w:val="18"/>
                <w:szCs w:val="18"/>
              </w:rPr>
              <w:t>~</w:t>
            </w:r>
          </w:p>
          <w:p>
            <w:pPr>
              <w:jc w:val="center"/>
              <w:rPr>
                <w:rFonts w:hint="eastAsia"/>
                <w:i/>
                <w:iCs/>
                <w:color w:val="FF0000"/>
                <w:sz w:val="18"/>
                <w:szCs w:val="18"/>
              </w:rPr>
            </w:pPr>
            <w:r>
              <w:rPr>
                <w:rFonts w:hint="eastAsia" w:eastAsia="Times New Roman"/>
                <w:i/>
                <w:iCs/>
                <w:color w:val="FF0000"/>
                <w:sz w:val="18"/>
                <w:szCs w:val="18"/>
              </w:rPr>
              <w:t>6</w:t>
            </w:r>
            <w:r>
              <w:rPr>
                <w:rFonts w:hint="eastAsia"/>
                <w:i/>
                <w:iCs/>
                <w:color w:val="FF0000"/>
                <w:sz w:val="18"/>
                <w:szCs w:val="18"/>
              </w:rPr>
              <w:t>层</w:t>
            </w:r>
          </w:p>
        </w:tc>
        <w:tc>
          <w:tcPr>
            <w:tcW w:w="878" w:type="dxa"/>
            <w:tcBorders>
              <w:tl2br w:val="nil"/>
              <w:tr2bl w:val="nil"/>
            </w:tcBorders>
            <w:noWrap w:val="0"/>
            <w:vAlign w:val="center"/>
          </w:tcPr>
          <w:p>
            <w:pPr>
              <w:jc w:val="center"/>
              <w:rPr>
                <w:rFonts w:hint="eastAsia" w:eastAsia="宋体"/>
                <w:i/>
                <w:iCs/>
                <w:color w:val="FF0000"/>
                <w:sz w:val="18"/>
                <w:szCs w:val="18"/>
                <w:lang w:val="en-US" w:eastAsia="zh-CN"/>
              </w:rPr>
            </w:pPr>
            <w:r>
              <w:rPr>
                <w:rFonts w:hint="eastAsia"/>
                <w:i/>
                <w:iCs/>
                <w:color w:val="FF0000"/>
                <w:sz w:val="18"/>
                <w:szCs w:val="18"/>
              </w:rPr>
              <w:t>平均</w:t>
            </w:r>
            <w:r>
              <w:rPr>
                <w:rFonts w:hint="eastAsia" w:eastAsia="Times New Roman"/>
                <w:i/>
                <w:iCs/>
                <w:color w:val="FF0000"/>
                <w:sz w:val="18"/>
                <w:szCs w:val="18"/>
              </w:rPr>
              <w:t>7</w:t>
            </w:r>
            <w:r>
              <w:rPr>
                <w:rFonts w:hint="eastAsia"/>
                <w:i/>
                <w:iCs/>
                <w:color w:val="FF0000"/>
                <w:sz w:val="18"/>
                <w:szCs w:val="18"/>
                <w:lang w:val="en-US" w:eastAsia="zh-CN"/>
              </w:rPr>
              <w:t>~</w:t>
            </w:r>
          </w:p>
          <w:p>
            <w:pPr>
              <w:jc w:val="center"/>
              <w:rPr>
                <w:rFonts w:hint="eastAsia"/>
                <w:i/>
                <w:iCs/>
                <w:color w:val="FF0000"/>
                <w:sz w:val="18"/>
                <w:szCs w:val="18"/>
              </w:rPr>
            </w:pPr>
            <w:r>
              <w:rPr>
                <w:rFonts w:hint="eastAsia" w:eastAsia="Times New Roman"/>
                <w:i/>
                <w:iCs/>
                <w:color w:val="FF0000"/>
                <w:sz w:val="18"/>
                <w:szCs w:val="18"/>
              </w:rPr>
              <w:t>9</w:t>
            </w:r>
            <w:r>
              <w:rPr>
                <w:rFonts w:hint="eastAsia"/>
                <w:i/>
                <w:iCs/>
                <w:color w:val="FF0000"/>
                <w:sz w:val="18"/>
                <w:szCs w:val="18"/>
              </w:rPr>
              <w:t>层</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10</w:t>
            </w:r>
            <w:r>
              <w:rPr>
                <w:rFonts w:hint="eastAsia"/>
                <w:i/>
                <w:iCs/>
                <w:color w:val="FF0000"/>
                <w:sz w:val="18"/>
                <w:szCs w:val="18"/>
              </w:rPr>
              <w:t>~</w:t>
            </w:r>
          </w:p>
          <w:p>
            <w:pPr>
              <w:jc w:val="center"/>
              <w:rPr>
                <w:rFonts w:hint="eastAsia"/>
                <w:i/>
                <w:iCs/>
                <w:color w:val="FF0000"/>
                <w:sz w:val="18"/>
                <w:szCs w:val="18"/>
              </w:rPr>
            </w:pPr>
            <w:r>
              <w:rPr>
                <w:rFonts w:hint="eastAsia" w:eastAsia="Times New Roman"/>
                <w:i/>
                <w:iCs/>
                <w:color w:val="FF0000"/>
                <w:sz w:val="18"/>
                <w:szCs w:val="18"/>
              </w:rPr>
              <w:t>18</w:t>
            </w:r>
            <w:r>
              <w:rPr>
                <w:rFonts w:hint="eastAsia"/>
                <w:i/>
                <w:iCs/>
                <w:color w:val="FF0000"/>
                <w:sz w:val="18"/>
                <w:szCs w:val="18"/>
              </w:rPr>
              <w:t>层</w:t>
            </w: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19</w:t>
            </w:r>
            <w:r>
              <w:rPr>
                <w:rFonts w:hint="eastAsia"/>
                <w:i/>
                <w:iCs/>
                <w:color w:val="FF0000"/>
                <w:sz w:val="18"/>
                <w:szCs w:val="18"/>
              </w:rPr>
              <w:t>层</w:t>
            </w:r>
          </w:p>
          <w:p>
            <w:pPr>
              <w:jc w:val="center"/>
              <w:rPr>
                <w:rFonts w:hint="eastAsia"/>
                <w:i/>
                <w:iCs/>
                <w:color w:val="FF0000"/>
                <w:sz w:val="18"/>
                <w:szCs w:val="18"/>
              </w:rPr>
            </w:pPr>
            <w:r>
              <w:rPr>
                <w:rFonts w:hint="eastAsia"/>
                <w:i/>
                <w:iCs/>
                <w:color w:val="FF0000"/>
                <w:sz w:val="18"/>
                <w:szCs w:val="18"/>
              </w:rPr>
              <w:t>及以上</w:t>
            </w:r>
          </w:p>
        </w:tc>
        <w:tc>
          <w:tcPr>
            <w:tcW w:w="634" w:type="dxa"/>
            <w:vMerge w:val="continue"/>
            <w:tcBorders>
              <w:tl2br w:val="nil"/>
              <w:tr2bl w:val="nil"/>
            </w:tcBorders>
            <w:noWrap w:val="0"/>
            <w:vAlign w:val="center"/>
          </w:tcPr>
          <w:p>
            <w:pPr>
              <w:jc w:val="center"/>
              <w:rPr>
                <w:rFonts w:hint="eastAsia"/>
                <w:i/>
                <w:iCs/>
                <w:color w:val="FF0000"/>
                <w:sz w:val="18"/>
                <w:szCs w:val="18"/>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86" w:hRule="atLeast"/>
          <w:jc w:val="center"/>
        </w:trPr>
        <w:tc>
          <w:tcPr>
            <w:tcW w:w="886" w:type="dxa"/>
            <w:vMerge w:val="restart"/>
            <w:tcBorders>
              <w:tl2br w:val="nil"/>
              <w:tr2bl w:val="nil"/>
            </w:tcBorders>
            <w:noWrap w:val="0"/>
            <w:vAlign w:val="center"/>
          </w:tcPr>
          <w:p>
            <w:pPr>
              <w:jc w:val="center"/>
              <w:rPr>
                <w:rFonts w:hint="default"/>
                <w:i/>
                <w:iCs/>
                <w:color w:val="FF0000"/>
                <w:sz w:val="18"/>
                <w:szCs w:val="18"/>
                <w:lang w:val="en-US"/>
              </w:rPr>
            </w:pPr>
            <w:r>
              <w:rPr>
                <w:rFonts w:hint="eastAsia"/>
                <w:i/>
                <w:iCs/>
                <w:color w:val="FF0000"/>
                <w:sz w:val="18"/>
                <w:szCs w:val="18"/>
                <w:lang w:val="en-US" w:eastAsia="zh-CN"/>
              </w:rPr>
              <w:t>Ⅰ、Ⅶ</w:t>
            </w:r>
          </w:p>
        </w:tc>
        <w:tc>
          <w:tcPr>
            <w:tcW w:w="878"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eastAsia="Times New Roman"/>
                <w:i/>
                <w:iCs/>
                <w:color w:val="FF0000"/>
                <w:sz w:val="18"/>
                <w:szCs w:val="18"/>
                <w:lang w:val="en-US" w:eastAsia="zh-CN"/>
              </w:rPr>
              <w:t>33</w:t>
            </w:r>
            <w:r>
              <w:rPr>
                <w:rFonts w:hint="eastAsia"/>
                <w:i/>
                <w:iCs/>
                <w:color w:val="FF0000"/>
                <w:sz w:val="18"/>
                <w:szCs w:val="18"/>
                <w:lang w:val="en-US" w:eastAsia="zh-CN"/>
              </w:rPr>
              <w:t>＜A≤</w:t>
            </w:r>
            <w:r>
              <w:rPr>
                <w:rFonts w:hint="eastAsia" w:eastAsia="Times New Roman"/>
                <w:i/>
                <w:iCs/>
                <w:color w:val="FF0000"/>
                <w:sz w:val="18"/>
                <w:szCs w:val="18"/>
                <w:lang w:val="en-US" w:eastAsia="zh-CN"/>
              </w:rPr>
              <w:t>36</w:t>
            </w:r>
          </w:p>
        </w:tc>
        <w:tc>
          <w:tcPr>
            <w:tcW w:w="871"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29</w:t>
            </w:r>
            <w:r>
              <w:rPr>
                <w:rFonts w:hint="eastAsia"/>
                <w:i/>
                <w:iCs/>
                <w:color w:val="FF0000"/>
                <w:sz w:val="18"/>
                <w:szCs w:val="18"/>
                <w:lang w:val="en-US" w:eastAsia="zh-CN"/>
              </w:rPr>
              <w:t>＜A≤</w:t>
            </w:r>
            <w:r>
              <w:rPr>
                <w:rFonts w:hint="eastAsia" w:eastAsia="Times New Roman"/>
                <w:i/>
                <w:iCs/>
                <w:color w:val="FF0000"/>
                <w:sz w:val="18"/>
                <w:szCs w:val="18"/>
                <w:lang w:val="en-US" w:eastAsia="zh-CN"/>
              </w:rPr>
              <w:t>32</w:t>
            </w:r>
          </w:p>
        </w:tc>
        <w:tc>
          <w:tcPr>
            <w:tcW w:w="878"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21</w:t>
            </w:r>
            <w:r>
              <w:rPr>
                <w:rFonts w:hint="eastAsia"/>
                <w:i/>
                <w:iCs/>
                <w:color w:val="FF0000"/>
                <w:sz w:val="18"/>
                <w:szCs w:val="18"/>
                <w:lang w:val="en-US" w:eastAsia="zh-CN"/>
              </w:rPr>
              <w:t>＜A≤</w:t>
            </w:r>
            <w:r>
              <w:rPr>
                <w:rFonts w:hint="eastAsia" w:eastAsia="Times New Roman"/>
                <w:i/>
                <w:iCs/>
                <w:color w:val="FF0000"/>
                <w:sz w:val="18"/>
                <w:szCs w:val="18"/>
                <w:lang w:val="en-US" w:eastAsia="zh-CN"/>
              </w:rPr>
              <w:t>22</w:t>
            </w:r>
          </w:p>
        </w:tc>
        <w:tc>
          <w:tcPr>
            <w:tcW w:w="871"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17</w:t>
            </w:r>
            <w:r>
              <w:rPr>
                <w:rFonts w:hint="eastAsia"/>
                <w:i/>
                <w:iCs/>
                <w:color w:val="FF0000"/>
                <w:sz w:val="18"/>
                <w:szCs w:val="18"/>
                <w:lang w:val="en-US" w:eastAsia="zh-CN"/>
              </w:rPr>
              <w:t>＜A≤</w:t>
            </w:r>
            <w:r>
              <w:rPr>
                <w:rFonts w:hint="eastAsia" w:eastAsia="Times New Roman"/>
                <w:i/>
                <w:iCs/>
                <w:color w:val="FF0000"/>
                <w:sz w:val="18"/>
                <w:szCs w:val="18"/>
                <w:lang w:val="en-US" w:eastAsia="zh-CN"/>
              </w:rPr>
              <w:t>19</w:t>
            </w:r>
          </w:p>
        </w:tc>
        <w:tc>
          <w:tcPr>
            <w:tcW w:w="878"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lang w:val="en-US" w:eastAsia="zh-CN"/>
              </w:rPr>
              <w:t>12</w:t>
            </w:r>
            <w:r>
              <w:rPr>
                <w:rFonts w:hint="eastAsia"/>
                <w:i/>
                <w:iCs/>
                <w:color w:val="FF0000"/>
                <w:sz w:val="18"/>
                <w:szCs w:val="18"/>
                <w:lang w:val="en-US" w:eastAsia="zh-CN"/>
              </w:rPr>
              <w:t>＜A≤</w:t>
            </w:r>
            <w:r>
              <w:rPr>
                <w:rFonts w:hint="eastAsia" w:eastAsia="Times New Roman"/>
                <w:i/>
                <w:iCs/>
                <w:color w:val="FF0000"/>
                <w:sz w:val="18"/>
                <w:szCs w:val="18"/>
                <w:lang w:val="en-US" w:eastAsia="zh-CN"/>
              </w:rPr>
              <w:t>13</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continue"/>
            <w:tcBorders>
              <w:tl2br w:val="nil"/>
              <w:tr2bl w:val="nil"/>
            </w:tcBorders>
            <w:noWrap w:val="0"/>
            <w:vAlign w:val="center"/>
          </w:tcPr>
          <w:p>
            <w:pPr>
              <w:jc w:val="center"/>
              <w:rPr>
                <w:rFonts w:hint="eastAsia"/>
                <w:i/>
                <w:iCs/>
                <w:color w:val="FF0000"/>
                <w:sz w:val="18"/>
                <w:szCs w:val="18"/>
              </w:rPr>
            </w:pP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33</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29</w:t>
            </w: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21</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17</w:t>
            </w: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12</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20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Ⅱ、Ⅵ</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33</w:t>
            </w:r>
            <w:r>
              <w:rPr>
                <w:rFonts w:hint="eastAsia"/>
                <w:i/>
                <w:iCs/>
                <w:color w:val="FF0000"/>
                <w:sz w:val="18"/>
                <w:szCs w:val="18"/>
                <w:lang w:val="en-US" w:eastAsia="zh-CN"/>
              </w:rPr>
              <w:t>＜A≤</w:t>
            </w:r>
            <w:r>
              <w:rPr>
                <w:rFonts w:hint="eastAsia" w:eastAsia="Times New Roman"/>
                <w:i/>
                <w:iCs/>
                <w:color w:val="FF0000"/>
                <w:sz w:val="18"/>
                <w:szCs w:val="18"/>
                <w:lang w:val="en-US" w:eastAsia="zh-CN"/>
              </w:rPr>
              <w:t>36</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27</w:t>
            </w:r>
            <w:r>
              <w:rPr>
                <w:rFonts w:hint="eastAsia"/>
                <w:i/>
                <w:iCs/>
                <w:color w:val="FF0000"/>
                <w:sz w:val="18"/>
                <w:szCs w:val="18"/>
                <w:lang w:val="en-US" w:eastAsia="zh-CN"/>
              </w:rPr>
              <w:t>＜A≤</w:t>
            </w:r>
            <w:r>
              <w:rPr>
                <w:rFonts w:hint="eastAsia" w:eastAsia="Times New Roman"/>
                <w:i/>
                <w:iCs/>
                <w:color w:val="FF0000"/>
                <w:sz w:val="18"/>
                <w:szCs w:val="18"/>
                <w:lang w:val="en-US" w:eastAsia="zh-CN"/>
              </w:rPr>
              <w:t>30</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20</w:t>
            </w:r>
            <w:r>
              <w:rPr>
                <w:rFonts w:hint="eastAsia"/>
                <w:i/>
                <w:iCs/>
                <w:color w:val="FF0000"/>
                <w:sz w:val="18"/>
                <w:szCs w:val="18"/>
                <w:lang w:val="en-US" w:eastAsia="zh-CN"/>
              </w:rPr>
              <w:t>＜A≤</w:t>
            </w:r>
            <w:r>
              <w:rPr>
                <w:rFonts w:hint="eastAsia" w:eastAsia="Times New Roman"/>
                <w:i/>
                <w:iCs/>
                <w:color w:val="FF0000"/>
                <w:sz w:val="18"/>
                <w:szCs w:val="18"/>
                <w:lang w:val="en-US" w:eastAsia="zh-CN"/>
              </w:rPr>
              <w:t>21</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16</w:t>
            </w:r>
            <w:r>
              <w:rPr>
                <w:rFonts w:hint="eastAsia"/>
                <w:i/>
                <w:iCs/>
                <w:color w:val="FF0000"/>
                <w:sz w:val="18"/>
                <w:szCs w:val="18"/>
                <w:lang w:val="en-US" w:eastAsia="zh-CN"/>
              </w:rPr>
              <w:t>＜A≤</w:t>
            </w:r>
            <w:r>
              <w:rPr>
                <w:rFonts w:hint="eastAsia" w:eastAsia="Times New Roman"/>
                <w:i/>
                <w:iCs/>
                <w:color w:val="FF0000"/>
                <w:sz w:val="18"/>
                <w:szCs w:val="18"/>
                <w:lang w:val="en-US" w:eastAsia="zh-CN"/>
              </w:rPr>
              <w:t>17</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12</w:t>
            </w:r>
            <w:r>
              <w:rPr>
                <w:rFonts w:hint="eastAsia"/>
                <w:i/>
                <w:iCs/>
                <w:color w:val="FF0000"/>
                <w:sz w:val="18"/>
                <w:szCs w:val="18"/>
                <w:lang w:val="en-US" w:eastAsia="zh-CN"/>
              </w:rPr>
              <w:t>＜A≤</w:t>
            </w:r>
            <w:r>
              <w:rPr>
                <w:rFonts w:hint="eastAsia" w:eastAsia="Times New Roman"/>
                <w:i/>
                <w:iCs/>
                <w:color w:val="FF0000"/>
                <w:sz w:val="18"/>
                <w:szCs w:val="18"/>
                <w:lang w:val="en-US" w:eastAsia="zh-CN"/>
              </w:rPr>
              <w:t>13</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15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continue"/>
            <w:tcBorders>
              <w:tl2br w:val="nil"/>
              <w:tr2bl w:val="nil"/>
            </w:tcBorders>
            <w:noWrap w:val="0"/>
            <w:vAlign w:val="center"/>
          </w:tcPr>
          <w:p>
            <w:pPr>
              <w:jc w:val="both"/>
              <w:rPr>
                <w:rFonts w:hint="eastAsia"/>
                <w:i/>
                <w:iCs/>
                <w:color w:val="FF0000"/>
                <w:sz w:val="18"/>
                <w:szCs w:val="18"/>
              </w:rPr>
            </w:pP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33</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2</w:t>
            </w:r>
            <w:r>
              <w:rPr>
                <w:rFonts w:hint="eastAsia" w:eastAsia="Times New Roman"/>
                <w:i/>
                <w:iCs/>
                <w:color w:val="FF0000"/>
                <w:sz w:val="18"/>
                <w:szCs w:val="18"/>
                <w:lang w:val="en-US" w:eastAsia="zh-CN"/>
              </w:rPr>
              <w:t>7</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2</w:t>
            </w:r>
            <w:r>
              <w:rPr>
                <w:rFonts w:hint="eastAsia" w:eastAsia="Times New Roman"/>
                <w:i/>
                <w:iCs/>
                <w:color w:val="FF0000"/>
                <w:sz w:val="18"/>
                <w:szCs w:val="18"/>
                <w:lang w:val="en-US" w:eastAsia="zh-CN"/>
              </w:rPr>
              <w:t>0</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w:t>
            </w:r>
            <w:r>
              <w:rPr>
                <w:rFonts w:hint="eastAsia" w:eastAsia="Times New Roman"/>
                <w:i/>
                <w:iCs/>
                <w:color w:val="FF0000"/>
                <w:sz w:val="18"/>
                <w:szCs w:val="18"/>
                <w:lang w:val="en-US" w:eastAsia="zh-CN"/>
              </w:rPr>
              <w:t>6</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12</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20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6"/>
                <w:szCs w:val="16"/>
                <w:lang w:val="en-US" w:eastAsia="zh-CN"/>
              </w:rPr>
              <w:t>Ⅲ、Ⅳ、Ⅴ</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33</w:t>
            </w:r>
            <w:r>
              <w:rPr>
                <w:rFonts w:hint="eastAsia"/>
                <w:i/>
                <w:iCs/>
                <w:color w:val="FF0000"/>
                <w:sz w:val="18"/>
                <w:szCs w:val="18"/>
                <w:lang w:val="en-US" w:eastAsia="zh-CN"/>
              </w:rPr>
              <w:t>＜A≤</w:t>
            </w:r>
            <w:r>
              <w:rPr>
                <w:rFonts w:hint="eastAsia" w:eastAsia="Times New Roman"/>
                <w:i/>
                <w:iCs/>
                <w:color w:val="FF0000"/>
                <w:sz w:val="18"/>
                <w:szCs w:val="18"/>
                <w:lang w:val="en-US" w:eastAsia="zh-CN"/>
              </w:rPr>
              <w:t>36</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24</w:t>
            </w:r>
            <w:r>
              <w:rPr>
                <w:rFonts w:hint="eastAsia"/>
                <w:i/>
                <w:iCs/>
                <w:color w:val="FF0000"/>
                <w:sz w:val="18"/>
                <w:szCs w:val="18"/>
                <w:lang w:val="en-US" w:eastAsia="zh-CN"/>
              </w:rPr>
              <w:t>＜A≤</w:t>
            </w:r>
            <w:r>
              <w:rPr>
                <w:rFonts w:hint="eastAsia" w:eastAsia="Times New Roman"/>
                <w:i/>
                <w:iCs/>
                <w:color w:val="FF0000"/>
                <w:sz w:val="18"/>
                <w:szCs w:val="18"/>
                <w:lang w:val="en-US" w:eastAsia="zh-CN"/>
              </w:rPr>
              <w:t>27</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19</w:t>
            </w:r>
            <w:r>
              <w:rPr>
                <w:rFonts w:hint="eastAsia"/>
                <w:i/>
                <w:iCs/>
                <w:color w:val="FF0000"/>
                <w:sz w:val="18"/>
                <w:szCs w:val="18"/>
                <w:lang w:val="en-US" w:eastAsia="zh-CN"/>
              </w:rPr>
              <w:t>＜A≤</w:t>
            </w:r>
            <w:r>
              <w:rPr>
                <w:rFonts w:hint="eastAsia" w:eastAsia="Times New Roman"/>
                <w:i/>
                <w:iCs/>
                <w:color w:val="FF0000"/>
                <w:sz w:val="18"/>
                <w:szCs w:val="18"/>
                <w:lang w:val="en-US" w:eastAsia="zh-CN"/>
              </w:rPr>
              <w:t>20</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15</w:t>
            </w:r>
            <w:r>
              <w:rPr>
                <w:rFonts w:hint="eastAsia"/>
                <w:i/>
                <w:iCs/>
                <w:color w:val="FF0000"/>
                <w:sz w:val="18"/>
                <w:szCs w:val="18"/>
                <w:lang w:val="en-US" w:eastAsia="zh-CN"/>
              </w:rPr>
              <w:t>＜A≤</w:t>
            </w:r>
            <w:r>
              <w:rPr>
                <w:rFonts w:hint="eastAsia" w:eastAsia="Times New Roman"/>
                <w:i/>
                <w:iCs/>
                <w:color w:val="FF0000"/>
                <w:sz w:val="18"/>
                <w:szCs w:val="18"/>
                <w:lang w:val="en-US" w:eastAsia="zh-CN"/>
              </w:rPr>
              <w:t>16</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11</w:t>
            </w:r>
            <w:r>
              <w:rPr>
                <w:rFonts w:hint="eastAsia"/>
                <w:i/>
                <w:iCs/>
                <w:color w:val="FF0000"/>
                <w:sz w:val="18"/>
                <w:szCs w:val="18"/>
                <w:lang w:val="en-US" w:eastAsia="zh-CN"/>
              </w:rPr>
              <w:t>＜A≤</w:t>
            </w:r>
            <w:r>
              <w:rPr>
                <w:rFonts w:hint="eastAsia" w:eastAsia="Times New Roman"/>
                <w:i/>
                <w:iCs/>
                <w:color w:val="FF0000"/>
                <w:sz w:val="18"/>
                <w:szCs w:val="18"/>
                <w:lang w:val="en-US" w:eastAsia="zh-CN"/>
              </w:rPr>
              <w:t>12</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15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continue"/>
            <w:tcBorders>
              <w:tl2br w:val="nil"/>
              <w:tr2bl w:val="nil"/>
            </w:tcBorders>
            <w:noWrap w:val="0"/>
            <w:vAlign w:val="center"/>
          </w:tcPr>
          <w:p>
            <w:pPr>
              <w:jc w:val="center"/>
              <w:rPr>
                <w:rFonts w:hint="eastAsia"/>
                <w:i/>
                <w:iCs/>
                <w:color w:val="FF0000"/>
                <w:sz w:val="18"/>
                <w:szCs w:val="18"/>
              </w:rPr>
            </w:pP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33</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2</w:t>
            </w:r>
            <w:r>
              <w:rPr>
                <w:rFonts w:hint="eastAsia" w:eastAsia="Times New Roman"/>
                <w:i/>
                <w:iCs/>
                <w:color w:val="FF0000"/>
                <w:sz w:val="18"/>
                <w:szCs w:val="18"/>
                <w:lang w:val="en-US" w:eastAsia="zh-CN"/>
              </w:rPr>
              <w:t>4</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lang w:val="en-US" w:eastAsia="zh-CN"/>
              </w:rPr>
              <w:t>19</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w:t>
            </w:r>
            <w:r>
              <w:rPr>
                <w:rFonts w:hint="eastAsia" w:eastAsia="Times New Roman"/>
                <w:i/>
                <w:iCs/>
                <w:color w:val="FF0000"/>
                <w:sz w:val="18"/>
                <w:szCs w:val="18"/>
                <w:lang w:val="en-US" w:eastAsia="zh-CN"/>
              </w:rPr>
              <w:t>5</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w:t>
            </w:r>
            <w:r>
              <w:rPr>
                <w:rFonts w:hint="eastAsia" w:eastAsia="Times New Roman"/>
                <w:i/>
                <w:iCs/>
                <w:color w:val="FF0000"/>
                <w:sz w:val="18"/>
                <w:szCs w:val="18"/>
                <w:lang w:val="en-US" w:eastAsia="zh-CN"/>
              </w:rPr>
              <w:t>1</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20</w:t>
            </w:r>
          </w:p>
        </w:tc>
      </w:tr>
    </w:tbl>
    <w:p>
      <w:pPr>
        <w:rPr>
          <w:rFonts w:hint="eastAsia"/>
          <w:i/>
          <w:iCs/>
          <w:color w:val="FF0000"/>
          <w:sz w:val="28"/>
          <w:szCs w:val="28"/>
          <w:lang w:val="en-US" w:eastAsia="zh-CN"/>
        </w:rPr>
      </w:pPr>
      <w:r>
        <w:rPr>
          <w:rFonts w:hint="eastAsia"/>
          <w:i/>
          <w:iCs/>
          <w:color w:val="FF0000"/>
          <w:sz w:val="28"/>
          <w:szCs w:val="28"/>
          <w:lang w:val="en-US" w:eastAsia="zh-CN"/>
        </w:rPr>
        <w:t xml:space="preserve">    </w:t>
      </w:r>
    </w:p>
    <w:p>
      <w:pPr>
        <w:ind w:firstLine="480" w:firstLineChars="200"/>
        <w:rPr>
          <w:rFonts w:hint="eastAsia"/>
          <w:i/>
          <w:iCs/>
          <w:color w:val="FF0000"/>
          <w:sz w:val="24"/>
          <w:szCs w:val="24"/>
        </w:rPr>
      </w:pPr>
      <w:r>
        <w:rPr>
          <w:rFonts w:hint="eastAsia" w:eastAsia="Times New Roman"/>
          <w:i/>
          <w:iCs/>
          <w:color w:val="FF0000"/>
          <w:sz w:val="24"/>
          <w:szCs w:val="24"/>
        </w:rPr>
        <w:t>2</w:t>
      </w:r>
      <w:r>
        <w:rPr>
          <w:rFonts w:hint="eastAsia"/>
          <w:i/>
          <w:iCs/>
          <w:color w:val="FF0000"/>
          <w:sz w:val="24"/>
          <w:szCs w:val="24"/>
          <w:lang w:val="en-US" w:eastAsia="zh-CN"/>
        </w:rPr>
        <w:t xml:space="preserve">  </w:t>
      </w:r>
      <w:r>
        <w:rPr>
          <w:rFonts w:hint="eastAsia"/>
          <w:i/>
          <w:iCs/>
          <w:color w:val="FF0000"/>
          <w:spacing w:val="11"/>
          <w:sz w:val="24"/>
          <w:szCs w:val="24"/>
        </w:rPr>
        <w:t>对于公共建筑，根据不同功能建筑的容积率(R)按表</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rPr>
        <w:t>的规则评分。</w:t>
      </w:r>
    </w:p>
    <w:p>
      <w:pPr>
        <w:ind w:firstLine="0" w:firstLineChars="0"/>
        <w:rPr>
          <w:rFonts w:hint="eastAsia" w:ascii="Times New Roman" w:hAnsi="Times New Roman" w:eastAsia="宋体" w:cs="Times New Roman"/>
          <w:i/>
          <w:iCs/>
          <w:color w:val="FF0000"/>
          <w:sz w:val="24"/>
          <w:szCs w:val="24"/>
        </w:rPr>
      </w:pPr>
    </w:p>
    <w:p>
      <w:pPr>
        <w:spacing w:before="1"/>
        <w:ind w:left="0" w:right="178" w:firstLine="0"/>
        <w:jc w:val="center"/>
        <w:rPr>
          <w:rFonts w:hint="eastAsia" w:ascii="宋体" w:hAnsi="宋体" w:eastAsia="宋体" w:cs="宋体"/>
          <w:b/>
          <w:i/>
          <w:iCs/>
          <w:color w:val="FF0000"/>
          <w:sz w:val="21"/>
          <w:szCs w:val="21"/>
        </w:rPr>
      </w:pPr>
      <w:r>
        <w:rPr>
          <w:rFonts w:hint="eastAsia" w:ascii="宋体" w:hAnsi="宋体" w:eastAsia="宋体" w:cs="宋体"/>
          <w:b/>
          <w:i/>
          <w:iCs/>
          <w:color w:val="FF0000"/>
          <w:sz w:val="21"/>
          <w:szCs w:val="21"/>
        </w:rPr>
        <w:t>表</w:t>
      </w:r>
      <w:r>
        <w:rPr>
          <w:rFonts w:hint="eastAsia" w:eastAsia="Times New Roman" w:cs="宋体"/>
          <w:b/>
          <w:i/>
          <w:iCs/>
          <w:color w:val="FF0000"/>
          <w:sz w:val="21"/>
          <w:szCs w:val="21"/>
          <w:lang w:val="en-US" w:eastAsia="zh-CN"/>
        </w:rPr>
        <w:t>7</w:t>
      </w:r>
      <w:r>
        <w:rPr>
          <w:rFonts w:hint="eastAsia" w:cs="宋体"/>
          <w:b/>
          <w:i/>
          <w:iCs/>
          <w:color w:val="FF0000"/>
          <w:sz w:val="21"/>
          <w:szCs w:val="21"/>
          <w:lang w:val="en-US" w:eastAsia="zh-CN"/>
        </w:rPr>
        <w:t>.</w:t>
      </w:r>
      <w:r>
        <w:rPr>
          <w:rFonts w:hint="eastAsia" w:eastAsia="Times New Roman" w:cs="宋体"/>
          <w:b/>
          <w:i/>
          <w:iCs/>
          <w:color w:val="FF0000"/>
          <w:sz w:val="21"/>
          <w:szCs w:val="21"/>
          <w:lang w:val="en-US" w:eastAsia="zh-CN"/>
        </w:rPr>
        <w:t>2</w:t>
      </w:r>
      <w:r>
        <w:rPr>
          <w:rFonts w:hint="eastAsia" w:cs="宋体"/>
          <w:b/>
          <w:i/>
          <w:iCs/>
          <w:color w:val="FF0000"/>
          <w:sz w:val="21"/>
          <w:szCs w:val="21"/>
          <w:lang w:val="en-US" w:eastAsia="zh-CN"/>
        </w:rPr>
        <w:t>.</w:t>
      </w:r>
      <w:r>
        <w:rPr>
          <w:rFonts w:hint="eastAsia" w:eastAsia="Times New Roman" w:cs="宋体"/>
          <w:b/>
          <w:i/>
          <w:iCs/>
          <w:color w:val="FF0000"/>
          <w:sz w:val="21"/>
          <w:szCs w:val="21"/>
          <w:lang w:val="en-US" w:eastAsia="zh-CN"/>
        </w:rPr>
        <w:t>1</w:t>
      </w:r>
      <w:r>
        <w:rPr>
          <w:rFonts w:hint="eastAsia" w:cs="宋体"/>
          <w:b/>
          <w:i/>
          <w:iCs/>
          <w:color w:val="FF0000"/>
          <w:sz w:val="21"/>
          <w:szCs w:val="21"/>
          <w:lang w:val="en-US" w:eastAsia="zh-CN"/>
        </w:rPr>
        <w:t>-</w:t>
      </w:r>
      <w:r>
        <w:rPr>
          <w:rFonts w:hint="eastAsia" w:eastAsia="Times New Roman" w:cs="宋体"/>
          <w:b/>
          <w:i/>
          <w:iCs/>
          <w:color w:val="FF0000"/>
          <w:sz w:val="21"/>
          <w:szCs w:val="21"/>
          <w:lang w:val="en-US" w:eastAsia="zh-CN"/>
        </w:rPr>
        <w:t>2</w:t>
      </w:r>
      <w:r>
        <w:rPr>
          <w:rFonts w:hint="eastAsia" w:ascii="宋体" w:hAnsi="宋体" w:eastAsia="宋体" w:cs="宋体"/>
          <w:b/>
          <w:i/>
          <w:iCs/>
          <w:color w:val="FF0000"/>
          <w:sz w:val="21"/>
          <w:szCs w:val="21"/>
        </w:rPr>
        <w:t>公共建筑容积率(</w:t>
      </w:r>
      <w:r>
        <w:rPr>
          <w:rFonts w:hint="eastAsia" w:cs="宋体"/>
          <w:b/>
          <w:i/>
          <w:iCs/>
          <w:color w:val="FF0000"/>
          <w:sz w:val="21"/>
          <w:szCs w:val="21"/>
          <w:lang w:val="en-US" w:eastAsia="zh-CN"/>
        </w:rPr>
        <w:t>R</w:t>
      </w:r>
      <w:r>
        <w:rPr>
          <w:rFonts w:hint="eastAsia" w:ascii="宋体" w:hAnsi="宋体" w:eastAsia="宋体" w:cs="宋体"/>
          <w:b/>
          <w:i/>
          <w:iCs/>
          <w:color w:val="FF0000"/>
          <w:sz w:val="21"/>
          <w:szCs w:val="21"/>
        </w:rPr>
        <w:t>)评分规则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714"/>
        <w:gridCol w:w="2707"/>
        <w:gridCol w:w="475"/>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717" w:hRule="atLeast"/>
          <w:jc w:val="center"/>
        </w:trPr>
        <w:tc>
          <w:tcPr>
            <w:tcW w:w="2714" w:type="dxa"/>
            <w:tcBorders>
              <w:tl2br w:val="nil"/>
              <w:tr2bl w:val="nil"/>
            </w:tcBorders>
            <w:noWrap w:val="0"/>
            <w:vAlign w:val="center"/>
          </w:tcPr>
          <w:p>
            <w:pPr>
              <w:ind w:left="540" w:hanging="540" w:hangingChars="300"/>
              <w:jc w:val="both"/>
              <w:rPr>
                <w:rFonts w:hint="eastAsia"/>
                <w:i/>
                <w:iCs/>
                <w:color w:val="FF0000"/>
                <w:sz w:val="18"/>
                <w:szCs w:val="18"/>
              </w:rPr>
            </w:pPr>
            <w:r>
              <w:rPr>
                <w:rFonts w:hint="eastAsia"/>
                <w:i/>
                <w:iCs/>
                <w:color w:val="FF0000"/>
                <w:sz w:val="18"/>
                <w:szCs w:val="18"/>
              </w:rPr>
              <w:t>行政办公</w:t>
            </w:r>
            <w:r>
              <w:rPr>
                <w:rFonts w:hint="eastAsia"/>
                <w:i/>
                <w:iCs/>
                <w:color w:val="FF0000"/>
                <w:sz w:val="18"/>
                <w:szCs w:val="18"/>
                <w:lang w:eastAsia="zh-CN"/>
              </w:rPr>
              <w:t>、</w:t>
            </w:r>
            <w:r>
              <w:rPr>
                <w:rFonts w:hint="eastAsia"/>
                <w:i/>
                <w:iCs/>
                <w:color w:val="FF0000"/>
                <w:sz w:val="18"/>
                <w:szCs w:val="18"/>
              </w:rPr>
              <w:t>商务办公</w:t>
            </w:r>
            <w:r>
              <w:rPr>
                <w:rFonts w:hint="eastAsia"/>
                <w:i/>
                <w:iCs/>
                <w:color w:val="FF0000"/>
                <w:sz w:val="18"/>
                <w:szCs w:val="18"/>
                <w:lang w:eastAsia="zh-CN"/>
              </w:rPr>
              <w:t>、</w:t>
            </w:r>
            <w:r>
              <w:rPr>
                <w:rFonts w:hint="eastAsia"/>
                <w:i/>
                <w:iCs/>
                <w:color w:val="FF0000"/>
                <w:sz w:val="18"/>
                <w:szCs w:val="18"/>
              </w:rPr>
              <w:t>商业金融</w:t>
            </w:r>
            <w:r>
              <w:rPr>
                <w:rFonts w:hint="eastAsia"/>
                <w:i/>
                <w:iCs/>
                <w:color w:val="FF0000"/>
                <w:sz w:val="18"/>
                <w:szCs w:val="18"/>
                <w:lang w:eastAsia="zh-CN"/>
              </w:rPr>
              <w:t>、</w:t>
            </w:r>
            <w:r>
              <w:rPr>
                <w:rFonts w:hint="eastAsia"/>
                <w:i/>
                <w:iCs/>
                <w:color w:val="FF0000"/>
                <w:sz w:val="18"/>
                <w:szCs w:val="18"/>
              </w:rPr>
              <w:t>旅馆饭店</w:t>
            </w:r>
            <w:r>
              <w:rPr>
                <w:rFonts w:hint="eastAsia"/>
                <w:i/>
                <w:iCs/>
                <w:color w:val="FF0000"/>
                <w:sz w:val="18"/>
                <w:szCs w:val="18"/>
                <w:lang w:eastAsia="zh-CN"/>
              </w:rPr>
              <w:t>、</w:t>
            </w:r>
            <w:r>
              <w:rPr>
                <w:rFonts w:hint="eastAsia"/>
                <w:i/>
                <w:iCs/>
                <w:color w:val="FF0000"/>
                <w:sz w:val="18"/>
                <w:szCs w:val="18"/>
              </w:rPr>
              <w:t>交通枢纽等</w:t>
            </w:r>
          </w:p>
        </w:tc>
        <w:tc>
          <w:tcPr>
            <w:tcW w:w="2707" w:type="dxa"/>
            <w:tcBorders>
              <w:tl2br w:val="nil"/>
              <w:tr2bl w:val="nil"/>
            </w:tcBorders>
            <w:noWrap w:val="0"/>
            <w:vAlign w:val="center"/>
          </w:tcPr>
          <w:p>
            <w:pPr>
              <w:ind w:left="900" w:hanging="900" w:hangingChars="500"/>
              <w:jc w:val="center"/>
              <w:rPr>
                <w:rFonts w:hint="eastAsia"/>
                <w:i/>
                <w:iCs/>
                <w:color w:val="FF0000"/>
                <w:sz w:val="18"/>
                <w:szCs w:val="18"/>
                <w:lang w:eastAsia="zh-CN"/>
              </w:rPr>
            </w:pPr>
            <w:r>
              <w:rPr>
                <w:rFonts w:hint="eastAsia"/>
                <w:i/>
                <w:iCs/>
                <w:color w:val="FF0000"/>
                <w:sz w:val="18"/>
                <w:szCs w:val="18"/>
              </w:rPr>
              <w:t>教育、文化、体育、医疗卫生</w:t>
            </w:r>
            <w:r>
              <w:rPr>
                <w:rFonts w:hint="eastAsia"/>
                <w:i/>
                <w:iCs/>
                <w:color w:val="FF0000"/>
                <w:sz w:val="18"/>
                <w:szCs w:val="18"/>
                <w:lang w:eastAsia="zh-CN"/>
              </w:rPr>
              <w:t>、</w:t>
            </w:r>
          </w:p>
          <w:p>
            <w:pPr>
              <w:ind w:left="900" w:hanging="900" w:hangingChars="500"/>
              <w:jc w:val="center"/>
              <w:rPr>
                <w:rFonts w:hint="eastAsia"/>
                <w:i/>
                <w:iCs/>
                <w:color w:val="FF0000"/>
                <w:sz w:val="18"/>
                <w:szCs w:val="18"/>
              </w:rPr>
            </w:pPr>
            <w:r>
              <w:rPr>
                <w:rFonts w:hint="eastAsia"/>
                <w:i/>
                <w:iCs/>
                <w:color w:val="FF0000"/>
                <w:sz w:val="18"/>
                <w:szCs w:val="18"/>
              </w:rPr>
              <w:t>社会福利等</w:t>
            </w:r>
          </w:p>
        </w:tc>
        <w:tc>
          <w:tcPr>
            <w:tcW w:w="475"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714"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≤R＜</w:t>
            </w: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8</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71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lang w:val="en-US" w:eastAsia="zh-CN"/>
              </w:rPr>
              <w:t>R≥</w:t>
            </w: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0</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714"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3</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8</w:t>
            </w:r>
            <w:r>
              <w:rPr>
                <w:rFonts w:hint="eastAsia"/>
                <w:i/>
                <w:iCs/>
                <w:color w:val="FF0000"/>
                <w:sz w:val="18"/>
                <w:szCs w:val="18"/>
                <w:lang w:val="en-US" w:eastAsia="zh-CN"/>
              </w:rPr>
              <w:t>≤R＜</w:t>
            </w: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0" w:hRule="atLeast"/>
          <w:jc w:val="center"/>
        </w:trPr>
        <w:tc>
          <w:tcPr>
            <w:tcW w:w="2714"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lang w:val="en-US" w:eastAsia="zh-CN"/>
              </w:rPr>
              <w:t>R≥</w:t>
            </w:r>
            <w:r>
              <w:rPr>
                <w:rFonts w:hint="eastAsia" w:eastAsia="Times New Roman"/>
                <w:i/>
                <w:iCs/>
                <w:color w:val="FF0000"/>
                <w:sz w:val="18"/>
                <w:szCs w:val="18"/>
                <w:lang w:val="en-US" w:eastAsia="zh-CN"/>
              </w:rPr>
              <w:t>3</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0</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20</w:t>
            </w:r>
          </w:p>
        </w:tc>
      </w:tr>
    </w:tbl>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人均住宅用地指标。</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、充分保护</w:t>
      </w:r>
      <w:r>
        <w:rPr>
          <w:rFonts w:hint="eastAsia"/>
          <w:color w:val="auto"/>
          <w:sz w:val="28"/>
          <w:szCs w:val="28"/>
        </w:rPr>
        <w:t>或修复场地生态环境，合理布局建筑及景观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rPr>
        <w:t>1</w:t>
      </w:r>
      <w:r>
        <w:rPr>
          <w:rFonts w:hint="eastAsia"/>
          <w:i/>
          <w:iCs/>
          <w:color w:val="FF0000"/>
          <w:sz w:val="24"/>
          <w:szCs w:val="24"/>
          <w:lang w:val="en-US" w:eastAsia="zh-CN"/>
        </w:rPr>
        <w:t xml:space="preserve">  充分保护或修复场地生态环境，合理布局建筑及景观，评价总分值为</w:t>
      </w:r>
      <w:r>
        <w:rPr>
          <w:rFonts w:hint="eastAsia" w:eastAsia="Times New Roman"/>
          <w:i/>
          <w:iCs/>
          <w:color w:val="FF0000"/>
          <w:sz w:val="24"/>
          <w:szCs w:val="24"/>
          <w:lang w:val="en-US" w:eastAsia="zh-CN"/>
        </w:rPr>
        <w:t>10</w:t>
      </w:r>
      <w:r>
        <w:rPr>
          <w:rFonts w:hint="eastAsia"/>
          <w:i/>
          <w:iCs/>
          <w:color w:val="FF0000"/>
          <w:sz w:val="24"/>
          <w:szCs w:val="24"/>
          <w:lang w:val="en-US" w:eastAsia="zh-CN"/>
        </w:rPr>
        <w:t>分，并按下列规则评分：</w:t>
      </w:r>
    </w:p>
    <w:p>
      <w:pPr>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rPr>
        <w:t>保护场地内原有的自然水域、湿地、植被等</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rPr>
        <w:t>保持场地内的生态系统与场地外生态系统的连贯性</w:t>
      </w:r>
      <w:r>
        <w:rPr>
          <w:rFonts w:hint="eastAsia" w:ascii="宋体" w:hAnsi="宋体" w:eastAsia="宋体" w:cs="宋体"/>
          <w:i/>
          <w:iCs/>
          <w:color w:val="FF0000"/>
          <w:sz w:val="24"/>
          <w:szCs w:val="24"/>
          <w:lang w:eastAsia="zh-CN"/>
        </w:rPr>
        <w:t>，</w:t>
      </w:r>
      <w:r>
        <w:rPr>
          <w:rFonts w:hint="eastAsia" w:ascii="宋体" w:hAnsi="宋体" w:eastAsia="宋体" w:cs="宋体"/>
          <w:i/>
          <w:iCs/>
          <w:color w:val="FF0000"/>
          <w:sz w:val="24"/>
          <w:szCs w:val="24"/>
        </w:rPr>
        <w:t>得</w:t>
      </w:r>
      <w:r>
        <w:rPr>
          <w:rFonts w:hint="eastAsia" w:ascii="宋体" w:hAnsi="宋体" w:eastAsia="Times New Roman" w:cs="宋体"/>
          <w:i/>
          <w:iCs/>
          <w:color w:val="FF0000"/>
          <w:sz w:val="24"/>
          <w:szCs w:val="24"/>
        </w:rPr>
        <w:t>10</w:t>
      </w:r>
      <w:r>
        <w:rPr>
          <w:rFonts w:hint="eastAsia" w:ascii="宋体" w:hAnsi="宋体" w:eastAsia="宋体" w:cs="宋体"/>
          <w:i/>
          <w:iCs/>
          <w:color w:val="FF0000"/>
          <w:sz w:val="24"/>
          <w:szCs w:val="24"/>
        </w:rPr>
        <w:t>分</w:t>
      </w:r>
      <w:r>
        <w:rPr>
          <w:rFonts w:hint="eastAsia" w:ascii="宋体" w:hAnsi="宋体" w:eastAsia="宋体" w:cs="宋体"/>
          <w:i/>
          <w:iCs/>
          <w:color w:val="FF0000"/>
          <w:sz w:val="24"/>
          <w:szCs w:val="24"/>
          <w:lang w:eastAsia="zh-CN"/>
        </w:rPr>
        <w:t>。</w:t>
      </w:r>
    </w:p>
    <w:p>
      <w:pPr>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采取净地表层土回收利用等生态补偿措施，得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ind w:firstLine="480" w:firstLineChars="200"/>
        <w:rPr>
          <w:rFonts w:hint="default"/>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根据场地实际状况，采取其他生态恢复或补偿措施，得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default"/>
          <w:color w:val="auto"/>
          <w:sz w:val="28"/>
          <w:szCs w:val="28"/>
          <w:u w:val="single"/>
          <w:lang w:eastAsia="zh-CN"/>
        </w:rPr>
      </w:pPr>
      <w:r>
        <w:rPr>
          <w:rFonts w:hint="eastAsia"/>
          <w:color w:val="auto"/>
          <w:sz w:val="28"/>
          <w:szCs w:val="28"/>
          <w:lang w:val="en-US" w:eastAsia="zh-CN"/>
        </w:rPr>
        <w:t>技术措施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说明项目保护或修复场地生态环境的具体内容</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生态</w:t>
      </w:r>
      <w:r>
        <w:rPr>
          <w:rFonts w:hint="eastAsia"/>
          <w:color w:val="auto"/>
          <w:sz w:val="28"/>
          <w:szCs w:val="28"/>
          <w:lang w:val="en-US" w:eastAsia="zh-CN"/>
        </w:rPr>
        <w:t>补偿</w:t>
      </w:r>
      <w:r>
        <w:rPr>
          <w:rFonts w:hint="eastAsia"/>
          <w:color w:val="auto"/>
          <w:sz w:val="28"/>
          <w:szCs w:val="28"/>
        </w:rPr>
        <w:t>方案</w:t>
      </w:r>
      <w:r>
        <w:rPr>
          <w:rFonts w:hint="eastAsia"/>
          <w:color w:val="auto"/>
          <w:sz w:val="28"/>
          <w:szCs w:val="28"/>
          <w:lang w:val="en-US" w:eastAsia="zh-CN"/>
        </w:rPr>
        <w:t>报</w:t>
      </w:r>
      <w:r>
        <w:rPr>
          <w:rFonts w:hint="eastAsia"/>
          <w:color w:val="auto"/>
          <w:sz w:val="28"/>
          <w:szCs w:val="28"/>
        </w:rPr>
        <w:t>告</w:t>
      </w:r>
      <w:r>
        <w:rPr>
          <w:rFonts w:hint="eastAsia"/>
          <w:color w:val="auto"/>
          <w:sz w:val="28"/>
          <w:szCs w:val="28"/>
          <w:lang w:eastAsia="zh-CN"/>
        </w:rPr>
        <w:t>；□</w:t>
      </w:r>
      <w:r>
        <w:rPr>
          <w:rFonts w:hint="eastAsia"/>
          <w:color w:val="auto"/>
          <w:sz w:val="28"/>
          <w:szCs w:val="28"/>
          <w:lang w:val="en-US" w:eastAsia="zh-CN"/>
        </w:rPr>
        <w:t>设计图纸</w:t>
      </w:r>
      <w:r>
        <w:rPr>
          <w:rFonts w:hint="eastAsia"/>
          <w:color w:val="auto"/>
          <w:sz w:val="28"/>
          <w:szCs w:val="28"/>
          <w:lang w:eastAsia="zh-CN"/>
        </w:rPr>
        <w:t>（名称、图号）</w:t>
      </w:r>
    </w:p>
    <w:p>
      <w:pPr>
        <w:rPr>
          <w:rFonts w:hint="eastAsia" w:eastAsia="宋体"/>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充分利用场地空间设置绿化用地</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16</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3</w:t>
      </w:r>
      <w:r>
        <w:rPr>
          <w:rFonts w:hint="eastAsia"/>
          <w:i/>
          <w:iCs/>
          <w:color w:val="FF0000"/>
          <w:sz w:val="24"/>
          <w:szCs w:val="24"/>
          <w:lang w:val="en-US" w:eastAsia="zh-CN"/>
        </w:rPr>
        <w:t xml:space="preserve">  </w:t>
      </w:r>
      <w:r>
        <w:rPr>
          <w:rFonts w:hint="eastAsia"/>
          <w:i/>
          <w:iCs/>
          <w:color w:val="FF0000"/>
          <w:sz w:val="24"/>
          <w:szCs w:val="24"/>
        </w:rPr>
        <w:t>充分利用场地空间设置绿化用地，评价总分值为</w:t>
      </w:r>
      <w:r>
        <w:rPr>
          <w:rFonts w:hint="eastAsia" w:eastAsia="Times New Roman"/>
          <w:i/>
          <w:iCs/>
          <w:color w:val="FF0000"/>
          <w:sz w:val="24"/>
          <w:szCs w:val="24"/>
        </w:rPr>
        <w:t>16</w:t>
      </w:r>
      <w:r>
        <w:rPr>
          <w:rFonts w:hint="eastAsia"/>
          <w:i/>
          <w:iCs/>
          <w:color w:val="FF0000"/>
          <w:sz w:val="24"/>
          <w:szCs w:val="24"/>
        </w:rPr>
        <w:t>分，并按下列规则评分：</w:t>
      </w:r>
    </w:p>
    <w:p>
      <w:pPr>
        <w:ind w:firstLine="480" w:firstLineChars="200"/>
        <w:rPr>
          <w:rFonts w:hint="eastAsia"/>
          <w:i/>
          <w:iCs/>
          <w:color w:val="FF0000"/>
          <w:sz w:val="24"/>
          <w:szCs w:val="24"/>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rPr>
        <w:t>住宅建筑按下列规则分别评分并累计：</w:t>
      </w:r>
    </w:p>
    <w:p>
      <w:pPr>
        <w:ind w:firstLine="720" w:firstLineChars="300"/>
        <w:rPr>
          <w:rFonts w:hint="eastAsia"/>
          <w:i/>
          <w:iCs/>
          <w:color w:val="FF0000"/>
          <w:sz w:val="24"/>
          <w:szCs w:val="24"/>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rPr>
        <w:t>绿地率达到规划指标</w:t>
      </w:r>
      <w:r>
        <w:rPr>
          <w:rFonts w:hint="eastAsia" w:eastAsia="Times New Roman"/>
          <w:i/>
          <w:iCs/>
          <w:color w:val="FF0000"/>
          <w:sz w:val="24"/>
          <w:szCs w:val="24"/>
        </w:rPr>
        <w:t>105</w:t>
      </w:r>
      <w:r>
        <w:rPr>
          <w:rFonts w:hint="eastAsia"/>
          <w:i/>
          <w:iCs/>
          <w:color w:val="FF0000"/>
          <w:sz w:val="24"/>
          <w:szCs w:val="24"/>
        </w:rPr>
        <w:t>%及以上，得</w:t>
      </w:r>
      <w:r>
        <w:rPr>
          <w:rFonts w:hint="eastAsia" w:eastAsia="Times New Roman"/>
          <w:i/>
          <w:iCs/>
          <w:color w:val="FF0000"/>
          <w:sz w:val="24"/>
          <w:szCs w:val="24"/>
        </w:rPr>
        <w:t>10</w:t>
      </w:r>
      <w:r>
        <w:rPr>
          <w:rFonts w:hint="eastAsia"/>
          <w:i/>
          <w:iCs/>
          <w:color w:val="FF0000"/>
          <w:sz w:val="24"/>
          <w:szCs w:val="24"/>
        </w:rPr>
        <w:t>分；</w:t>
      </w:r>
    </w:p>
    <w:p>
      <w:pPr>
        <w:ind w:left="479" w:leftChars="228" w:firstLine="240" w:firstLineChars="100"/>
        <w:rPr>
          <w:rFonts w:hint="eastAsia"/>
          <w:color w:val="FF0000"/>
          <w:sz w:val="28"/>
          <w:szCs w:val="28"/>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rPr>
        <w:t>住宅建筑所在居住街坊内人均集中绿地面积，按表</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3</w:t>
      </w:r>
      <w:r>
        <w:rPr>
          <w:rFonts w:hint="eastAsia"/>
          <w:i/>
          <w:iCs/>
          <w:color w:val="FF0000"/>
          <w:sz w:val="24"/>
          <w:szCs w:val="24"/>
        </w:rPr>
        <w:t>的规则评分，最</w:t>
      </w:r>
      <w:r>
        <w:rPr>
          <w:rFonts w:hint="eastAsia"/>
          <w:i/>
          <w:iCs/>
          <w:color w:val="FF0000"/>
          <w:sz w:val="24"/>
          <w:szCs w:val="24"/>
          <w:lang w:eastAsia="zh-CN"/>
        </w:rPr>
        <w:t>高</w:t>
      </w:r>
      <w:r>
        <w:rPr>
          <w:rFonts w:hint="eastAsia"/>
          <w:i/>
          <w:iCs/>
          <w:color w:val="FF0000"/>
          <w:sz w:val="24"/>
          <w:szCs w:val="24"/>
        </w:rPr>
        <w:t>得</w:t>
      </w:r>
      <w:r>
        <w:rPr>
          <w:rFonts w:hint="eastAsia" w:eastAsia="Times New Roman"/>
          <w:i/>
          <w:iCs/>
          <w:color w:val="FF0000"/>
          <w:sz w:val="24"/>
          <w:szCs w:val="24"/>
        </w:rPr>
        <w:t>6</w:t>
      </w:r>
      <w:r>
        <w:rPr>
          <w:rFonts w:hint="eastAsia"/>
          <w:i/>
          <w:iCs/>
          <w:color w:val="FF0000"/>
          <w:sz w:val="24"/>
          <w:szCs w:val="24"/>
        </w:rPr>
        <w:t>分。</w:t>
      </w:r>
    </w:p>
    <w:p>
      <w:pPr>
        <w:jc w:val="center"/>
        <w:rPr>
          <w:rFonts w:hint="eastAsia"/>
          <w:b/>
          <w:bCs/>
          <w:i/>
          <w:iCs/>
          <w:color w:val="FF0000"/>
        </w:rPr>
      </w:pPr>
      <w:r>
        <w:rPr>
          <w:rFonts w:hint="eastAsia"/>
          <w:b/>
          <w:bCs/>
          <w:i/>
          <w:iCs/>
          <w:color w:val="FF0000"/>
        </w:rPr>
        <w:t>表</w:t>
      </w:r>
      <w:r>
        <w:rPr>
          <w:rFonts w:hint="eastAsia" w:eastAsia="Times New Roman"/>
          <w:b/>
          <w:bCs/>
          <w:i/>
          <w:iCs/>
          <w:color w:val="FF0000"/>
        </w:rPr>
        <w:t>8</w:t>
      </w:r>
      <w:r>
        <w:rPr>
          <w:rFonts w:hint="eastAsia"/>
          <w:b/>
          <w:bCs/>
          <w:i/>
          <w:iCs/>
          <w:color w:val="FF0000"/>
        </w:rPr>
        <w:t>.</w:t>
      </w:r>
      <w:r>
        <w:rPr>
          <w:rFonts w:hint="eastAsia" w:eastAsia="Times New Roman"/>
          <w:b/>
          <w:bCs/>
          <w:i/>
          <w:iCs/>
          <w:color w:val="FF0000"/>
        </w:rPr>
        <w:t>2</w:t>
      </w:r>
      <w:r>
        <w:rPr>
          <w:rFonts w:hint="eastAsia"/>
          <w:b/>
          <w:bCs/>
          <w:i/>
          <w:iCs/>
          <w:color w:val="FF0000"/>
        </w:rPr>
        <w:t>.</w:t>
      </w:r>
      <w:r>
        <w:rPr>
          <w:rFonts w:hint="eastAsia" w:eastAsia="Times New Roman"/>
          <w:b/>
          <w:bCs/>
          <w:i/>
          <w:iCs/>
          <w:color w:val="FF0000"/>
        </w:rPr>
        <w:t>3</w:t>
      </w:r>
      <w:r>
        <w:rPr>
          <w:rFonts w:hint="eastAsia"/>
          <w:b/>
          <w:bCs/>
          <w:i/>
          <w:iCs/>
          <w:color w:val="FF0000"/>
        </w:rPr>
        <w:t>住宅建筑人均集中绿地面积评分规则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398"/>
        <w:gridCol w:w="2383"/>
        <w:gridCol w:w="1116"/>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4" w:hRule="atLeast"/>
          <w:jc w:val="center"/>
        </w:trPr>
        <w:tc>
          <w:tcPr>
            <w:tcW w:w="4781" w:type="dxa"/>
            <w:gridSpan w:val="2"/>
            <w:tcBorders>
              <w:tl2br w:val="nil"/>
              <w:tr2bl w:val="nil"/>
            </w:tcBorders>
            <w:noWrap w:val="0"/>
            <w:vAlign w:val="center"/>
          </w:tcPr>
          <w:p>
            <w:pPr>
              <w:jc w:val="center"/>
              <w:rPr>
                <w:rFonts w:hint="eastAsia"/>
                <w:i/>
                <w:iCs/>
                <w:color w:val="FF0000"/>
              </w:rPr>
            </w:pPr>
            <w:r>
              <w:rPr>
                <w:rFonts w:hint="eastAsia"/>
                <w:i/>
                <w:iCs/>
                <w:color w:val="FF0000"/>
              </w:rPr>
              <w:t>人均集中绿地面积A</w:t>
            </w:r>
            <w:r>
              <w:rPr>
                <w:rFonts w:hint="eastAsia"/>
                <w:i/>
                <w:iCs/>
                <w:color w:val="FF0000"/>
                <w:vertAlign w:val="subscript"/>
              </w:rPr>
              <w:t>g</w:t>
            </w:r>
            <w:r>
              <w:rPr>
                <w:rFonts w:hint="eastAsia"/>
                <w:i/>
                <w:iCs/>
                <w:color w:val="FF0000"/>
              </w:rPr>
              <w:t>(m</w:t>
            </w:r>
            <w:r>
              <w:rPr>
                <w:rFonts w:hint="eastAsia" w:eastAsia="Times New Roman"/>
                <w:i/>
                <w:iCs/>
                <w:color w:val="FF0000"/>
                <w:vertAlign w:val="superscript"/>
              </w:rPr>
              <w:t>2</w:t>
            </w:r>
            <w:r>
              <w:rPr>
                <w:rFonts w:hint="eastAsia"/>
                <w:i/>
                <w:iCs/>
                <w:color w:val="FF0000"/>
              </w:rPr>
              <w:t>/人)</w:t>
            </w:r>
          </w:p>
        </w:tc>
        <w:tc>
          <w:tcPr>
            <w:tcW w:w="1116" w:type="dxa"/>
            <w:vMerge w:val="restart"/>
            <w:tcBorders>
              <w:tl2br w:val="nil"/>
              <w:tr2bl w:val="nil"/>
            </w:tcBorders>
            <w:noWrap w:val="0"/>
            <w:vAlign w:val="center"/>
          </w:tcPr>
          <w:p>
            <w:pPr>
              <w:ind w:firstLine="0" w:firstLineChars="0"/>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398" w:type="dxa"/>
            <w:tcBorders>
              <w:tl2br w:val="nil"/>
              <w:tr2bl w:val="nil"/>
            </w:tcBorders>
            <w:noWrap w:val="0"/>
            <w:vAlign w:val="center"/>
          </w:tcPr>
          <w:p>
            <w:pPr>
              <w:jc w:val="center"/>
              <w:rPr>
                <w:rFonts w:hint="eastAsia"/>
                <w:i/>
                <w:iCs/>
                <w:color w:val="FF0000"/>
              </w:rPr>
            </w:pPr>
            <w:r>
              <w:rPr>
                <w:rFonts w:hint="eastAsia"/>
                <w:i/>
                <w:iCs/>
                <w:color w:val="FF0000"/>
              </w:rPr>
              <w:t>新区建设</w:t>
            </w:r>
          </w:p>
        </w:tc>
        <w:tc>
          <w:tcPr>
            <w:tcW w:w="2383" w:type="dxa"/>
            <w:tcBorders>
              <w:tl2br w:val="nil"/>
              <w:tr2bl w:val="nil"/>
            </w:tcBorders>
            <w:noWrap w:val="0"/>
            <w:vAlign w:val="center"/>
          </w:tcPr>
          <w:p>
            <w:pPr>
              <w:jc w:val="center"/>
              <w:rPr>
                <w:rFonts w:hint="eastAsia"/>
                <w:i/>
                <w:iCs/>
                <w:color w:val="FF0000"/>
              </w:rPr>
            </w:pPr>
            <w:r>
              <w:rPr>
                <w:rFonts w:hint="eastAsia"/>
                <w:i/>
                <w:iCs/>
                <w:color w:val="FF0000"/>
              </w:rPr>
              <w:t>旧区改建</w:t>
            </w:r>
          </w:p>
        </w:tc>
        <w:tc>
          <w:tcPr>
            <w:tcW w:w="1116" w:type="dxa"/>
            <w:vMerge w:val="continue"/>
            <w:tcBorders>
              <w:tl2br w:val="nil"/>
              <w:tr2bl w:val="nil"/>
            </w:tcBorders>
            <w:noWrap w:val="0"/>
            <w:vAlign w:val="center"/>
          </w:tcPr>
          <w:p>
            <w:pPr>
              <w:jc w:val="center"/>
              <w:rPr>
                <w:rFonts w:hint="eastAsia"/>
                <w:i/>
                <w:iCs/>
                <w:color w:val="FF0000"/>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398"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50</w:t>
            </w:r>
          </w:p>
        </w:tc>
        <w:tc>
          <w:tcPr>
            <w:tcW w:w="2383"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35</w:t>
            </w:r>
          </w:p>
        </w:tc>
        <w:tc>
          <w:tcPr>
            <w:tcW w:w="1116"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398"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50</w:t>
            </w:r>
            <w:r>
              <w:rPr>
                <w:rFonts w:hint="eastAsia"/>
                <w:i/>
                <w:iCs/>
                <w:color w:val="FF0000"/>
                <w:lang w:val="en-US" w:eastAsia="zh-CN"/>
              </w:rPr>
              <w:t>＜</w:t>
            </w: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rPr>
              <w:t>0</w:t>
            </w:r>
            <w:r>
              <w:rPr>
                <w:rFonts w:hint="eastAsia"/>
                <w:i/>
                <w:iCs/>
                <w:color w:val="FF0000"/>
                <w:lang w:val="en-US" w:eastAsia="zh-CN"/>
              </w:rPr>
              <w:t>.</w:t>
            </w:r>
            <w:r>
              <w:rPr>
                <w:rFonts w:hint="eastAsia" w:eastAsia="Times New Roman"/>
                <w:i/>
                <w:iCs/>
                <w:color w:val="FF0000"/>
              </w:rPr>
              <w:t>60</w:t>
            </w:r>
          </w:p>
        </w:tc>
        <w:tc>
          <w:tcPr>
            <w:tcW w:w="2383"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35</w:t>
            </w:r>
            <w:r>
              <w:rPr>
                <w:rFonts w:hint="eastAsia"/>
                <w:i/>
                <w:iCs/>
                <w:color w:val="FF0000"/>
                <w:lang w:val="en-US" w:eastAsia="zh-CN"/>
              </w:rPr>
              <w:t>＜</w:t>
            </w: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rPr>
              <w:t>0</w:t>
            </w:r>
            <w:r>
              <w:rPr>
                <w:rFonts w:hint="eastAsia"/>
                <w:i/>
                <w:iCs/>
                <w:color w:val="FF0000"/>
                <w:lang w:val="en-US" w:eastAsia="zh-CN"/>
              </w:rPr>
              <w:t>.</w:t>
            </w:r>
            <w:r>
              <w:rPr>
                <w:rFonts w:hint="eastAsia" w:eastAsia="Times New Roman"/>
                <w:i/>
                <w:iCs/>
                <w:color w:val="FF0000"/>
              </w:rPr>
              <w:t>45</w:t>
            </w:r>
          </w:p>
        </w:tc>
        <w:tc>
          <w:tcPr>
            <w:tcW w:w="1116"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398" w:type="dxa"/>
            <w:tcBorders>
              <w:tl2br w:val="nil"/>
              <w:tr2bl w:val="nil"/>
            </w:tcBorders>
            <w:noWrap w:val="0"/>
            <w:vAlign w:val="center"/>
          </w:tcPr>
          <w:p>
            <w:pPr>
              <w:jc w:val="center"/>
              <w:rPr>
                <w:rFonts w:hint="eastAsia"/>
                <w:i/>
                <w:iCs/>
                <w:color w:val="FF0000"/>
              </w:rPr>
            </w:pP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lang w:val="en-US" w:eastAsia="zh-CN"/>
              </w:rPr>
              <w:t>0</w:t>
            </w:r>
            <w:r>
              <w:rPr>
                <w:rFonts w:hint="eastAsia"/>
                <w:i/>
                <w:iCs/>
                <w:color w:val="FF0000"/>
                <w:lang w:val="en-US" w:eastAsia="zh-CN"/>
              </w:rPr>
              <w:t>.</w:t>
            </w:r>
            <w:r>
              <w:rPr>
                <w:rFonts w:hint="eastAsia" w:eastAsia="Times New Roman"/>
                <w:i/>
                <w:iCs/>
                <w:color w:val="FF0000"/>
              </w:rPr>
              <w:t>60</w:t>
            </w:r>
          </w:p>
        </w:tc>
        <w:tc>
          <w:tcPr>
            <w:tcW w:w="2383" w:type="dxa"/>
            <w:tcBorders>
              <w:tl2br w:val="nil"/>
              <w:tr2bl w:val="nil"/>
            </w:tcBorders>
            <w:noWrap w:val="0"/>
            <w:vAlign w:val="center"/>
          </w:tcPr>
          <w:p>
            <w:pPr>
              <w:jc w:val="center"/>
              <w:rPr>
                <w:rFonts w:hint="eastAsia"/>
                <w:i/>
                <w:iCs/>
                <w:color w:val="FF0000"/>
              </w:rPr>
            </w:pP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lang w:val="en-US" w:eastAsia="zh-CN"/>
              </w:rPr>
              <w:t>0</w:t>
            </w:r>
            <w:r>
              <w:rPr>
                <w:rFonts w:hint="eastAsia"/>
                <w:i/>
                <w:iCs/>
                <w:color w:val="FF0000"/>
                <w:lang w:val="en-US" w:eastAsia="zh-CN"/>
              </w:rPr>
              <w:t>.</w:t>
            </w:r>
            <w:r>
              <w:rPr>
                <w:rFonts w:hint="eastAsia" w:eastAsia="Times New Roman"/>
                <w:i/>
                <w:iCs/>
                <w:color w:val="FF0000"/>
              </w:rPr>
              <w:t>45</w:t>
            </w:r>
          </w:p>
        </w:tc>
        <w:tc>
          <w:tcPr>
            <w:tcW w:w="1116"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bl>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 xml:space="preserve">2  </w:t>
      </w:r>
      <w:r>
        <w:rPr>
          <w:rFonts w:hint="eastAsia"/>
          <w:i/>
          <w:iCs/>
          <w:color w:val="FF0000"/>
          <w:sz w:val="24"/>
          <w:szCs w:val="24"/>
          <w:lang w:eastAsia="zh-CN"/>
        </w:rPr>
        <w:t>公共建筑按下列规则分别评分并累计：</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公共建筑绿地率达到规划指标</w:t>
      </w:r>
      <w:r>
        <w:rPr>
          <w:rFonts w:hint="eastAsia" w:eastAsia="Times New Roman"/>
          <w:i/>
          <w:iCs/>
          <w:color w:val="FF0000"/>
          <w:sz w:val="24"/>
          <w:szCs w:val="24"/>
          <w:lang w:eastAsia="zh-CN"/>
        </w:rPr>
        <w:t>105</w:t>
      </w:r>
      <w:r>
        <w:rPr>
          <w:rFonts w:hint="eastAsia"/>
          <w:i/>
          <w:iCs/>
          <w:color w:val="FF0000"/>
          <w:sz w:val="24"/>
          <w:szCs w:val="24"/>
          <w:lang w:val="en-US" w:eastAsia="zh-CN"/>
        </w:rPr>
        <w:t>%</w:t>
      </w:r>
      <w:r>
        <w:rPr>
          <w:rFonts w:hint="eastAsia"/>
          <w:i/>
          <w:iCs/>
          <w:color w:val="FF0000"/>
          <w:sz w:val="24"/>
          <w:szCs w:val="24"/>
          <w:lang w:eastAsia="zh-CN"/>
        </w:rPr>
        <w:t>及以上，得</w:t>
      </w:r>
      <w:r>
        <w:rPr>
          <w:rFonts w:hint="eastAsia" w:eastAsia="Times New Roman"/>
          <w:i/>
          <w:iCs/>
          <w:color w:val="FF0000"/>
          <w:sz w:val="24"/>
          <w:szCs w:val="24"/>
          <w:lang w:eastAsia="zh-CN"/>
        </w:rPr>
        <w:t>10</w:t>
      </w:r>
      <w:r>
        <w:rPr>
          <w:rFonts w:hint="eastAsia"/>
          <w:i/>
          <w:iCs/>
          <w:color w:val="FF0000"/>
          <w:sz w:val="24"/>
          <w:szCs w:val="24"/>
          <w:lang w:eastAsia="zh-CN"/>
        </w:rPr>
        <w:t>分；</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绿地向公众开放，得</w:t>
      </w:r>
      <w:r>
        <w:rPr>
          <w:rFonts w:hint="eastAsia" w:eastAsia="Times New Roman"/>
          <w:i/>
          <w:iCs/>
          <w:color w:val="FF0000"/>
          <w:sz w:val="24"/>
          <w:szCs w:val="24"/>
          <w:lang w:eastAsia="zh-CN"/>
        </w:rPr>
        <w:t>6</w:t>
      </w:r>
      <w:r>
        <w:rPr>
          <w:rFonts w:hint="eastAsia"/>
          <w:i/>
          <w:iCs/>
          <w:color w:val="FF0000"/>
          <w:sz w:val="24"/>
          <w:szCs w:val="24"/>
          <w:lang w:eastAsia="zh-CN"/>
        </w:rPr>
        <w:t>分。</w:t>
      </w:r>
    </w:p>
    <w:p>
      <w:pPr>
        <w:rPr>
          <w:rFonts w:hint="eastAsia"/>
          <w:color w:val="auto"/>
          <w:sz w:val="28"/>
          <w:szCs w:val="28"/>
          <w:u w:val="non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人均集中绿地面积计算书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场地内风环境有利于室外行走、活动舒适和建筑的自然通风</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24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8</w:t>
      </w:r>
      <w:r>
        <w:rPr>
          <w:rFonts w:hint="eastAsia"/>
          <w:i/>
          <w:iCs/>
          <w:color w:val="FF0000"/>
          <w:sz w:val="24"/>
          <w:szCs w:val="24"/>
          <w:lang w:val="en-US" w:eastAsia="zh-CN"/>
        </w:rPr>
        <w:t xml:space="preserve">  </w:t>
      </w:r>
      <w:r>
        <w:rPr>
          <w:rFonts w:hint="eastAsia"/>
          <w:i/>
          <w:iCs/>
          <w:color w:val="FF0000"/>
          <w:sz w:val="24"/>
          <w:szCs w:val="24"/>
          <w:lang w:eastAsia="zh-CN"/>
        </w:rPr>
        <w:t>场地内风环境有利于室外行走、活动舒适和建筑的自然通风，评价总分值为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分，并按下列规则分别评分并累计：</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在冬季典型风速和风向条件下，按下列规则分别评分并累计：</w:t>
      </w:r>
    </w:p>
    <w:p>
      <w:pPr>
        <w:ind w:left="479" w:leftChars="228" w:firstLine="240" w:firstLineChars="1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建筑物周围人行区距地高</w:t>
      </w:r>
      <w:r>
        <w:rPr>
          <w:rFonts w:hint="eastAsia" w:eastAsia="Times New Roman"/>
          <w:i/>
          <w:iCs/>
          <w:color w:val="FF0000"/>
          <w:sz w:val="24"/>
          <w:szCs w:val="24"/>
          <w:lang w:eastAsia="zh-CN"/>
        </w:rPr>
        <w:t>1</w:t>
      </w:r>
      <w:r>
        <w:rPr>
          <w:rFonts w:hint="eastAsia"/>
          <w:i/>
          <w:iCs/>
          <w:color w:val="FF0000"/>
          <w:sz w:val="24"/>
          <w:szCs w:val="24"/>
          <w:lang w:val="en-US" w:eastAsia="zh-CN"/>
        </w:rPr>
        <w:t>.</w:t>
      </w:r>
      <w:r>
        <w:rPr>
          <w:rFonts w:hint="eastAsia" w:eastAsia="Times New Roman"/>
          <w:i/>
          <w:iCs/>
          <w:color w:val="FF0000"/>
          <w:sz w:val="24"/>
          <w:szCs w:val="24"/>
          <w:lang w:eastAsia="zh-CN"/>
        </w:rPr>
        <w:t>5</w:t>
      </w:r>
      <w:r>
        <w:rPr>
          <w:rFonts w:hint="eastAsia"/>
          <w:i/>
          <w:iCs/>
          <w:color w:val="FF0000"/>
          <w:sz w:val="24"/>
          <w:szCs w:val="24"/>
          <w:lang w:eastAsia="zh-CN"/>
        </w:rPr>
        <w:t>m处风速小于</w:t>
      </w:r>
      <w:r>
        <w:rPr>
          <w:rFonts w:hint="eastAsia" w:eastAsia="Times New Roman"/>
          <w:i/>
          <w:iCs/>
          <w:color w:val="FF0000"/>
          <w:sz w:val="24"/>
          <w:szCs w:val="24"/>
          <w:lang w:eastAsia="zh-CN"/>
        </w:rPr>
        <w:t>5</w:t>
      </w:r>
      <w:r>
        <w:rPr>
          <w:rFonts w:hint="eastAsia"/>
          <w:i/>
          <w:iCs/>
          <w:color w:val="FF0000"/>
          <w:sz w:val="24"/>
          <w:szCs w:val="24"/>
          <w:lang w:eastAsia="zh-CN"/>
        </w:rPr>
        <w:t>m</w:t>
      </w:r>
      <w:r>
        <w:rPr>
          <w:rFonts w:hint="eastAsia"/>
          <w:i/>
          <w:iCs/>
          <w:color w:val="FF0000"/>
          <w:sz w:val="24"/>
          <w:szCs w:val="24"/>
          <w:lang w:val="en-US" w:eastAsia="zh-CN"/>
        </w:rPr>
        <w:t>/s</w:t>
      </w:r>
      <w:r>
        <w:rPr>
          <w:rFonts w:hint="eastAsia"/>
          <w:i/>
          <w:iCs/>
          <w:color w:val="FF0000"/>
          <w:sz w:val="24"/>
          <w:szCs w:val="24"/>
          <w:lang w:eastAsia="zh-CN"/>
        </w:rPr>
        <w:t>，户外休息区、儿童娱乐区风速小于</w:t>
      </w:r>
      <w:r>
        <w:rPr>
          <w:rFonts w:hint="eastAsia" w:eastAsia="Times New Roman"/>
          <w:i/>
          <w:iCs/>
          <w:color w:val="FF0000"/>
          <w:sz w:val="24"/>
          <w:szCs w:val="24"/>
          <w:lang w:eastAsia="zh-CN"/>
        </w:rPr>
        <w:t>2</w:t>
      </w:r>
      <w:r>
        <w:rPr>
          <w:rFonts w:hint="eastAsia"/>
          <w:i/>
          <w:iCs/>
          <w:color w:val="FF0000"/>
          <w:sz w:val="24"/>
          <w:szCs w:val="24"/>
          <w:lang w:eastAsia="zh-CN"/>
        </w:rPr>
        <w:t>m</w:t>
      </w:r>
      <w:r>
        <w:rPr>
          <w:rFonts w:hint="eastAsia"/>
          <w:i/>
          <w:iCs/>
          <w:color w:val="FF0000"/>
          <w:sz w:val="24"/>
          <w:szCs w:val="24"/>
          <w:lang w:val="en-US" w:eastAsia="zh-CN"/>
        </w:rPr>
        <w:t>/s,且室外风速放</w:t>
      </w:r>
      <w:r>
        <w:rPr>
          <w:rFonts w:hint="eastAsia"/>
          <w:i/>
          <w:iCs/>
          <w:color w:val="FF0000"/>
          <w:sz w:val="24"/>
          <w:szCs w:val="24"/>
          <w:lang w:eastAsia="zh-CN"/>
        </w:rPr>
        <w:t>大系数小于</w:t>
      </w:r>
      <w:r>
        <w:rPr>
          <w:rFonts w:hint="eastAsia" w:eastAsia="Times New Roman"/>
          <w:i/>
          <w:iCs/>
          <w:color w:val="FF0000"/>
          <w:sz w:val="24"/>
          <w:szCs w:val="24"/>
          <w:lang w:eastAsia="zh-CN"/>
        </w:rPr>
        <w:t>2</w:t>
      </w:r>
      <w:r>
        <w:rPr>
          <w:rFonts w:hint="eastAsia"/>
          <w:i/>
          <w:iCs/>
          <w:color w:val="FF0000"/>
          <w:sz w:val="24"/>
          <w:szCs w:val="24"/>
          <w:lang w:eastAsia="zh-CN"/>
        </w:rPr>
        <w:t>，得</w:t>
      </w:r>
      <w:r>
        <w:rPr>
          <w:rFonts w:hint="eastAsia" w:eastAsia="Times New Roman"/>
          <w:i/>
          <w:iCs/>
          <w:color w:val="FF0000"/>
          <w:sz w:val="24"/>
          <w:szCs w:val="24"/>
          <w:lang w:eastAsia="zh-CN"/>
        </w:rPr>
        <w:t>3</w:t>
      </w:r>
      <w:r>
        <w:rPr>
          <w:rFonts w:hint="eastAsia"/>
          <w:i/>
          <w:iCs/>
          <w:color w:val="FF0000"/>
          <w:sz w:val="24"/>
          <w:szCs w:val="24"/>
          <w:lang w:eastAsia="zh-CN"/>
        </w:rPr>
        <w:t>分；</w:t>
      </w:r>
    </w:p>
    <w:p>
      <w:pPr>
        <w:ind w:left="479" w:leftChars="228" w:firstLine="240" w:firstLineChars="1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除迎风第一排建筑外，建筑迎风面与背风面表面风压差不大于</w:t>
      </w:r>
      <w:r>
        <w:rPr>
          <w:rFonts w:hint="eastAsia" w:eastAsia="Times New Roman"/>
          <w:i/>
          <w:iCs/>
          <w:color w:val="FF0000"/>
          <w:sz w:val="24"/>
          <w:szCs w:val="24"/>
          <w:lang w:eastAsia="zh-CN"/>
        </w:rPr>
        <w:t>5</w:t>
      </w:r>
      <w:r>
        <w:rPr>
          <w:rFonts w:hint="eastAsia"/>
          <w:i/>
          <w:iCs/>
          <w:color w:val="FF0000"/>
          <w:sz w:val="24"/>
          <w:szCs w:val="24"/>
          <w:lang w:eastAsia="zh-CN"/>
        </w:rPr>
        <w:t>Pa，得</w:t>
      </w:r>
      <w:r>
        <w:rPr>
          <w:rFonts w:hint="eastAsia" w:eastAsia="Times New Roman"/>
          <w:i/>
          <w:iCs/>
          <w:color w:val="FF0000"/>
          <w:sz w:val="24"/>
          <w:szCs w:val="24"/>
          <w:lang w:eastAsia="zh-CN"/>
        </w:rPr>
        <w:t>2</w:t>
      </w:r>
      <w:r>
        <w:rPr>
          <w:rFonts w:hint="eastAsia"/>
          <w:i/>
          <w:iCs/>
          <w:color w:val="FF0000"/>
          <w:sz w:val="24"/>
          <w:szCs w:val="24"/>
          <w:lang w:eastAsia="zh-CN"/>
        </w:rPr>
        <w:t>分。</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过渡季、夏季典型风速和风向条件下，按下列规则分别评分并累计：</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场地内人活动区不出现涡旋或无风区，得</w:t>
      </w:r>
      <w:r>
        <w:rPr>
          <w:rFonts w:hint="eastAsia" w:eastAsia="Times New Roman"/>
          <w:i/>
          <w:iCs/>
          <w:color w:val="FF0000"/>
          <w:sz w:val="24"/>
          <w:szCs w:val="24"/>
          <w:lang w:eastAsia="zh-CN"/>
        </w:rPr>
        <w:t>3</w:t>
      </w:r>
      <w:r>
        <w:rPr>
          <w:rFonts w:hint="eastAsia"/>
          <w:i/>
          <w:iCs/>
          <w:color w:val="FF0000"/>
          <w:sz w:val="24"/>
          <w:szCs w:val="24"/>
          <w:lang w:eastAsia="zh-CN"/>
        </w:rPr>
        <w:t>分；</w:t>
      </w:r>
    </w:p>
    <w:p>
      <w:pPr>
        <w:ind w:firstLine="720" w:firstLineChars="300"/>
        <w:rPr>
          <w:rFonts w:hint="eastAsia"/>
          <w:color w:val="FF0000"/>
          <w:sz w:val="28"/>
          <w:szCs w:val="28"/>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eastAsia="zh-CN"/>
        </w:rPr>
        <w:t>50</w:t>
      </w:r>
      <w:r>
        <w:rPr>
          <w:rFonts w:hint="eastAsia"/>
          <w:i/>
          <w:iCs/>
          <w:color w:val="FF0000"/>
          <w:sz w:val="24"/>
          <w:szCs w:val="24"/>
          <w:lang w:eastAsia="zh-CN"/>
        </w:rPr>
        <w:t>%以上可开启外窗室内外表面的风压差大于</w:t>
      </w:r>
      <w:r>
        <w:rPr>
          <w:rFonts w:hint="eastAsia" w:eastAsia="Times New Roman"/>
          <w:i/>
          <w:iCs/>
          <w:color w:val="FF0000"/>
          <w:sz w:val="24"/>
          <w:szCs w:val="24"/>
          <w:lang w:val="en-US" w:eastAsia="zh-CN"/>
        </w:rPr>
        <w:t>0</w:t>
      </w:r>
      <w:r>
        <w:rPr>
          <w:rFonts w:hint="eastAsia"/>
          <w:i/>
          <w:iCs/>
          <w:color w:val="FF0000"/>
          <w:sz w:val="24"/>
          <w:szCs w:val="24"/>
          <w:lang w:val="en-US" w:eastAsia="zh-CN"/>
        </w:rPr>
        <w:t>.</w:t>
      </w:r>
      <w:r>
        <w:rPr>
          <w:rFonts w:hint="eastAsia" w:eastAsia="Times New Roman"/>
          <w:i/>
          <w:iCs/>
          <w:color w:val="FF0000"/>
          <w:sz w:val="24"/>
          <w:szCs w:val="24"/>
          <w:lang w:val="en-US" w:eastAsia="zh-CN"/>
        </w:rPr>
        <w:t>5</w:t>
      </w:r>
      <w:r>
        <w:rPr>
          <w:rFonts w:hint="eastAsia"/>
          <w:i/>
          <w:iCs/>
          <w:color w:val="FF0000"/>
          <w:sz w:val="24"/>
          <w:szCs w:val="24"/>
          <w:lang w:val="en-US" w:eastAsia="zh-CN"/>
        </w:rPr>
        <w:t>Pa，</w:t>
      </w:r>
      <w:r>
        <w:rPr>
          <w:rFonts w:hint="eastAsia"/>
          <w:i/>
          <w:iCs/>
          <w:color w:val="FF0000"/>
          <w:sz w:val="24"/>
          <w:szCs w:val="24"/>
          <w:lang w:eastAsia="zh-CN"/>
        </w:rPr>
        <w:t>得</w:t>
      </w:r>
      <w:r>
        <w:rPr>
          <w:rFonts w:hint="eastAsia" w:eastAsia="Times New Roman"/>
          <w:i/>
          <w:iCs/>
          <w:color w:val="FF0000"/>
          <w:sz w:val="24"/>
          <w:szCs w:val="24"/>
          <w:lang w:eastAsia="zh-CN"/>
        </w:rPr>
        <w:t>2</w:t>
      </w:r>
      <w:r>
        <w:rPr>
          <w:rFonts w:hint="eastAsia"/>
          <w:i/>
          <w:iCs/>
          <w:color w:val="FF0000"/>
          <w:sz w:val="24"/>
          <w:szCs w:val="24"/>
          <w:lang w:eastAsia="zh-CN"/>
        </w:rPr>
        <w:t>分。</w:t>
      </w:r>
    </w:p>
    <w:p>
      <w:pPr>
        <w:rPr>
          <w:rFonts w:hint="default"/>
          <w:color w:val="auto"/>
          <w:sz w:val="21"/>
          <w:szCs w:val="21"/>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说明室外风环境情况以及改善风环境的</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室外风环境模拟计算分析报告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numPr>
          <w:ilvl w:val="0"/>
          <w:numId w:val="0"/>
        </w:num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规划专篇中所有控制项满足要求，评分项得分汇总如下：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规划专业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一</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一</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jc w:val="both"/>
        <w:rPr>
          <w:rFonts w:hint="eastAsia" w:ascii="黑体" w:hAnsi="黑体" w:eastAsia="黑体" w:cs="黑体"/>
          <w:color w:val="auto"/>
          <w:sz w:val="30"/>
          <w:szCs w:val="30"/>
          <w:lang w:val="en-US" w:eastAsia="zh-CN"/>
        </w:rPr>
      </w:pPr>
    </w:p>
    <w:p>
      <w:pPr>
        <w:jc w:val="left"/>
        <w:rPr>
          <w:rFonts w:hint="eastAsia"/>
          <w:b/>
          <w:bCs/>
          <w:color w:val="auto"/>
          <w:sz w:val="30"/>
          <w:szCs w:val="30"/>
          <w:lang w:val="en-US" w:eastAsia="zh-CN"/>
        </w:rPr>
      </w:pPr>
      <w:r>
        <w:rPr>
          <w:rFonts w:hint="eastAsia" w:ascii="宋体" w:hAnsi="宋体" w:eastAsia="宋体" w:cs="宋体"/>
          <w:b/>
          <w:bCs/>
          <w:color w:val="auto"/>
          <w:sz w:val="30"/>
          <w:szCs w:val="30"/>
          <w:lang w:val="en-US" w:eastAsia="zh-CN"/>
        </w:rPr>
        <w:t>（二）</w:t>
      </w:r>
      <w:r>
        <w:rPr>
          <w:rFonts w:hint="eastAsia"/>
          <w:b/>
          <w:bCs/>
          <w:color w:val="auto"/>
          <w:sz w:val="30"/>
          <w:szCs w:val="30"/>
          <w:lang w:val="en-US" w:eastAsia="zh-CN"/>
        </w:rPr>
        <w:t>建筑</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A.必须说明内容</w:t>
      </w:r>
      <w:r>
        <w:rPr>
          <w:rFonts w:hint="eastAsia" w:ascii="宋体" w:hAnsi="宋体" w:cs="宋体"/>
          <w:b/>
          <w:bCs/>
          <w:color w:val="auto"/>
          <w:sz w:val="28"/>
          <w:szCs w:val="28"/>
          <w:lang w:val="en-US" w:eastAsia="zh-CN"/>
        </w:rPr>
        <w:t>（控制项）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、建筑外门窗必须</w:t>
      </w:r>
      <w:r>
        <w:rPr>
          <w:rFonts w:hint="eastAsia"/>
          <w:color w:val="auto"/>
          <w:sz w:val="28"/>
          <w:szCs w:val="28"/>
        </w:rPr>
        <w:t>安装</w:t>
      </w:r>
      <w:r>
        <w:rPr>
          <w:rFonts w:hint="eastAsia"/>
          <w:color w:val="auto"/>
          <w:sz w:val="28"/>
          <w:szCs w:val="28"/>
          <w:lang w:val="en-US" w:eastAsia="zh-CN"/>
        </w:rPr>
        <w:t>牢固</w:t>
      </w:r>
      <w:r>
        <w:rPr>
          <w:rFonts w:hint="eastAsia"/>
          <w:color w:val="auto"/>
          <w:sz w:val="28"/>
          <w:szCs w:val="28"/>
        </w:rPr>
        <w:t>、其抗风压性能和水密性能应符合国家现行有关标准的规定</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5</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lang w:eastAsia="zh-CN"/>
        </w:rPr>
      </w:pPr>
      <w:r>
        <w:rPr>
          <w:rFonts w:hint="eastAsia"/>
          <w:color w:val="auto"/>
          <w:sz w:val="28"/>
          <w:szCs w:val="28"/>
          <w:lang w:val="en-US" w:eastAsia="zh-CN"/>
        </w:rPr>
        <w:t>技术措施说明：</w:t>
      </w:r>
      <w:r>
        <w:rPr>
          <w:rFonts w:hint="eastAsia"/>
          <w:color w:val="auto"/>
          <w:sz w:val="28"/>
          <w:szCs w:val="28"/>
          <w:u w:val="single"/>
          <w:lang w:val="en-US" w:eastAsia="zh-CN"/>
        </w:rPr>
        <w:t>本项目外门窗</w:t>
      </w:r>
      <w:r>
        <w:rPr>
          <w:rFonts w:hint="eastAsia"/>
          <w:color w:val="auto"/>
          <w:sz w:val="28"/>
          <w:szCs w:val="28"/>
          <w:u w:val="single"/>
        </w:rPr>
        <w:t>安装</w:t>
      </w:r>
      <w:r>
        <w:rPr>
          <w:rFonts w:hint="eastAsia"/>
          <w:color w:val="auto"/>
          <w:sz w:val="28"/>
          <w:szCs w:val="28"/>
          <w:u w:val="single"/>
          <w:lang w:val="en-US" w:eastAsia="zh-CN"/>
        </w:rPr>
        <w:t>牢固</w:t>
      </w:r>
      <w:r>
        <w:rPr>
          <w:rFonts w:hint="eastAsia"/>
          <w:color w:val="auto"/>
          <w:sz w:val="28"/>
          <w:szCs w:val="28"/>
          <w:u w:val="single"/>
        </w:rPr>
        <w:t>、其抗风压性能和水密性能符合国家现行有关标准的规定</w:t>
      </w:r>
      <w:r>
        <w:rPr>
          <w:rFonts w:hint="eastAsia"/>
          <w:color w:val="auto"/>
          <w:sz w:val="28"/>
          <w:szCs w:val="28"/>
          <w:u w:val="single"/>
          <w:lang w:eastAsia="zh-CN"/>
        </w:rPr>
        <w:t>。</w:t>
      </w:r>
    </w:p>
    <w:p>
      <w:pPr>
        <w:rPr>
          <w:rFonts w:hint="eastAsia" w:eastAsia="宋体"/>
          <w:color w:val="auto"/>
          <w:sz w:val="28"/>
          <w:szCs w:val="28"/>
          <w:lang w:eastAsia="zh-CN"/>
        </w:rPr>
      </w:pPr>
      <w:r>
        <w:rPr>
          <w:rFonts w:hint="eastAsia"/>
          <w:color w:val="auto"/>
          <w:sz w:val="28"/>
          <w:szCs w:val="28"/>
          <w:lang w:eastAsia="zh-CN"/>
        </w:rPr>
        <w:t>证明材料：□</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、卫</w:t>
      </w:r>
      <w:r>
        <w:rPr>
          <w:rFonts w:hint="eastAsia"/>
          <w:color w:val="auto"/>
          <w:sz w:val="28"/>
          <w:szCs w:val="28"/>
        </w:rPr>
        <w:t>生间、</w:t>
      </w:r>
      <w:r>
        <w:rPr>
          <w:rFonts w:hint="eastAsia"/>
          <w:color w:val="auto"/>
          <w:sz w:val="28"/>
          <w:szCs w:val="28"/>
          <w:lang w:val="en-US" w:eastAsia="zh-CN"/>
        </w:rPr>
        <w:t>浴室</w:t>
      </w:r>
      <w:r>
        <w:rPr>
          <w:rFonts w:hint="eastAsia"/>
          <w:color w:val="auto"/>
          <w:sz w:val="28"/>
          <w:szCs w:val="28"/>
        </w:rPr>
        <w:t>的地面应设置防水层，墙面、顶</w:t>
      </w:r>
      <w:r>
        <w:rPr>
          <w:rFonts w:hint="eastAsia"/>
          <w:color w:val="auto"/>
          <w:sz w:val="28"/>
          <w:szCs w:val="28"/>
          <w:lang w:val="en-US" w:eastAsia="zh-CN"/>
        </w:rPr>
        <w:t>棚</w:t>
      </w:r>
      <w:r>
        <w:rPr>
          <w:rFonts w:hint="eastAsia"/>
          <w:color w:val="auto"/>
          <w:sz w:val="28"/>
          <w:szCs w:val="28"/>
        </w:rPr>
        <w:t>应设置</w:t>
      </w:r>
      <w:r>
        <w:rPr>
          <w:rFonts w:hint="eastAsia"/>
          <w:color w:val="auto"/>
          <w:sz w:val="28"/>
          <w:szCs w:val="28"/>
          <w:lang w:val="en-US" w:eastAsia="zh-CN"/>
        </w:rPr>
        <w:t>防潮</w:t>
      </w:r>
      <w:r>
        <w:rPr>
          <w:rFonts w:hint="eastAsia"/>
          <w:color w:val="auto"/>
          <w:sz w:val="28"/>
          <w:szCs w:val="28"/>
        </w:rPr>
        <w:t>层</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本项目卫</w:t>
      </w:r>
      <w:r>
        <w:rPr>
          <w:rFonts w:hint="eastAsia"/>
          <w:color w:val="auto"/>
          <w:sz w:val="28"/>
          <w:szCs w:val="28"/>
          <w:u w:val="single"/>
        </w:rPr>
        <w:t>生间、</w:t>
      </w:r>
      <w:r>
        <w:rPr>
          <w:rFonts w:hint="eastAsia"/>
          <w:color w:val="auto"/>
          <w:sz w:val="28"/>
          <w:szCs w:val="28"/>
          <w:u w:val="single"/>
          <w:lang w:val="en-US" w:eastAsia="zh-CN"/>
        </w:rPr>
        <w:t>浴室</w:t>
      </w:r>
      <w:r>
        <w:rPr>
          <w:rFonts w:hint="eastAsia"/>
          <w:color w:val="auto"/>
          <w:sz w:val="28"/>
          <w:szCs w:val="28"/>
          <w:u w:val="single"/>
        </w:rPr>
        <w:t>的地面设置防水层，墙面、顶</w:t>
      </w:r>
      <w:r>
        <w:rPr>
          <w:rFonts w:hint="eastAsia"/>
          <w:color w:val="auto"/>
          <w:sz w:val="28"/>
          <w:szCs w:val="28"/>
          <w:u w:val="single"/>
          <w:lang w:val="en-US" w:eastAsia="zh-CN"/>
        </w:rPr>
        <w:t>棚按要求</w:t>
      </w:r>
      <w:r>
        <w:rPr>
          <w:rFonts w:hint="eastAsia"/>
          <w:color w:val="auto"/>
          <w:sz w:val="28"/>
          <w:szCs w:val="28"/>
          <w:u w:val="single"/>
        </w:rPr>
        <w:t>设置</w:t>
      </w:r>
      <w:r>
        <w:rPr>
          <w:rFonts w:hint="eastAsia"/>
          <w:color w:val="auto"/>
          <w:sz w:val="28"/>
          <w:szCs w:val="28"/>
          <w:u w:val="single"/>
          <w:lang w:val="en-US" w:eastAsia="zh-CN"/>
        </w:rPr>
        <w:t>防潮</w:t>
      </w:r>
      <w:r>
        <w:rPr>
          <w:rFonts w:hint="eastAsia"/>
          <w:color w:val="auto"/>
          <w:sz w:val="28"/>
          <w:szCs w:val="28"/>
          <w:u w:val="single"/>
        </w:rPr>
        <w:t>层</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、走廊、疏散</w:t>
      </w:r>
      <w:r>
        <w:rPr>
          <w:rFonts w:hint="eastAsia"/>
          <w:color w:val="auto"/>
          <w:sz w:val="28"/>
          <w:szCs w:val="28"/>
        </w:rPr>
        <w:t>通道等通行空间应满足紧急</w:t>
      </w:r>
      <w:r>
        <w:rPr>
          <w:rFonts w:hint="eastAsia"/>
          <w:color w:val="auto"/>
          <w:sz w:val="28"/>
          <w:szCs w:val="28"/>
          <w:lang w:val="en-US" w:eastAsia="zh-CN"/>
        </w:rPr>
        <w:t>疏散</w:t>
      </w:r>
      <w:r>
        <w:rPr>
          <w:rFonts w:hint="eastAsia"/>
          <w:color w:val="auto"/>
          <w:sz w:val="28"/>
          <w:szCs w:val="28"/>
        </w:rPr>
        <w:t>、应急</w:t>
      </w:r>
      <w:r>
        <w:rPr>
          <w:rFonts w:hint="eastAsia"/>
          <w:color w:val="auto"/>
          <w:sz w:val="28"/>
          <w:szCs w:val="28"/>
          <w:lang w:val="en-US" w:eastAsia="zh-CN"/>
        </w:rPr>
        <w:t>救护</w:t>
      </w:r>
      <w:r>
        <w:rPr>
          <w:rFonts w:hint="eastAsia"/>
          <w:color w:val="auto"/>
          <w:sz w:val="28"/>
          <w:szCs w:val="28"/>
        </w:rPr>
        <w:t>等要求，且应保持畅通</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7</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1"/>
          <w:szCs w:val="21"/>
          <w:lang w:val="en-US" w:eastAsia="zh-CN"/>
        </w:rPr>
      </w:pPr>
      <w:r>
        <w:rPr>
          <w:rFonts w:hint="eastAsia"/>
          <w:color w:val="auto"/>
          <w:sz w:val="28"/>
          <w:szCs w:val="28"/>
          <w:lang w:val="en-US" w:eastAsia="zh-CN"/>
        </w:rPr>
        <w:t>技术措施说明</w:t>
      </w:r>
      <w:r>
        <w:rPr>
          <w:rFonts w:hint="eastAsia"/>
          <w:color w:val="auto"/>
          <w:sz w:val="28"/>
          <w:szCs w:val="28"/>
          <w:lang w:eastAsia="zh-CN"/>
        </w:rPr>
        <w:t>：</w:t>
      </w:r>
      <w:r>
        <w:rPr>
          <w:rFonts w:hint="eastAsia"/>
          <w:color w:val="auto"/>
          <w:sz w:val="28"/>
          <w:szCs w:val="28"/>
          <w:u w:val="single"/>
          <w:lang w:val="en-US" w:eastAsia="zh-CN"/>
        </w:rPr>
        <w:t>本</w:t>
      </w:r>
      <w:r>
        <w:rPr>
          <w:rFonts w:hint="eastAsia"/>
          <w:color w:val="auto"/>
          <w:sz w:val="28"/>
          <w:szCs w:val="28"/>
          <w:u w:val="single"/>
        </w:rPr>
        <w:t>项目</w:t>
      </w:r>
      <w:r>
        <w:rPr>
          <w:rFonts w:hint="eastAsia"/>
          <w:color w:val="auto"/>
          <w:sz w:val="28"/>
          <w:szCs w:val="28"/>
          <w:u w:val="single"/>
          <w:lang w:val="en-US" w:eastAsia="zh-CN"/>
        </w:rPr>
        <w:t>没</w:t>
      </w:r>
      <w:r>
        <w:rPr>
          <w:rFonts w:hint="eastAsia"/>
          <w:color w:val="auto"/>
          <w:sz w:val="28"/>
          <w:szCs w:val="28"/>
          <w:u w:val="single"/>
        </w:rPr>
        <w:t>有阳台花池、机电箱等凸向走廊、疏散</w:t>
      </w:r>
      <w:r>
        <w:rPr>
          <w:rFonts w:hint="eastAsia"/>
          <w:color w:val="auto"/>
          <w:sz w:val="28"/>
          <w:szCs w:val="28"/>
          <w:u w:val="single"/>
          <w:lang w:eastAsia="zh-CN"/>
        </w:rPr>
        <w:t>通道</w:t>
      </w:r>
      <w:r>
        <w:rPr>
          <w:rFonts w:hint="eastAsia"/>
          <w:color w:val="auto"/>
          <w:sz w:val="28"/>
          <w:szCs w:val="28"/>
          <w:u w:val="single"/>
        </w:rPr>
        <w:t>的设计，防止对人员活动、步行</w:t>
      </w:r>
      <w:r>
        <w:rPr>
          <w:rFonts w:hint="eastAsia"/>
          <w:color w:val="auto"/>
          <w:sz w:val="28"/>
          <w:szCs w:val="28"/>
          <w:u w:val="single"/>
          <w:lang w:eastAsia="zh-CN"/>
        </w:rPr>
        <w:t>交通</w:t>
      </w:r>
      <w:r>
        <w:rPr>
          <w:rFonts w:hint="eastAsia"/>
          <w:color w:val="auto"/>
          <w:sz w:val="28"/>
          <w:szCs w:val="28"/>
          <w:u w:val="single"/>
        </w:rPr>
        <w:t>、消防</w:t>
      </w:r>
      <w:r>
        <w:rPr>
          <w:rFonts w:hint="eastAsia"/>
          <w:color w:val="auto"/>
          <w:sz w:val="28"/>
          <w:szCs w:val="28"/>
          <w:u w:val="single"/>
          <w:lang w:val="en-US" w:eastAsia="zh-CN"/>
        </w:rPr>
        <w:t>疏</w:t>
      </w:r>
      <w:r>
        <w:rPr>
          <w:rFonts w:hint="eastAsia"/>
          <w:color w:val="auto"/>
          <w:sz w:val="28"/>
          <w:szCs w:val="28"/>
          <w:u w:val="single"/>
        </w:rPr>
        <w:t>散理下安全</w:t>
      </w:r>
      <w:r>
        <w:rPr>
          <w:rFonts w:hint="eastAsia"/>
          <w:color w:val="auto"/>
          <w:sz w:val="28"/>
          <w:szCs w:val="28"/>
          <w:u w:val="single"/>
          <w:lang w:val="en-US" w:eastAsia="zh-CN"/>
        </w:rPr>
        <w:t>隐患。</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应具有安全防护</w:t>
      </w:r>
      <w:r>
        <w:rPr>
          <w:rFonts w:hint="eastAsia"/>
          <w:color w:val="auto"/>
          <w:sz w:val="28"/>
          <w:szCs w:val="28"/>
          <w:lang w:val="en-US" w:eastAsia="zh-CN"/>
        </w:rPr>
        <w:t>的</w:t>
      </w:r>
      <w:r>
        <w:rPr>
          <w:rFonts w:hint="eastAsia"/>
          <w:color w:val="auto"/>
          <w:sz w:val="28"/>
          <w:szCs w:val="28"/>
        </w:rPr>
        <w:t>警示和引导标识系统</w:t>
      </w:r>
      <w:r>
        <w:rPr>
          <w:rFonts w:hint="eastAsia"/>
          <w:color w:val="auto"/>
          <w:sz w:val="28"/>
          <w:szCs w:val="28"/>
          <w:lang w:eastAsia="zh-CN"/>
        </w:rPr>
        <w:t>。（</w:t>
      </w:r>
      <w:r>
        <w:rPr>
          <w:rFonts w:hint="eastAsia" w:eastAsia="Times New Roman"/>
          <w:color w:val="auto"/>
          <w:sz w:val="28"/>
          <w:szCs w:val="28"/>
        </w:rPr>
        <w:t>4</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8</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rPr>
        <w:t>本项目设有安全</w:t>
      </w:r>
      <w:r>
        <w:rPr>
          <w:rFonts w:hint="eastAsia"/>
          <w:color w:val="auto"/>
          <w:sz w:val="28"/>
          <w:szCs w:val="28"/>
          <w:u w:val="single"/>
          <w:lang w:val="en-US" w:eastAsia="zh-CN"/>
        </w:rPr>
        <w:t>防护</w:t>
      </w:r>
      <w:r>
        <w:rPr>
          <w:rFonts w:hint="eastAsia"/>
          <w:color w:val="auto"/>
          <w:sz w:val="28"/>
          <w:szCs w:val="28"/>
          <w:u w:val="single"/>
        </w:rPr>
        <w:t>的警示和引导标识系统</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室内空气中的</w:t>
      </w:r>
      <w:r>
        <w:rPr>
          <w:rFonts w:hint="eastAsia"/>
          <w:color w:val="auto"/>
          <w:sz w:val="28"/>
          <w:szCs w:val="28"/>
          <w:lang w:val="en-US" w:eastAsia="zh-CN"/>
        </w:rPr>
        <w:t>氨</w:t>
      </w:r>
      <w:r>
        <w:rPr>
          <w:rFonts w:hint="eastAsia"/>
          <w:color w:val="auto"/>
          <w:sz w:val="28"/>
          <w:szCs w:val="28"/>
        </w:rPr>
        <w:t>、甲醛、苯、总挥发性有机物、</w:t>
      </w:r>
      <w:r>
        <w:rPr>
          <w:rFonts w:hint="eastAsia"/>
          <w:color w:val="auto"/>
          <w:sz w:val="28"/>
          <w:szCs w:val="28"/>
          <w:lang w:val="en-US" w:eastAsia="zh-CN"/>
        </w:rPr>
        <w:t>氡</w:t>
      </w:r>
      <w:r>
        <w:rPr>
          <w:rFonts w:hint="eastAsia"/>
          <w:color w:val="auto"/>
          <w:sz w:val="28"/>
          <w:szCs w:val="28"/>
        </w:rPr>
        <w:t>等污染物浓度应符合现行国家标准《室内空气质量标准》G</w:t>
      </w:r>
      <w:r>
        <w:rPr>
          <w:rFonts w:hint="eastAsia"/>
          <w:color w:val="auto"/>
          <w:sz w:val="28"/>
          <w:szCs w:val="28"/>
          <w:lang w:val="en-US" w:eastAsia="zh-CN"/>
        </w:rPr>
        <w:t>B/</w:t>
      </w:r>
      <w:r>
        <w:rPr>
          <w:rFonts w:hint="eastAsia"/>
          <w:color w:val="auto"/>
          <w:sz w:val="28"/>
          <w:szCs w:val="28"/>
        </w:rPr>
        <w:t>T</w:t>
      </w:r>
      <w:r>
        <w:rPr>
          <w:rFonts w:hint="eastAsia"/>
          <w:color w:val="auto"/>
          <w:sz w:val="28"/>
          <w:szCs w:val="28"/>
          <w:lang w:val="en-US" w:eastAsia="zh-CN"/>
        </w:rPr>
        <w:t xml:space="preserve"> </w:t>
      </w:r>
      <w:r>
        <w:rPr>
          <w:rFonts w:hint="eastAsia" w:eastAsia="Times New Roman"/>
          <w:color w:val="auto"/>
          <w:sz w:val="28"/>
          <w:szCs w:val="28"/>
        </w:rPr>
        <w:t>188</w:t>
      </w:r>
      <w:r>
        <w:rPr>
          <w:rFonts w:hint="eastAsia" w:eastAsia="Times New Roman"/>
          <w:color w:val="auto"/>
          <w:sz w:val="28"/>
          <w:szCs w:val="28"/>
          <w:lang w:val="en-US" w:eastAsia="zh-CN"/>
        </w:rPr>
        <w:t>83</w:t>
      </w:r>
      <w:r>
        <w:rPr>
          <w:rFonts w:hint="eastAsia"/>
          <w:color w:val="auto"/>
          <w:sz w:val="28"/>
          <w:szCs w:val="28"/>
        </w:rPr>
        <w:t>的有关规定</w:t>
      </w:r>
      <w:r>
        <w:rPr>
          <w:rFonts w:hint="eastAsia"/>
          <w:color w:val="auto"/>
          <w:sz w:val="28"/>
          <w:szCs w:val="28"/>
          <w:lang w:eastAsia="zh-CN"/>
        </w:rPr>
        <w:t>。</w:t>
      </w:r>
      <w:r>
        <w:rPr>
          <w:rFonts w:hint="eastAsia"/>
          <w:color w:val="auto"/>
          <w:sz w:val="28"/>
          <w:szCs w:val="28"/>
        </w:rPr>
        <w:t>建筑室内和建筑主出入</w:t>
      </w:r>
      <w:r>
        <w:rPr>
          <w:rFonts w:hint="eastAsia"/>
          <w:color w:val="auto"/>
          <w:sz w:val="28"/>
          <w:szCs w:val="28"/>
          <w:lang w:val="en-US" w:eastAsia="zh-CN"/>
        </w:rPr>
        <w:t>口</w:t>
      </w:r>
      <w:r>
        <w:rPr>
          <w:rFonts w:hint="eastAsia"/>
          <w:color w:val="auto"/>
          <w:sz w:val="28"/>
          <w:szCs w:val="28"/>
        </w:rPr>
        <w:t>处应禁止吸烟，并应在</w:t>
      </w:r>
      <w:r>
        <w:rPr>
          <w:rFonts w:hint="eastAsia"/>
          <w:color w:val="auto"/>
          <w:sz w:val="28"/>
          <w:szCs w:val="28"/>
          <w:lang w:val="en-US" w:eastAsia="zh-CN"/>
        </w:rPr>
        <w:t>醒</w:t>
      </w:r>
      <w:r>
        <w:rPr>
          <w:rFonts w:hint="eastAsia"/>
          <w:color w:val="auto"/>
          <w:sz w:val="28"/>
          <w:szCs w:val="28"/>
        </w:rPr>
        <w:t>目位置设置禁烟标志</w:t>
      </w:r>
      <w:r>
        <w:rPr>
          <w:rFonts w:hint="eastAsia"/>
          <w:color w:val="auto"/>
          <w:sz w:val="28"/>
          <w:szCs w:val="28"/>
          <w:lang w:eastAsia="zh-CN"/>
        </w:rPr>
        <w:t>。（</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1</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lang w:eastAsia="zh-CN"/>
        </w:rPr>
        <w:t>技术</w:t>
      </w:r>
      <w:r>
        <w:rPr>
          <w:rFonts w:hint="eastAsia"/>
          <w:color w:val="auto"/>
          <w:sz w:val="28"/>
          <w:szCs w:val="28"/>
          <w:lang w:val="en-US" w:eastAsia="zh-CN"/>
        </w:rPr>
        <w:t>措</w:t>
      </w:r>
      <w:r>
        <w:rPr>
          <w:rFonts w:hint="eastAsia"/>
          <w:color w:val="auto"/>
          <w:sz w:val="28"/>
          <w:szCs w:val="28"/>
        </w:rPr>
        <w:t>施说明</w:t>
      </w:r>
      <w:r>
        <w:rPr>
          <w:rFonts w:hint="eastAsia"/>
          <w:color w:val="auto"/>
          <w:sz w:val="28"/>
          <w:szCs w:val="28"/>
          <w:lang w:eastAsia="zh-CN"/>
        </w:rPr>
        <w:t>：</w:t>
      </w:r>
      <w:r>
        <w:rPr>
          <w:rFonts w:hint="eastAsia"/>
          <w:color w:val="auto"/>
          <w:sz w:val="28"/>
          <w:szCs w:val="28"/>
          <w:u w:val="single"/>
          <w:lang w:val="en-US" w:eastAsia="zh-CN"/>
        </w:rPr>
        <w:t>本项目</w:t>
      </w:r>
      <w:r>
        <w:rPr>
          <w:rFonts w:hint="eastAsia"/>
          <w:color w:val="auto"/>
          <w:sz w:val="28"/>
          <w:szCs w:val="28"/>
          <w:u w:val="single"/>
        </w:rPr>
        <w:t>室内空气中的</w:t>
      </w:r>
      <w:r>
        <w:rPr>
          <w:rFonts w:hint="eastAsia"/>
          <w:color w:val="auto"/>
          <w:sz w:val="28"/>
          <w:szCs w:val="28"/>
          <w:u w:val="single"/>
          <w:lang w:val="en-US" w:eastAsia="zh-CN"/>
        </w:rPr>
        <w:t>氨</w:t>
      </w:r>
      <w:r>
        <w:rPr>
          <w:rFonts w:hint="eastAsia"/>
          <w:color w:val="auto"/>
          <w:sz w:val="28"/>
          <w:szCs w:val="28"/>
          <w:u w:val="single"/>
        </w:rPr>
        <w:t>、甲醛、苯、总挥发性有机物、</w:t>
      </w:r>
      <w:r>
        <w:rPr>
          <w:rFonts w:hint="eastAsia"/>
          <w:color w:val="auto"/>
          <w:sz w:val="28"/>
          <w:szCs w:val="28"/>
          <w:u w:val="single"/>
          <w:lang w:val="en-US" w:eastAsia="zh-CN"/>
        </w:rPr>
        <w:t>氡</w:t>
      </w:r>
      <w:r>
        <w:rPr>
          <w:rFonts w:hint="eastAsia"/>
          <w:color w:val="auto"/>
          <w:sz w:val="28"/>
          <w:szCs w:val="28"/>
          <w:u w:val="single"/>
        </w:rPr>
        <w:t>等污染物浓度符合现行国家标准《室内空气质量标准》G</w:t>
      </w:r>
      <w:r>
        <w:rPr>
          <w:rFonts w:hint="eastAsia"/>
          <w:color w:val="auto"/>
          <w:sz w:val="28"/>
          <w:szCs w:val="28"/>
          <w:u w:val="single"/>
          <w:lang w:val="en-US" w:eastAsia="zh-CN"/>
        </w:rPr>
        <w:t>B/</w:t>
      </w:r>
      <w:r>
        <w:rPr>
          <w:rFonts w:hint="eastAsia"/>
          <w:color w:val="auto"/>
          <w:sz w:val="28"/>
          <w:szCs w:val="28"/>
          <w:u w:val="single"/>
        </w:rPr>
        <w:t>T</w:t>
      </w:r>
      <w:r>
        <w:rPr>
          <w:rFonts w:hint="eastAsia"/>
          <w:color w:val="auto"/>
          <w:sz w:val="28"/>
          <w:szCs w:val="28"/>
          <w:u w:val="single"/>
          <w:lang w:val="en-US" w:eastAsia="zh-CN"/>
        </w:rPr>
        <w:t xml:space="preserve"> </w:t>
      </w:r>
      <w:r>
        <w:rPr>
          <w:rFonts w:hint="eastAsia" w:eastAsia="Times New Roman"/>
          <w:color w:val="auto"/>
          <w:sz w:val="28"/>
          <w:szCs w:val="28"/>
          <w:u w:val="single"/>
        </w:rPr>
        <w:t>188</w:t>
      </w:r>
      <w:r>
        <w:rPr>
          <w:rFonts w:hint="eastAsia" w:eastAsia="Times New Roman"/>
          <w:color w:val="auto"/>
          <w:sz w:val="28"/>
          <w:szCs w:val="28"/>
          <w:u w:val="single"/>
          <w:lang w:val="en-US" w:eastAsia="zh-CN"/>
        </w:rPr>
        <w:t>83</w:t>
      </w:r>
      <w:r>
        <w:rPr>
          <w:rFonts w:hint="eastAsia"/>
          <w:color w:val="auto"/>
          <w:sz w:val="28"/>
          <w:szCs w:val="28"/>
          <w:u w:val="single"/>
        </w:rPr>
        <w:t>的有关规定</w:t>
      </w:r>
      <w:r>
        <w:rPr>
          <w:rFonts w:hint="eastAsia"/>
          <w:color w:val="auto"/>
          <w:sz w:val="28"/>
          <w:szCs w:val="28"/>
          <w:u w:val="single"/>
          <w:lang w:eastAsia="zh-CN"/>
        </w:rPr>
        <w:t>。</w:t>
      </w:r>
      <w:r>
        <w:rPr>
          <w:rFonts w:hint="eastAsia"/>
          <w:color w:val="auto"/>
          <w:sz w:val="28"/>
          <w:szCs w:val="28"/>
          <w:u w:val="single"/>
        </w:rPr>
        <w:t>建筑室内和建筑主出</w:t>
      </w:r>
      <w:r>
        <w:rPr>
          <w:rFonts w:hint="eastAsia"/>
          <w:color w:val="auto"/>
          <w:sz w:val="28"/>
          <w:szCs w:val="28"/>
          <w:u w:val="single"/>
          <w:lang w:val="en-US" w:eastAsia="zh-CN"/>
        </w:rPr>
        <w:t>入口</w:t>
      </w:r>
      <w:r>
        <w:rPr>
          <w:rFonts w:hint="eastAsia"/>
          <w:color w:val="auto"/>
          <w:sz w:val="28"/>
          <w:szCs w:val="28"/>
          <w:u w:val="single"/>
        </w:rPr>
        <w:t>处均禁止吸烟，并在醒目位置</w:t>
      </w:r>
      <w:r>
        <w:rPr>
          <w:rFonts w:hint="eastAsia"/>
          <w:color w:val="auto"/>
          <w:sz w:val="28"/>
          <w:szCs w:val="28"/>
          <w:u w:val="single"/>
          <w:lang w:val="en-US" w:eastAsia="zh-CN"/>
        </w:rPr>
        <w:t>设置</w:t>
      </w:r>
      <w:r>
        <w:rPr>
          <w:rFonts w:hint="eastAsia"/>
          <w:color w:val="auto"/>
          <w:sz w:val="28"/>
          <w:szCs w:val="28"/>
          <w:u w:val="single"/>
        </w:rPr>
        <w:t>禁烟标志</w:t>
      </w:r>
      <w:r>
        <w:rPr>
          <w:rFonts w:hint="eastAsia"/>
          <w:color w:val="auto"/>
          <w:sz w:val="28"/>
          <w:szCs w:val="28"/>
          <w:u w:val="single"/>
          <w:lang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default"/>
          <w:i w:val="0"/>
          <w:iCs w:val="0"/>
          <w:color w:val="auto"/>
          <w:sz w:val="28"/>
          <w:szCs w:val="28"/>
          <w:lang w:val="en-US"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i w:val="0"/>
          <w:iCs w:val="0"/>
          <w:color w:val="auto"/>
          <w:sz w:val="28"/>
          <w:szCs w:val="28"/>
          <w:lang w:val="en-US" w:eastAsia="zh-CN"/>
        </w:rPr>
        <w:t xml:space="preserve">主要功能房间的室内噪声级应满足现行国家标准《民用建筑隔声设计规范》GB </w:t>
      </w:r>
      <w:r>
        <w:rPr>
          <w:rFonts w:hint="eastAsia" w:eastAsia="Times New Roman"/>
          <w:i w:val="0"/>
          <w:iCs w:val="0"/>
          <w:color w:val="auto"/>
          <w:sz w:val="28"/>
          <w:szCs w:val="28"/>
          <w:lang w:val="en-US" w:eastAsia="zh-CN"/>
        </w:rPr>
        <w:t>50118</w:t>
      </w:r>
      <w:r>
        <w:rPr>
          <w:rFonts w:hint="eastAsia"/>
          <w:i w:val="0"/>
          <w:iCs w:val="0"/>
          <w:color w:val="auto"/>
          <w:sz w:val="28"/>
          <w:szCs w:val="28"/>
          <w:lang w:val="en-US" w:eastAsia="zh-CN"/>
        </w:rPr>
        <w:t xml:space="preserve">中的低限要求，外墙、隔墙、楼板和门窗的隔声性能应满足现行国家标准《民用建筑隔声设计规范》GB </w:t>
      </w:r>
      <w:r>
        <w:rPr>
          <w:rFonts w:hint="eastAsia" w:eastAsia="Times New Roman"/>
          <w:i w:val="0"/>
          <w:iCs w:val="0"/>
          <w:color w:val="auto"/>
          <w:sz w:val="28"/>
          <w:szCs w:val="28"/>
          <w:lang w:val="en-US" w:eastAsia="zh-CN"/>
        </w:rPr>
        <w:t>50118</w:t>
      </w:r>
      <w:r>
        <w:rPr>
          <w:rFonts w:hint="eastAsia"/>
          <w:i w:val="0"/>
          <w:iCs w:val="0"/>
          <w:color w:val="auto"/>
          <w:sz w:val="28"/>
          <w:szCs w:val="28"/>
          <w:lang w:val="en-US" w:eastAsia="zh-CN"/>
        </w:rPr>
        <w:t>中的低限要求。（</w:t>
      </w:r>
      <w:r>
        <w:rPr>
          <w:rFonts w:hint="eastAsia" w:eastAsia="Times New Roman"/>
          <w:i w:val="0"/>
          <w:iCs w:val="0"/>
          <w:color w:val="auto"/>
          <w:sz w:val="28"/>
          <w:szCs w:val="28"/>
          <w:lang w:val="en-US" w:eastAsia="zh-CN"/>
        </w:rPr>
        <w:t>5</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4</w:t>
      </w:r>
      <w:r>
        <w:rPr>
          <w:rFonts w:hint="eastAsia"/>
          <w:i w:val="0"/>
          <w:iCs w:val="0"/>
          <w:color w:val="auto"/>
          <w:sz w:val="28"/>
          <w:szCs w:val="28"/>
          <w:lang w:val="en-US" w:eastAsia="zh-CN"/>
        </w:rPr>
        <w:t>条）</w:t>
      </w:r>
    </w:p>
    <w:p>
      <w:pPr>
        <w:rPr>
          <w:rFonts w:hint="default"/>
          <w:color w:val="auto"/>
          <w:sz w:val="28"/>
          <w:szCs w:val="28"/>
          <w:lang w:val="en-US" w:eastAsia="zh-CN"/>
        </w:rPr>
      </w:pPr>
      <w:r>
        <w:rPr>
          <w:rFonts w:hint="eastAsia"/>
          <w:color w:val="auto"/>
          <w:sz w:val="28"/>
          <w:szCs w:val="28"/>
          <w:lang w:eastAsia="zh-CN"/>
        </w:rPr>
        <w:t>技术</w:t>
      </w:r>
      <w:r>
        <w:rPr>
          <w:rFonts w:hint="eastAsia"/>
          <w:color w:val="auto"/>
          <w:sz w:val="28"/>
          <w:szCs w:val="28"/>
          <w:lang w:val="en-US" w:eastAsia="zh-CN"/>
        </w:rPr>
        <w:t>措</w:t>
      </w:r>
      <w:r>
        <w:rPr>
          <w:rFonts w:hint="eastAsia"/>
          <w:color w:val="auto"/>
          <w:sz w:val="28"/>
          <w:szCs w:val="28"/>
        </w:rPr>
        <w:t>施说明</w:t>
      </w:r>
      <w:r>
        <w:rPr>
          <w:rFonts w:hint="eastAsia"/>
          <w:color w:val="auto"/>
          <w:sz w:val="28"/>
          <w:szCs w:val="28"/>
          <w:lang w:eastAsia="zh-CN"/>
        </w:rPr>
        <w:t>：</w:t>
      </w:r>
      <w:r>
        <w:rPr>
          <w:rFonts w:hint="eastAsia"/>
          <w:color w:val="auto"/>
          <w:sz w:val="28"/>
          <w:szCs w:val="28"/>
          <w:u w:val="single"/>
          <w:lang w:val="en-US" w:eastAsia="zh-CN"/>
        </w:rPr>
        <w:t>本项目外窗采用         ，楼板采用         ，室内</w:t>
      </w:r>
    </w:p>
    <w:p>
      <w:pPr>
        <w:rPr>
          <w:rFonts w:hint="eastAsia" w:eastAsia="宋体"/>
          <w:color w:val="auto"/>
          <w:sz w:val="28"/>
          <w:szCs w:val="28"/>
          <w:u w:val="single"/>
          <w:lang w:eastAsia="zh-CN"/>
        </w:rPr>
      </w:pPr>
      <w:r>
        <w:rPr>
          <w:rFonts w:hint="eastAsia"/>
          <w:color w:val="auto"/>
          <w:sz w:val="28"/>
          <w:szCs w:val="28"/>
          <w:u w:val="single"/>
          <w:lang w:val="en-US" w:eastAsia="zh-CN"/>
        </w:rPr>
        <w:t>噪声级应满足现行国家标准</w:t>
      </w:r>
      <w:r>
        <w:rPr>
          <w:rFonts w:hint="eastAsia"/>
          <w:color w:val="auto"/>
          <w:sz w:val="28"/>
          <w:szCs w:val="28"/>
          <w:u w:val="single"/>
        </w:rPr>
        <w:t>《民用建筑隔声设计规范》</w:t>
      </w:r>
      <w:r>
        <w:rPr>
          <w:rFonts w:hint="eastAsia"/>
          <w:color w:val="auto"/>
          <w:sz w:val="28"/>
          <w:szCs w:val="28"/>
          <w:u w:val="single"/>
          <w:lang w:val="en-US" w:eastAsia="zh-CN"/>
        </w:rPr>
        <w:t xml:space="preserve">GB </w:t>
      </w:r>
      <w:r>
        <w:rPr>
          <w:rFonts w:hint="eastAsia" w:eastAsia="Times New Roman"/>
          <w:color w:val="auto"/>
          <w:sz w:val="28"/>
          <w:szCs w:val="28"/>
          <w:u w:val="single"/>
        </w:rPr>
        <w:t>50</w:t>
      </w:r>
      <w:r>
        <w:rPr>
          <w:rFonts w:hint="eastAsia" w:eastAsia="Times New Roman"/>
          <w:color w:val="auto"/>
          <w:sz w:val="28"/>
          <w:szCs w:val="28"/>
          <w:u w:val="single"/>
          <w:lang w:val="en-US" w:eastAsia="zh-CN"/>
        </w:rPr>
        <w:t>1</w:t>
      </w:r>
      <w:r>
        <w:rPr>
          <w:rFonts w:hint="eastAsia" w:eastAsia="Times New Roman"/>
          <w:color w:val="auto"/>
          <w:sz w:val="28"/>
          <w:szCs w:val="28"/>
          <w:u w:val="single"/>
        </w:rPr>
        <w:t>18</w:t>
      </w:r>
      <w:r>
        <w:rPr>
          <w:rFonts w:hint="eastAsia"/>
          <w:color w:val="auto"/>
          <w:sz w:val="28"/>
          <w:szCs w:val="28"/>
          <w:u w:val="single"/>
        </w:rPr>
        <w:t>中的低限要求，外</w:t>
      </w:r>
      <w:r>
        <w:rPr>
          <w:rFonts w:hint="eastAsia"/>
          <w:color w:val="auto"/>
          <w:sz w:val="28"/>
          <w:szCs w:val="28"/>
          <w:u w:val="single"/>
          <w:lang w:val="en-US" w:eastAsia="zh-CN"/>
        </w:rPr>
        <w:t>墙</w:t>
      </w:r>
      <w:r>
        <w:rPr>
          <w:rFonts w:hint="eastAsia"/>
          <w:color w:val="auto"/>
          <w:sz w:val="28"/>
          <w:szCs w:val="28"/>
          <w:u w:val="single"/>
        </w:rPr>
        <w:t>、隔墙、楼板和门窗的隔声性能满足现行国家标准《民用建筑隔声设计规范》</w:t>
      </w:r>
      <w:r>
        <w:rPr>
          <w:rFonts w:hint="eastAsia"/>
          <w:color w:val="auto"/>
          <w:sz w:val="28"/>
          <w:szCs w:val="28"/>
          <w:u w:val="single"/>
          <w:lang w:val="en-US" w:eastAsia="zh-CN"/>
        </w:rPr>
        <w:t xml:space="preserve">GB </w:t>
      </w:r>
      <w:r>
        <w:rPr>
          <w:rFonts w:hint="eastAsia" w:eastAsia="Times New Roman"/>
          <w:color w:val="auto"/>
          <w:sz w:val="28"/>
          <w:szCs w:val="28"/>
          <w:u w:val="single"/>
        </w:rPr>
        <w:t>50</w:t>
      </w:r>
      <w:r>
        <w:rPr>
          <w:rFonts w:hint="eastAsia" w:eastAsia="Times New Roman"/>
          <w:color w:val="auto"/>
          <w:sz w:val="28"/>
          <w:szCs w:val="28"/>
          <w:u w:val="single"/>
          <w:lang w:val="en-US" w:eastAsia="zh-CN"/>
        </w:rPr>
        <w:t>1</w:t>
      </w:r>
      <w:r>
        <w:rPr>
          <w:rFonts w:hint="eastAsia" w:eastAsia="Times New Roman"/>
          <w:color w:val="auto"/>
          <w:sz w:val="28"/>
          <w:szCs w:val="28"/>
          <w:u w:val="single"/>
        </w:rPr>
        <w:t>18</w:t>
      </w:r>
      <w:r>
        <w:rPr>
          <w:rFonts w:hint="eastAsia"/>
          <w:color w:val="auto"/>
          <w:sz w:val="28"/>
          <w:szCs w:val="28"/>
          <w:u w:val="single"/>
        </w:rPr>
        <w:t>中的低限要求</w:t>
      </w:r>
      <w:r>
        <w:rPr>
          <w:rFonts w:hint="eastAsia"/>
          <w:color w:val="auto"/>
          <w:sz w:val="28"/>
          <w:szCs w:val="28"/>
          <w:u w:val="single"/>
          <w:lang w:eastAsia="zh-CN"/>
        </w:rPr>
        <w:t>。</w:t>
      </w:r>
    </w:p>
    <w:p>
      <w:pPr>
        <w:rPr>
          <w:rFonts w:hint="default" w:eastAsia="宋体"/>
          <w:color w:val="auto"/>
          <w:sz w:val="28"/>
          <w:szCs w:val="28"/>
          <w:lang w:val="en-US" w:eastAsia="zh-CN"/>
        </w:rPr>
      </w:pP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室内噪声及隔声分析报告</w:t>
      </w:r>
    </w:p>
    <w:p>
      <w:pPr>
        <w:rPr>
          <w:rFonts w:hint="eastAsia"/>
          <w:color w:val="auto"/>
          <w:sz w:val="28"/>
          <w:szCs w:val="28"/>
          <w:lang w:val="en-US" w:eastAsia="zh-CN"/>
        </w:rPr>
      </w:pPr>
      <w:r>
        <w:rPr>
          <w:rFonts w:hint="eastAsia" w:eastAsia="Times New Roman"/>
          <w:color w:val="auto"/>
          <w:sz w:val="28"/>
          <w:szCs w:val="28"/>
          <w:lang w:val="en-US" w:eastAsia="zh-CN"/>
        </w:rPr>
        <w:t>7</w:t>
      </w:r>
      <w:r>
        <w:rPr>
          <w:rFonts w:hint="eastAsia"/>
          <w:color w:val="auto"/>
          <w:sz w:val="28"/>
          <w:szCs w:val="28"/>
          <w:lang w:val="en-US" w:eastAsia="zh-CN"/>
        </w:rPr>
        <w:t>、围护</w:t>
      </w:r>
      <w:r>
        <w:rPr>
          <w:rFonts w:hint="eastAsia"/>
          <w:color w:val="auto"/>
          <w:sz w:val="28"/>
          <w:szCs w:val="28"/>
        </w:rPr>
        <w:t>结构</w:t>
      </w:r>
      <w:r>
        <w:rPr>
          <w:rFonts w:hint="eastAsia"/>
          <w:color w:val="auto"/>
          <w:sz w:val="28"/>
          <w:szCs w:val="28"/>
          <w:lang w:val="en-US" w:eastAsia="zh-CN"/>
        </w:rPr>
        <w:t>热</w:t>
      </w:r>
      <w:r>
        <w:rPr>
          <w:rFonts w:hint="eastAsia"/>
          <w:color w:val="auto"/>
          <w:sz w:val="28"/>
          <w:szCs w:val="28"/>
        </w:rPr>
        <w:t>工性能应符合下列规定</w:t>
      </w:r>
      <w:r>
        <w:rPr>
          <w:rFonts w:hint="eastAsia"/>
          <w:color w:val="auto"/>
          <w:sz w:val="28"/>
          <w:szCs w:val="28"/>
          <w:lang w:eastAsia="zh-CN"/>
        </w:rPr>
        <w:t>：</w:t>
      </w:r>
      <w:r>
        <w:rPr>
          <w:rFonts w:hint="eastAsia" w:eastAsia="Times New Roman"/>
          <w:color w:val="auto"/>
          <w:sz w:val="28"/>
          <w:szCs w:val="28"/>
        </w:rPr>
        <w:t>1</w:t>
      </w:r>
      <w:r>
        <w:rPr>
          <w:rFonts w:hint="eastAsia"/>
          <w:color w:val="auto"/>
          <w:sz w:val="28"/>
          <w:szCs w:val="28"/>
          <w:lang w:val="en-US" w:eastAsia="zh-CN"/>
        </w:rPr>
        <w:t xml:space="preserve"> </w:t>
      </w:r>
      <w:r>
        <w:rPr>
          <w:rFonts w:hint="eastAsia"/>
          <w:color w:val="auto"/>
          <w:sz w:val="28"/>
          <w:szCs w:val="28"/>
        </w:rPr>
        <w:t>在室内设计温度、湿度条件下，建筑非透光围护结构内表面不得结露</w:t>
      </w:r>
      <w:r>
        <w:rPr>
          <w:rFonts w:hint="eastAsia"/>
          <w:color w:val="auto"/>
          <w:sz w:val="28"/>
          <w:szCs w:val="28"/>
          <w:lang w:eastAsia="zh-CN"/>
        </w:rPr>
        <w:t>；</w:t>
      </w:r>
      <w:r>
        <w:rPr>
          <w:rFonts w:hint="eastAsia" w:eastAsia="Times New Roman"/>
          <w:color w:val="auto"/>
          <w:sz w:val="28"/>
          <w:szCs w:val="28"/>
        </w:rPr>
        <w:t>2</w:t>
      </w:r>
      <w:r>
        <w:rPr>
          <w:rFonts w:hint="eastAsia"/>
          <w:color w:val="auto"/>
          <w:sz w:val="28"/>
          <w:szCs w:val="28"/>
          <w:lang w:val="en-US" w:eastAsia="zh-CN"/>
        </w:rPr>
        <w:t xml:space="preserve"> </w:t>
      </w:r>
      <w:r>
        <w:rPr>
          <w:rFonts w:hint="eastAsia"/>
          <w:color w:val="auto"/>
          <w:sz w:val="28"/>
          <w:szCs w:val="28"/>
        </w:rPr>
        <w:t>供</w:t>
      </w:r>
      <w:r>
        <w:rPr>
          <w:rFonts w:hint="eastAsia"/>
          <w:color w:val="auto"/>
          <w:sz w:val="28"/>
          <w:szCs w:val="28"/>
          <w:lang w:val="en-US" w:eastAsia="zh-CN"/>
        </w:rPr>
        <w:t>暖</w:t>
      </w:r>
      <w:r>
        <w:rPr>
          <w:rFonts w:hint="eastAsia"/>
          <w:color w:val="auto"/>
          <w:sz w:val="28"/>
          <w:szCs w:val="28"/>
        </w:rPr>
        <w:t>建筑的屋面、外</w:t>
      </w:r>
      <w:r>
        <w:rPr>
          <w:rFonts w:hint="eastAsia"/>
          <w:color w:val="auto"/>
          <w:sz w:val="28"/>
          <w:szCs w:val="28"/>
          <w:lang w:val="en-US" w:eastAsia="zh-CN"/>
        </w:rPr>
        <w:t>墙</w:t>
      </w:r>
      <w:r>
        <w:rPr>
          <w:rFonts w:hint="eastAsia"/>
          <w:color w:val="auto"/>
          <w:sz w:val="28"/>
          <w:szCs w:val="28"/>
        </w:rPr>
        <w:t>内部不应产生冷凝</w:t>
      </w:r>
      <w:r>
        <w:rPr>
          <w:rFonts w:hint="eastAsia"/>
          <w:color w:val="auto"/>
          <w:sz w:val="28"/>
          <w:szCs w:val="28"/>
          <w:lang w:eastAsia="zh-CN"/>
        </w:rPr>
        <w:t>；</w:t>
      </w:r>
      <w:r>
        <w:rPr>
          <w:rFonts w:hint="eastAsia" w:eastAsia="Times New Roman"/>
          <w:color w:val="auto"/>
          <w:sz w:val="28"/>
          <w:szCs w:val="28"/>
        </w:rPr>
        <w:t>3</w:t>
      </w:r>
      <w:r>
        <w:rPr>
          <w:rFonts w:hint="eastAsia"/>
          <w:color w:val="auto"/>
          <w:sz w:val="28"/>
          <w:szCs w:val="28"/>
          <w:lang w:val="en-US" w:eastAsia="zh-CN"/>
        </w:rPr>
        <w:t xml:space="preserve"> </w:t>
      </w:r>
      <w:r>
        <w:rPr>
          <w:rFonts w:hint="eastAsia"/>
          <w:color w:val="auto"/>
          <w:sz w:val="28"/>
          <w:szCs w:val="28"/>
        </w:rPr>
        <w:t>屋顶和外</w:t>
      </w:r>
      <w:r>
        <w:rPr>
          <w:rFonts w:hint="eastAsia"/>
          <w:color w:val="auto"/>
          <w:sz w:val="28"/>
          <w:szCs w:val="28"/>
          <w:lang w:val="en-US" w:eastAsia="zh-CN"/>
        </w:rPr>
        <w:t>墙</w:t>
      </w:r>
      <w:r>
        <w:rPr>
          <w:rFonts w:hint="eastAsia"/>
          <w:color w:val="auto"/>
          <w:sz w:val="28"/>
          <w:szCs w:val="28"/>
        </w:rPr>
        <w:t>隔热性能应满足</w:t>
      </w:r>
      <w:r>
        <w:rPr>
          <w:rFonts w:hint="eastAsia"/>
          <w:color w:val="auto"/>
          <w:sz w:val="28"/>
          <w:szCs w:val="28"/>
          <w:lang w:val="en-US" w:eastAsia="zh-CN"/>
        </w:rPr>
        <w:t>现</w:t>
      </w:r>
      <w:r>
        <w:rPr>
          <w:rFonts w:hint="eastAsia"/>
          <w:color w:val="auto"/>
          <w:sz w:val="28"/>
          <w:szCs w:val="28"/>
        </w:rPr>
        <w:t>行国家标准《民用建筑热工设计规范》</w:t>
      </w:r>
      <w:r>
        <w:rPr>
          <w:rFonts w:hint="eastAsia"/>
          <w:color w:val="auto"/>
          <w:sz w:val="28"/>
          <w:szCs w:val="28"/>
          <w:lang w:val="en-US" w:eastAsia="zh-CN"/>
        </w:rPr>
        <w:t xml:space="preserve">GB </w:t>
      </w:r>
      <w:r>
        <w:rPr>
          <w:rFonts w:hint="eastAsia" w:eastAsia="Times New Roman"/>
          <w:color w:val="auto"/>
          <w:sz w:val="28"/>
          <w:szCs w:val="28"/>
          <w:lang w:val="en-US" w:eastAsia="zh-CN"/>
        </w:rPr>
        <w:t>50176</w:t>
      </w:r>
      <w:r>
        <w:rPr>
          <w:rFonts w:hint="eastAsia"/>
          <w:color w:val="auto"/>
          <w:sz w:val="28"/>
          <w:szCs w:val="28"/>
        </w:rPr>
        <w:t>的</w:t>
      </w:r>
      <w:r>
        <w:rPr>
          <w:rFonts w:hint="eastAsia"/>
          <w:color w:val="auto"/>
          <w:sz w:val="28"/>
          <w:szCs w:val="28"/>
          <w:lang w:val="en-US" w:eastAsia="zh-CN"/>
        </w:rPr>
        <w:t>要求。（</w:t>
      </w:r>
      <w:r>
        <w:rPr>
          <w:rFonts w:hint="eastAsia" w:eastAsia="Times New Roman"/>
          <w:color w:val="auto"/>
          <w:sz w:val="28"/>
          <w:szCs w:val="28"/>
        </w:rPr>
        <w:t>5</w:t>
      </w:r>
      <w:r>
        <w:rPr>
          <w:rFonts w:hint="eastAsia"/>
          <w:color w:val="auto"/>
          <w:sz w:val="28"/>
          <w:szCs w:val="28"/>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7</w:t>
      </w:r>
      <w:r>
        <w:rPr>
          <w:rFonts w:hint="eastAsia"/>
          <w:color w:val="auto"/>
          <w:sz w:val="28"/>
          <w:szCs w:val="28"/>
          <w:lang w:val="en-US" w:eastAsia="zh-CN"/>
        </w:rPr>
        <w:t>条）</w:t>
      </w:r>
    </w:p>
    <w:p>
      <w:pPr>
        <w:rPr>
          <w:rFonts w:hint="eastAsia" w:ascii="宋体" w:hAnsi="宋体" w:cs="宋体"/>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ascii="宋体" w:hAnsi="宋体" w:eastAsia="宋体" w:cs="宋体"/>
          <w:color w:val="auto"/>
          <w:sz w:val="28"/>
          <w:szCs w:val="28"/>
          <w:u w:val="single"/>
        </w:rPr>
        <w:t>本项目</w:t>
      </w:r>
      <w:r>
        <w:rPr>
          <w:rFonts w:hint="eastAsia" w:ascii="宋体" w:hAnsi="宋体" w:eastAsia="宋体" w:cs="宋体"/>
          <w:color w:val="auto"/>
          <w:sz w:val="28"/>
          <w:szCs w:val="28"/>
          <w:u w:val="single"/>
          <w:lang w:val="en-US" w:eastAsia="zh-CN"/>
        </w:rPr>
        <w:t>屋顶</w:t>
      </w:r>
      <w:r>
        <w:rPr>
          <w:rFonts w:hint="eastAsia" w:ascii="宋体" w:hAnsi="宋体" w:eastAsia="宋体" w:cs="宋体"/>
          <w:color w:val="auto"/>
          <w:sz w:val="28"/>
          <w:szCs w:val="28"/>
          <w:u w:val="single"/>
        </w:rPr>
        <w:t>和东西外</w:t>
      </w:r>
      <w:r>
        <w:rPr>
          <w:rFonts w:hint="eastAsia" w:ascii="宋体" w:hAnsi="宋体" w:eastAsia="宋体" w:cs="宋体"/>
          <w:color w:val="auto"/>
          <w:sz w:val="28"/>
          <w:szCs w:val="28"/>
          <w:u w:val="single"/>
          <w:lang w:val="en-US" w:eastAsia="zh-CN"/>
        </w:rPr>
        <w:t>墙</w:t>
      </w:r>
      <w:r>
        <w:rPr>
          <w:rFonts w:hint="eastAsia" w:ascii="宋体" w:hAnsi="宋体" w:eastAsia="宋体" w:cs="宋体"/>
          <w:color w:val="auto"/>
          <w:sz w:val="28"/>
          <w:szCs w:val="28"/>
          <w:u w:val="single"/>
        </w:rPr>
        <w:t>的内表温度都不超过限值</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本项目满足现行国家</w:t>
      </w:r>
      <w:r>
        <w:rPr>
          <w:rFonts w:hint="eastAsia" w:ascii="宋体" w:hAnsi="宋体" w:eastAsia="宋体" w:cs="宋体"/>
          <w:color w:val="auto"/>
          <w:sz w:val="28"/>
          <w:szCs w:val="28"/>
          <w:u w:val="single"/>
          <w:lang w:val="en-US" w:eastAsia="zh-CN"/>
        </w:rPr>
        <w:t>标</w:t>
      </w:r>
      <w:r>
        <w:rPr>
          <w:rFonts w:hint="eastAsia" w:ascii="宋体" w:hAnsi="宋体" w:eastAsia="宋体" w:cs="宋体"/>
          <w:color w:val="auto"/>
          <w:sz w:val="28"/>
          <w:szCs w:val="28"/>
          <w:u w:val="single"/>
        </w:rPr>
        <w:t>准《民用建筑热工设计规范》</w:t>
      </w:r>
      <w:r>
        <w:rPr>
          <w:rFonts w:hint="default" w:ascii="Times New Roman" w:hAnsi="Times New Roman" w:eastAsia="宋体" w:cs="Times New Roman"/>
          <w:color w:val="auto"/>
          <w:sz w:val="28"/>
          <w:szCs w:val="28"/>
          <w:u w:val="single"/>
          <w:lang w:val="en-US" w:eastAsia="zh-CN"/>
        </w:rPr>
        <w:t>GB</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eastAsia="Times New Roman" w:cs="Times New Roman"/>
          <w:color w:val="auto"/>
          <w:sz w:val="28"/>
          <w:szCs w:val="28"/>
          <w:u w:val="single"/>
          <w:lang w:val="en-US" w:eastAsia="zh-CN"/>
        </w:rPr>
        <w:t>50176</w:t>
      </w:r>
      <w:r>
        <w:rPr>
          <w:rFonts w:hint="default" w:ascii="Times New Roman" w:hAnsi="Times New Roman" w:eastAsia="宋体" w:cs="Times New Roman"/>
          <w:color w:val="auto"/>
          <w:sz w:val="28"/>
          <w:szCs w:val="28"/>
          <w:u w:val="single"/>
          <w:lang w:val="en-US" w:eastAsia="zh-CN"/>
        </w:rPr>
        <w:t>-</w:t>
      </w:r>
      <w:r>
        <w:rPr>
          <w:rFonts w:hint="default" w:ascii="Times New Roman" w:hAnsi="Times New Roman" w:eastAsia="Times New Roman" w:cs="Times New Roman"/>
          <w:color w:val="auto"/>
          <w:sz w:val="28"/>
          <w:szCs w:val="28"/>
          <w:u w:val="single"/>
          <w:lang w:val="en-US" w:eastAsia="zh-CN"/>
        </w:rPr>
        <w:t>2016</w:t>
      </w:r>
      <w:r>
        <w:rPr>
          <w:rFonts w:hint="eastAsia" w:ascii="宋体" w:hAnsi="宋体" w:eastAsia="宋体" w:cs="宋体"/>
          <w:color w:val="auto"/>
          <w:sz w:val="28"/>
          <w:szCs w:val="28"/>
          <w:u w:val="single"/>
        </w:rPr>
        <w:t>的要求</w:t>
      </w:r>
      <w:r>
        <w:rPr>
          <w:rFonts w:hint="eastAsia" w:ascii="宋体" w:hAnsi="宋体" w:cs="宋体"/>
          <w:color w:val="auto"/>
          <w:sz w:val="28"/>
          <w:szCs w:val="28"/>
          <w:u w:val="none"/>
          <w:lang w:val="en-US" w:eastAsia="zh-CN"/>
        </w:rPr>
        <w:t>。</w:t>
      </w:r>
    </w:p>
    <w:p>
      <w:pPr>
        <w:rPr>
          <w:rFonts w:hint="eastAsia"/>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节能计算书</w:t>
      </w:r>
    </w:p>
    <w:p>
      <w:pPr>
        <w:rPr>
          <w:rFonts w:hint="eastAsia"/>
          <w:color w:val="auto"/>
          <w:sz w:val="28"/>
          <w:szCs w:val="28"/>
          <w:lang w:val="en-US" w:eastAsia="zh-CN"/>
        </w:rPr>
      </w:pPr>
      <w:r>
        <w:rPr>
          <w:rFonts w:hint="eastAsia" w:eastAsia="Times New Roman"/>
          <w:color w:val="auto"/>
          <w:sz w:val="28"/>
          <w:szCs w:val="28"/>
          <w:lang w:val="en-US" w:eastAsia="zh-CN"/>
        </w:rPr>
        <w:t>8</w:t>
      </w:r>
      <w:r>
        <w:rPr>
          <w:rFonts w:hint="eastAsia"/>
          <w:color w:val="auto"/>
          <w:sz w:val="28"/>
          <w:szCs w:val="28"/>
          <w:lang w:val="en-US" w:eastAsia="zh-CN"/>
        </w:rPr>
        <w:t>、停车场</w:t>
      </w:r>
      <w:r>
        <w:rPr>
          <w:rFonts w:hint="eastAsia"/>
          <w:color w:val="auto"/>
          <w:sz w:val="28"/>
          <w:szCs w:val="28"/>
        </w:rPr>
        <w:t>应合理设置电动汽车和</w:t>
      </w:r>
      <w:r>
        <w:rPr>
          <w:rFonts w:hint="eastAsia"/>
          <w:color w:val="auto"/>
          <w:sz w:val="28"/>
          <w:szCs w:val="28"/>
          <w:lang w:val="en-US" w:eastAsia="zh-CN"/>
        </w:rPr>
        <w:t>无障碍汽车停车位。（</w:t>
      </w: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条建筑专业部分）</w:t>
      </w:r>
    </w:p>
    <w:p>
      <w:pPr>
        <w:rPr>
          <w:rFonts w:hint="eastAsia"/>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说明电动汽车、无障碍停车位的设置情况。）</w:t>
      </w:r>
      <w:r>
        <w:rPr>
          <w:rFonts w:hint="eastAsia" w:ascii="宋体" w:hAnsi="宋体" w:eastAsia="宋体" w:cs="宋体"/>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i/>
          <w:iCs/>
          <w:color w:val="0000FF"/>
          <w:sz w:val="24"/>
          <w:szCs w:val="24"/>
          <w:lang w:val="en-US" w:eastAsia="zh-CN"/>
        </w:rPr>
      </w:pP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color w:val="auto"/>
          <w:sz w:val="28"/>
          <w:szCs w:val="28"/>
        </w:rPr>
        <w:t>自行车停车场所应位置合理、方便出入</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4</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说明自行车停车场所设计情况、停车管理等。）</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i/>
          <w:iCs/>
          <w:color w:val="0000FF"/>
          <w:sz w:val="24"/>
          <w:szCs w:val="24"/>
          <w:lang w:val="en-US" w:eastAsia="zh-CN"/>
        </w:rPr>
      </w:pPr>
      <w:r>
        <w:rPr>
          <w:rFonts w:hint="eastAsia" w:eastAsia="Times New Roman"/>
          <w:color w:val="auto"/>
          <w:sz w:val="28"/>
          <w:szCs w:val="28"/>
          <w:lang w:val="en-US" w:eastAsia="zh-CN"/>
        </w:rPr>
        <w:t>10</w:t>
      </w:r>
      <w:r>
        <w:rPr>
          <w:rFonts w:hint="eastAsia"/>
          <w:color w:val="auto"/>
          <w:sz w:val="28"/>
          <w:szCs w:val="28"/>
          <w:lang w:val="en-US" w:eastAsia="zh-CN"/>
        </w:rPr>
        <w:t>、</w:t>
      </w:r>
      <w:r>
        <w:rPr>
          <w:rFonts w:hint="eastAsia"/>
          <w:color w:val="auto"/>
          <w:sz w:val="28"/>
          <w:szCs w:val="28"/>
        </w:rPr>
        <w:t>应结合场地自然条件和建筑功能需求，对建筑的体形、平面布局、空间尺度、围护结构等</w:t>
      </w:r>
      <w:r>
        <w:rPr>
          <w:rFonts w:hint="eastAsia"/>
          <w:color w:val="auto"/>
          <w:sz w:val="28"/>
          <w:szCs w:val="28"/>
          <w:lang w:val="en-US" w:eastAsia="zh-CN"/>
        </w:rPr>
        <w:t>进行</w:t>
      </w:r>
      <w:r>
        <w:rPr>
          <w:rFonts w:hint="eastAsia"/>
          <w:color w:val="auto"/>
          <w:sz w:val="28"/>
          <w:szCs w:val="28"/>
        </w:rPr>
        <w:t>节能没计，且应符合国家有关节能设计的要求</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1</w:t>
      </w:r>
      <w:r>
        <w:rPr>
          <w:rFonts w:hint="eastAsia"/>
          <w:color w:val="auto"/>
          <w:sz w:val="28"/>
          <w:szCs w:val="28"/>
          <w:lang w:val="en-US" w:eastAsia="zh-CN"/>
        </w:rPr>
        <w:t>条</w:t>
      </w:r>
      <w:r>
        <w:rPr>
          <w:rFonts w:hint="eastAsia"/>
          <w:color w:val="auto"/>
          <w:sz w:val="28"/>
          <w:szCs w:val="28"/>
          <w:lang w:eastAsia="zh-CN"/>
        </w:rPr>
        <w:t>）</w:t>
      </w:r>
    </w:p>
    <w:p>
      <w:pPr>
        <w:rPr>
          <w:rFonts w:hint="eastAsia" w:ascii="宋体" w:hAnsi="宋体" w:eastAsia="宋体" w:cs="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ascii="宋体" w:hAnsi="宋体" w:eastAsia="宋体" w:cs="宋体"/>
          <w:color w:val="auto"/>
          <w:sz w:val="28"/>
          <w:szCs w:val="28"/>
          <w:u w:val="single"/>
        </w:rPr>
        <w:t>本项目的窗地面积比、屋顶构造、外墙构造、外窗热工、通风开</w:t>
      </w:r>
      <w:r>
        <w:rPr>
          <w:rFonts w:hint="eastAsia" w:ascii="宋体" w:hAnsi="宋体" w:eastAsia="宋体" w:cs="宋体"/>
          <w:color w:val="auto"/>
          <w:sz w:val="28"/>
          <w:szCs w:val="28"/>
          <w:u w:val="single"/>
          <w:lang w:val="en-US" w:eastAsia="zh-CN"/>
        </w:rPr>
        <w:t>口</w:t>
      </w:r>
      <w:r>
        <w:rPr>
          <w:rFonts w:hint="eastAsia" w:ascii="宋体" w:hAnsi="宋体" w:eastAsia="宋体" w:cs="宋体"/>
          <w:color w:val="auto"/>
          <w:sz w:val="28"/>
          <w:szCs w:val="28"/>
          <w:u w:val="single"/>
        </w:rPr>
        <w:t>面积均满足现行有关</w:t>
      </w:r>
      <w:r>
        <w:rPr>
          <w:rFonts w:hint="eastAsia" w:ascii="宋体" w:hAnsi="宋体" w:eastAsia="宋体" w:cs="宋体"/>
          <w:color w:val="auto"/>
          <w:sz w:val="28"/>
          <w:szCs w:val="28"/>
          <w:u w:val="single"/>
          <w:lang w:val="en-US" w:eastAsia="zh-CN"/>
        </w:rPr>
        <w:t>建</w:t>
      </w:r>
      <w:r>
        <w:rPr>
          <w:rFonts w:hint="eastAsia" w:ascii="宋体" w:hAnsi="宋体" w:eastAsia="宋体" w:cs="宋体"/>
          <w:color w:val="auto"/>
          <w:sz w:val="28"/>
          <w:szCs w:val="28"/>
          <w:u w:val="single"/>
        </w:rPr>
        <w:t>筑节能设计标准</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建筑能耗不超过</w:t>
      </w:r>
      <w:r>
        <w:rPr>
          <w:rFonts w:hint="eastAsia" w:ascii="宋体" w:hAnsi="宋体" w:eastAsia="宋体" w:cs="宋体"/>
          <w:color w:val="auto"/>
          <w:sz w:val="28"/>
          <w:szCs w:val="28"/>
          <w:u w:val="single"/>
          <w:lang w:val="en-US" w:eastAsia="zh-CN"/>
        </w:rPr>
        <w:t>参照</w:t>
      </w:r>
      <w:r>
        <w:rPr>
          <w:rFonts w:hint="eastAsia" w:ascii="宋体" w:hAnsi="宋体" w:eastAsia="宋体" w:cs="宋体"/>
          <w:color w:val="auto"/>
          <w:sz w:val="28"/>
          <w:szCs w:val="28"/>
          <w:u w:val="single"/>
        </w:rPr>
        <w:t>建筑的能耗。节能设计满足《</w:t>
      </w:r>
      <w:r>
        <w:rPr>
          <w:rFonts w:hint="eastAsia" w:ascii="宋体" w:hAnsi="宋体" w:eastAsia="宋体" w:cs="宋体"/>
          <w:color w:val="auto"/>
          <w:sz w:val="28"/>
          <w:szCs w:val="28"/>
          <w:u w:val="single"/>
          <w:lang w:val="en-US" w:eastAsia="zh-CN"/>
        </w:rPr>
        <w:t>夏</w:t>
      </w:r>
      <w:r>
        <w:rPr>
          <w:rFonts w:hint="eastAsia" w:ascii="宋体" w:hAnsi="宋体" w:eastAsia="宋体" w:cs="宋体"/>
          <w:color w:val="auto"/>
          <w:sz w:val="28"/>
          <w:szCs w:val="28"/>
          <w:u w:val="single"/>
        </w:rPr>
        <w:t>热冬暖地区居住建筑节能设计标准》</w:t>
      </w:r>
      <w:r>
        <w:rPr>
          <w:rFonts w:hint="eastAsia" w:ascii="宋体" w:hAnsi="宋体" w:eastAsia="宋体" w:cs="宋体"/>
          <w:color w:val="auto"/>
          <w:sz w:val="28"/>
          <w:szCs w:val="28"/>
          <w:u w:val="single"/>
          <w:lang w:val="en-US" w:eastAsia="zh-CN"/>
        </w:rPr>
        <w:t>JGJ</w:t>
      </w:r>
      <w:r>
        <w:rPr>
          <w:rFonts w:hint="eastAsia" w:ascii="宋体" w:hAnsi="宋体" w:cs="宋体"/>
          <w:color w:val="auto"/>
          <w:sz w:val="28"/>
          <w:szCs w:val="28"/>
          <w:u w:val="single"/>
          <w:lang w:val="en-US" w:eastAsia="zh-CN"/>
        </w:rPr>
        <w:t xml:space="preserve"> </w:t>
      </w:r>
      <w:r>
        <w:rPr>
          <w:rFonts w:hint="eastAsia" w:ascii="宋体" w:hAnsi="宋体" w:eastAsia="Times New Roman" w:cs="宋体"/>
          <w:color w:val="auto"/>
          <w:sz w:val="28"/>
          <w:szCs w:val="28"/>
          <w:u w:val="single"/>
          <w:lang w:val="en-US" w:eastAsia="zh-CN"/>
        </w:rPr>
        <w:t>75</w:t>
      </w:r>
      <w:r>
        <w:rPr>
          <w:rFonts w:hint="eastAsia" w:ascii="宋体" w:hAnsi="宋体" w:eastAsia="宋体" w:cs="宋体"/>
          <w:color w:val="auto"/>
          <w:sz w:val="28"/>
          <w:szCs w:val="28"/>
          <w:u w:val="single"/>
          <w:lang w:val="en-US" w:eastAsia="zh-CN"/>
        </w:rPr>
        <w:t>-</w:t>
      </w:r>
      <w:r>
        <w:rPr>
          <w:rFonts w:hint="eastAsia" w:ascii="宋体" w:hAnsi="宋体" w:eastAsia="Times New Roman" w:cs="宋体"/>
          <w:color w:val="auto"/>
          <w:sz w:val="28"/>
          <w:szCs w:val="28"/>
          <w:u w:val="single"/>
          <w:lang w:val="en-US" w:eastAsia="zh-CN"/>
        </w:rPr>
        <w:t>2012</w:t>
      </w:r>
      <w:r>
        <w:rPr>
          <w:rFonts w:hint="eastAsia" w:ascii="宋体" w:hAnsi="宋体" w:eastAsia="宋体" w:cs="宋体"/>
          <w:color w:val="auto"/>
          <w:sz w:val="28"/>
          <w:szCs w:val="28"/>
          <w:u w:val="single"/>
          <w:lang w:val="en-US" w:eastAsia="zh-CN"/>
        </w:rPr>
        <w:t>的要求</w:t>
      </w:r>
      <w:r>
        <w:rPr>
          <w:rFonts w:hint="eastAsia" w:ascii="宋体" w:hAnsi="宋体" w:eastAsia="宋体" w:cs="宋体"/>
          <w:color w:val="auto"/>
          <w:sz w:val="28"/>
          <w:szCs w:val="28"/>
          <w:u w:val="none"/>
          <w:lang w:val="en-US" w:eastAsia="zh-CN"/>
        </w:rPr>
        <w:t>。</w:t>
      </w:r>
    </w:p>
    <w:p>
      <w:pPr>
        <w:rPr>
          <w:rFonts w:hint="default"/>
          <w:color w:val="auto"/>
          <w:sz w:val="28"/>
          <w:szCs w:val="28"/>
          <w:lang w:val="en-US"/>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节能计算书</w:t>
      </w:r>
    </w:p>
    <w:p>
      <w:pPr>
        <w:rPr>
          <w:rFonts w:hint="eastAsia"/>
          <w:i w:val="0"/>
          <w:iCs w:val="0"/>
          <w:color w:val="auto"/>
          <w:sz w:val="28"/>
          <w:szCs w:val="28"/>
          <w:lang w:val="en-US" w:eastAsia="zh-CN"/>
        </w:rPr>
      </w:pPr>
      <w:r>
        <w:rPr>
          <w:rFonts w:hint="eastAsia" w:eastAsia="Times New Roman"/>
          <w:i w:val="0"/>
          <w:iCs w:val="0"/>
          <w:color w:val="auto"/>
          <w:sz w:val="28"/>
          <w:szCs w:val="28"/>
          <w:lang w:val="en-US" w:eastAsia="zh-CN"/>
        </w:rPr>
        <w:t>11</w:t>
      </w:r>
      <w:r>
        <w:rPr>
          <w:rFonts w:hint="eastAsia"/>
          <w:i w:val="0"/>
          <w:iCs w:val="0"/>
          <w:color w:val="auto"/>
          <w:sz w:val="28"/>
          <w:szCs w:val="28"/>
          <w:lang w:val="en-US" w:eastAsia="zh-CN"/>
        </w:rPr>
        <w:t>、</w:t>
      </w:r>
      <w:r>
        <w:rPr>
          <w:rFonts w:hint="eastAsia"/>
          <w:i w:val="0"/>
          <w:iCs w:val="0"/>
          <w:color w:val="auto"/>
          <w:sz w:val="28"/>
          <w:szCs w:val="28"/>
        </w:rPr>
        <w:t>建筑造型要素应简约，应无大量装饰性构件</w:t>
      </w:r>
      <w:r>
        <w:rPr>
          <w:rFonts w:hint="eastAsia"/>
          <w:i w:val="0"/>
          <w:iCs w:val="0"/>
          <w:color w:val="auto"/>
          <w:sz w:val="28"/>
          <w:szCs w:val="28"/>
          <w:lang w:eastAsia="zh-CN"/>
        </w:rPr>
        <w:t>，</w:t>
      </w:r>
      <w:r>
        <w:rPr>
          <w:rFonts w:hint="eastAsia"/>
          <w:i w:val="0"/>
          <w:iCs w:val="0"/>
          <w:color w:val="auto"/>
          <w:sz w:val="28"/>
          <w:szCs w:val="28"/>
          <w:lang w:val="en-US" w:eastAsia="zh-CN"/>
        </w:rPr>
        <w:t>并应符合下列规定：</w:t>
      </w:r>
    </w:p>
    <w:p>
      <w:pPr>
        <w:rPr>
          <w:rFonts w:hint="default"/>
          <w:i/>
          <w:iCs/>
          <w:color w:val="0000FF"/>
          <w:sz w:val="24"/>
          <w:szCs w:val="24"/>
          <w:lang w:val="en-US" w:eastAsia="zh-CN"/>
        </w:rPr>
      </w:pPr>
      <w:r>
        <w:rPr>
          <w:rFonts w:hint="eastAsia" w:eastAsia="Times New Roman"/>
          <w:i w:val="0"/>
          <w:iCs w:val="0"/>
          <w:color w:val="auto"/>
          <w:sz w:val="28"/>
          <w:szCs w:val="28"/>
          <w:lang w:val="en-US" w:eastAsia="zh-CN"/>
        </w:rPr>
        <w:t xml:space="preserve">1 </w:t>
      </w:r>
      <w:r>
        <w:rPr>
          <w:rFonts w:hint="eastAsia"/>
          <w:i w:val="0"/>
          <w:iCs w:val="0"/>
          <w:color w:val="auto"/>
          <w:sz w:val="28"/>
          <w:szCs w:val="28"/>
          <w:lang w:val="en-US" w:eastAsia="zh-CN"/>
        </w:rPr>
        <w:t>住宅建筑的装饰性构件造价占建筑总造价的比例不应大于</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 xml:space="preserve">2 </w:t>
      </w:r>
      <w:r>
        <w:rPr>
          <w:rFonts w:hint="eastAsia"/>
          <w:i w:val="0"/>
          <w:iCs w:val="0"/>
          <w:color w:val="auto"/>
          <w:sz w:val="28"/>
          <w:szCs w:val="28"/>
          <w:lang w:val="en-US" w:eastAsia="zh-CN"/>
        </w:rPr>
        <w:t>公共建筑的装饰性构件造价占建筑总造价的比例不应大于</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7</w:t>
      </w:r>
      <w:r>
        <w:rPr>
          <w:rFonts w:hint="eastAsia"/>
          <w:i w:val="0"/>
          <w:iCs w:val="0"/>
          <w:color w:val="auto"/>
          <w:sz w:val="28"/>
          <w:szCs w:val="28"/>
        </w:rPr>
        <w:t>.</w:t>
      </w:r>
      <w:r>
        <w:rPr>
          <w:rFonts w:hint="eastAsia" w:eastAsia="Times New Roman"/>
          <w:i w:val="0"/>
          <w:iCs w:val="0"/>
          <w:color w:val="auto"/>
          <w:sz w:val="28"/>
          <w:szCs w:val="28"/>
        </w:rPr>
        <w:t>1</w:t>
      </w:r>
      <w:r>
        <w:rPr>
          <w:rFonts w:hint="eastAsia"/>
          <w:i w:val="0"/>
          <w:iCs w:val="0"/>
          <w:color w:val="auto"/>
          <w:sz w:val="28"/>
          <w:szCs w:val="28"/>
        </w:rPr>
        <w:t>.</w:t>
      </w:r>
      <w:r>
        <w:rPr>
          <w:rFonts w:hint="eastAsia" w:eastAsia="Times New Roman"/>
          <w:i w:val="0"/>
          <w:iCs w:val="0"/>
          <w:color w:val="auto"/>
          <w:sz w:val="28"/>
          <w:szCs w:val="28"/>
        </w:rPr>
        <w:t>9</w:t>
      </w:r>
      <w:r>
        <w:rPr>
          <w:rFonts w:hint="eastAsia"/>
          <w:i w:val="0"/>
          <w:iCs w:val="0"/>
          <w:color w:val="auto"/>
          <w:sz w:val="28"/>
          <w:szCs w:val="28"/>
          <w:lang w:val="en-US" w:eastAsia="zh-CN"/>
        </w:rPr>
        <w:t>条）</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说明装饰性构件的使用情况。）</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p>
    <w:p>
      <w:pPr>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装饰性构件造价比例计算书</w:t>
      </w:r>
    </w:p>
    <w:p>
      <w:pPr>
        <w:rPr>
          <w:rFonts w:hint="eastAsia"/>
          <w:color w:val="auto"/>
          <w:sz w:val="28"/>
          <w:szCs w:val="28"/>
          <w:lang w:eastAsia="zh-CN"/>
        </w:rPr>
      </w:pPr>
      <w:r>
        <w:rPr>
          <w:rFonts w:hint="eastAsia" w:eastAsia="Times New Roman"/>
          <w:color w:val="auto"/>
          <w:sz w:val="28"/>
          <w:szCs w:val="28"/>
          <w:lang w:val="en-US" w:eastAsia="zh-CN"/>
        </w:rPr>
        <w:t>12</w:t>
      </w:r>
      <w:r>
        <w:rPr>
          <w:rFonts w:hint="eastAsia"/>
          <w:color w:val="auto"/>
          <w:sz w:val="28"/>
          <w:szCs w:val="28"/>
          <w:lang w:val="en-US" w:eastAsia="zh-CN"/>
        </w:rPr>
        <w:t>、</w:t>
      </w:r>
      <w:r>
        <w:rPr>
          <w:rFonts w:hint="eastAsia"/>
          <w:color w:val="auto"/>
          <w:sz w:val="28"/>
          <w:szCs w:val="28"/>
        </w:rPr>
        <w:t>建筑内外均应设置便于识别和使用的标识系统</w:t>
      </w:r>
      <w:r>
        <w:rPr>
          <w:rFonts w:hint="eastAsia"/>
          <w:color w:val="auto"/>
          <w:sz w:val="28"/>
          <w:szCs w:val="28"/>
          <w:lang w:eastAsia="zh-CN"/>
        </w:rPr>
        <w:t>。（</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rPr>
        <w:t>5</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1"/>
          <w:szCs w:val="21"/>
          <w:u w:val="none"/>
          <w:lang w:val="en-US" w:eastAsia="zh-CN"/>
        </w:rPr>
      </w:pPr>
      <w:r>
        <w:rPr>
          <w:rFonts w:hint="eastAsia"/>
          <w:color w:val="auto"/>
          <w:sz w:val="28"/>
          <w:szCs w:val="28"/>
        </w:rPr>
        <w:t>技术</w:t>
      </w:r>
      <w:r>
        <w:rPr>
          <w:rFonts w:hint="eastAsia"/>
          <w:color w:val="auto"/>
          <w:sz w:val="28"/>
          <w:szCs w:val="28"/>
          <w:lang w:val="en-US" w:eastAsia="zh-CN"/>
        </w:rPr>
        <w:t>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说明标识系统的类型、位置和使用效果。）</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numPr>
          <w:ilvl w:val="0"/>
          <w:numId w:val="0"/>
        </w:numPr>
        <w:rPr>
          <w:rFonts w:hint="default"/>
          <w:color w:val="auto"/>
          <w:sz w:val="28"/>
          <w:szCs w:val="28"/>
          <w:lang w:val="en-US" w:eastAsia="zh-CN"/>
        </w:rPr>
      </w:pPr>
      <w:r>
        <w:rPr>
          <w:rFonts w:hint="eastAsia"/>
          <w:color w:val="auto"/>
          <w:sz w:val="28"/>
          <w:szCs w:val="28"/>
          <w:lang w:val="en-US" w:eastAsia="zh-CN"/>
        </w:rPr>
        <w:t xml:space="preserve">13、入口门厅和电梯等公共交通空间具备可以实现非接触式通行及非接触体温检测的条件。（广东省标准《广东省绿色建筑设计规范》DBJ/T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 xml:space="preserve"> 第</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14</w:t>
      </w:r>
      <w:r>
        <w:rPr>
          <w:rFonts w:hint="eastAsia"/>
          <w:color w:val="auto"/>
          <w:sz w:val="28"/>
          <w:szCs w:val="28"/>
          <w:lang w:val="en-US" w:eastAsia="zh-CN"/>
        </w:rPr>
        <w:t>条）</w:t>
      </w:r>
    </w:p>
    <w:p>
      <w:pPr>
        <w:numPr>
          <w:ilvl w:val="0"/>
          <w:numId w:val="0"/>
        </w:numPr>
        <w:rPr>
          <w:rFonts w:hint="eastAsia"/>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（说明体温检测设备设置情况。）</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default"/>
          <w:color w:val="auto"/>
          <w:sz w:val="28"/>
          <w:szCs w:val="28"/>
          <w:u w:val="single"/>
          <w:lang w:val="en-US" w:eastAsia="zh-CN"/>
        </w:rPr>
      </w:pPr>
      <w:r>
        <w:rPr>
          <w:rFonts w:hint="eastAsia"/>
          <w:color w:val="auto"/>
          <w:sz w:val="28"/>
          <w:szCs w:val="28"/>
          <w:u w:val="none"/>
          <w:lang w:val="en-US" w:eastAsia="zh-CN"/>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default"/>
          <w:color w:val="auto"/>
          <w:sz w:val="28"/>
          <w:szCs w:val="28"/>
          <w:lang w:val="en-US" w:eastAsia="zh-CN"/>
        </w:rPr>
      </w:pPr>
      <w:r>
        <w:rPr>
          <w:rFonts w:hint="eastAsia"/>
          <w:b/>
          <w:bCs/>
          <w:color w:val="auto"/>
          <w:sz w:val="28"/>
          <w:szCs w:val="28"/>
          <w:lang w:val="en-US" w:eastAsia="zh-CN"/>
        </w:rPr>
        <w:t>B.自选说明项目（评分项</w:t>
      </w:r>
      <w:r>
        <w:rPr>
          <w:rFonts w:hint="eastAsia"/>
          <w:color w:val="auto"/>
          <w:sz w:val="28"/>
          <w:szCs w:val="28"/>
          <w:lang w:val="en-US" w:eastAsia="zh-CN"/>
        </w:rPr>
        <w:t>）</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采取保障人员安全的防护</w:t>
      </w:r>
      <w:r>
        <w:rPr>
          <w:rFonts w:hint="eastAsia"/>
          <w:color w:val="auto"/>
          <w:sz w:val="28"/>
          <w:szCs w:val="28"/>
          <w:lang w:eastAsia="zh-CN"/>
        </w:rPr>
        <w:t>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rPr>
        <w:t>4</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lang w:val="en-US" w:eastAsia="zh-CN"/>
        </w:rPr>
        <w:t xml:space="preserve">  采取保障人员安全的防护措施，评价总分值为</w:t>
      </w:r>
      <w:r>
        <w:rPr>
          <w:rFonts w:hint="eastAsia" w:eastAsia="Times New Roman"/>
          <w:i/>
          <w:iCs/>
          <w:color w:val="FF0000"/>
          <w:sz w:val="24"/>
          <w:szCs w:val="24"/>
          <w:lang w:val="en-US" w:eastAsia="zh-CN"/>
        </w:rPr>
        <w:t>15</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采取措施提高阳台、外窗、窗台、防护栏杆等安全防护水平，得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建筑物出入口均设外墙饰面、门窗玻璃意外脱落的防护措施，并与人员通行区域的遮阳、遮风或挡雨措施结合，得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ind w:firstLine="480" w:firstLineChars="200"/>
        <w:rPr>
          <w:rFonts w:hint="eastAsia"/>
          <w:color w:val="FF0000"/>
          <w:sz w:val="28"/>
          <w:szCs w:val="28"/>
          <w:lang w:val="en-US"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 xml:space="preserve">  利用场地或景观形成可降低坠物风险的缓冲区、隔离带，得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spacing w:line="360" w:lineRule="auto"/>
        <w:rPr>
          <w:rFonts w:hint="eastAsia"/>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w:t>
      </w:r>
      <w:r>
        <w:rPr>
          <w:rFonts w:hint="eastAsia"/>
          <w:color w:val="auto"/>
          <w:sz w:val="21"/>
          <w:szCs w:val="21"/>
        </w:rPr>
        <w:t>明采取何种</w:t>
      </w:r>
      <w:r>
        <w:rPr>
          <w:rFonts w:hint="eastAsia"/>
          <w:color w:val="auto"/>
          <w:sz w:val="21"/>
          <w:szCs w:val="21"/>
          <w:lang w:val="en-US" w:eastAsia="zh-CN"/>
        </w:rPr>
        <w:t>措施</w:t>
      </w:r>
      <w:r>
        <w:rPr>
          <w:rFonts w:hint="eastAsia"/>
          <w:color w:val="auto"/>
          <w:sz w:val="21"/>
          <w:szCs w:val="21"/>
        </w:rPr>
        <w:t>提高安全防护水平</w:t>
      </w:r>
      <w:r>
        <w:rPr>
          <w:rFonts w:hint="eastAsia"/>
          <w:color w:val="auto"/>
          <w:sz w:val="21"/>
          <w:szCs w:val="21"/>
          <w:lang w:eastAsia="zh-CN"/>
        </w:rPr>
        <w:t>，</w:t>
      </w:r>
      <w:r>
        <w:rPr>
          <w:rFonts w:hint="eastAsia"/>
          <w:color w:val="auto"/>
          <w:sz w:val="21"/>
          <w:szCs w:val="21"/>
          <w:lang w:val="en-US" w:eastAsia="zh-CN"/>
        </w:rPr>
        <w:t>如阳台外窗采用高窗设计、限制窗扇开启角度、窗台与绿化种植整合设计、减少防护栏杆垂直杆件水平净距、安装隐形防盗网等措施防止物品坠落伤人；在建筑间距和通路设计时，采取监利护栏、缓冲区、隔离带等安全措施。）</w:t>
      </w:r>
      <w:r>
        <w:rPr>
          <w:rFonts w:hint="eastAsia"/>
          <w:color w:val="auto"/>
          <w:sz w:val="21"/>
          <w:szCs w:val="21"/>
          <w:u w:val="single"/>
          <w:lang w:val="en-US" w:eastAsia="zh-CN"/>
        </w:rPr>
        <w:t xml:space="preserve"> </w:t>
      </w:r>
    </w:p>
    <w:p>
      <w:pPr>
        <w:spacing w:line="360" w:lineRule="auto"/>
        <w:rPr>
          <w:rFonts w:hint="default" w:eastAsia="宋体"/>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2</w:t>
      </w:r>
      <w:r>
        <w:rPr>
          <w:rFonts w:hint="eastAsia"/>
          <w:color w:val="auto"/>
          <w:sz w:val="28"/>
          <w:szCs w:val="28"/>
          <w:lang w:val="en-US" w:eastAsia="zh-CN"/>
        </w:rPr>
        <w:t>、采</w:t>
      </w:r>
      <w:r>
        <w:rPr>
          <w:rFonts w:hint="eastAsia"/>
          <w:color w:val="auto"/>
          <w:sz w:val="28"/>
          <w:szCs w:val="28"/>
        </w:rPr>
        <w:t>用具有安全防护功能</w:t>
      </w:r>
      <w:r>
        <w:rPr>
          <w:rFonts w:hint="eastAsia"/>
          <w:color w:val="auto"/>
          <w:sz w:val="28"/>
          <w:szCs w:val="28"/>
          <w:lang w:val="en-US" w:eastAsia="zh-CN"/>
        </w:rPr>
        <w:t>的</w:t>
      </w:r>
      <w:r>
        <w:rPr>
          <w:rFonts w:hint="eastAsia"/>
          <w:color w:val="auto"/>
          <w:sz w:val="28"/>
          <w:szCs w:val="28"/>
        </w:rPr>
        <w:t>产品或配</w:t>
      </w:r>
      <w:r>
        <w:rPr>
          <w:rFonts w:hint="eastAsia"/>
          <w:color w:val="auto"/>
          <w:sz w:val="28"/>
          <w:szCs w:val="28"/>
          <w:lang w:val="en-US" w:eastAsia="zh-CN"/>
        </w:rPr>
        <w:t>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4</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rPr>
        <w:t>2</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rPr>
        <w:t>3</w:t>
      </w:r>
      <w:r>
        <w:rPr>
          <w:rFonts w:hint="eastAsia" w:ascii="宋体" w:hAnsi="宋体" w:cs="宋体"/>
          <w:i/>
          <w:iCs/>
          <w:color w:val="FF0000"/>
          <w:sz w:val="24"/>
          <w:szCs w:val="24"/>
          <w:lang w:val="en-US" w:eastAsia="zh-CN"/>
        </w:rPr>
        <w:t xml:space="preserve">  </w:t>
      </w:r>
      <w:r>
        <w:rPr>
          <w:rFonts w:hint="eastAsia"/>
          <w:i/>
          <w:iCs/>
          <w:color w:val="FF0000"/>
          <w:sz w:val="24"/>
          <w:szCs w:val="24"/>
          <w:lang w:val="en-US" w:eastAsia="zh-CN"/>
        </w:rPr>
        <w:t>用具有安全防护功能的产品或配件，评价总分值为</w:t>
      </w:r>
      <w:r>
        <w:rPr>
          <w:rFonts w:hint="eastAsia" w:eastAsia="Times New Roman"/>
          <w:i/>
          <w:iCs/>
          <w:color w:val="FF0000"/>
          <w:sz w:val="24"/>
          <w:szCs w:val="24"/>
          <w:lang w:val="en-US" w:eastAsia="zh-CN"/>
        </w:rPr>
        <w:t>10</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采用具有安全防护功能的玻璃，得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采用具备防夹功能的门窗，得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说明采用何种具有安全防护功能的玻璃、具有防夹功能的门窗。</w:t>
      </w:r>
      <w:r>
        <w:rPr>
          <w:rFonts w:hint="eastAsia"/>
          <w:color w:val="auto"/>
          <w:sz w:val="21"/>
          <w:szCs w:val="21"/>
          <w:lang w:eastAsia="zh-CN"/>
        </w:rPr>
        <w:t>）</w:t>
      </w:r>
      <w:r>
        <w:rPr>
          <w:rFonts w:hint="eastAsia"/>
          <w:color w:val="auto"/>
          <w:sz w:val="21"/>
          <w:szCs w:val="21"/>
          <w:u w:val="single"/>
          <w:lang w:val="en-US" w:eastAsia="zh-CN"/>
        </w:rPr>
        <w:t xml:space="preserve">      </w:t>
      </w:r>
    </w:p>
    <w:p>
      <w:pPr>
        <w:rPr>
          <w:rFonts w:hint="default"/>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lang w:eastAsia="zh-CN"/>
        </w:rPr>
        <w:t>采取提升建筑适变性的措施</w:t>
      </w:r>
      <w:r>
        <w:rPr>
          <w:rFonts w:hint="eastAsia"/>
          <w:color w:val="auto"/>
          <w:sz w:val="28"/>
          <w:szCs w:val="28"/>
          <w:lang w:val="en-US"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18</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default"/>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eastAsia="zh-CN"/>
        </w:rPr>
        <w:t>4</w:t>
      </w:r>
      <w:r>
        <w:rPr>
          <w:rFonts w:hint="eastAsia"/>
          <w:i/>
          <w:iCs/>
          <w:color w:val="FF0000"/>
          <w:sz w:val="24"/>
          <w:szCs w:val="24"/>
          <w:lang w:eastAsia="zh-CN"/>
        </w:rPr>
        <w:t>.</w:t>
      </w:r>
      <w:r>
        <w:rPr>
          <w:rFonts w:hint="eastAsia" w:eastAsia="Times New Roman"/>
          <w:i/>
          <w:iCs/>
          <w:color w:val="FF0000"/>
          <w:sz w:val="24"/>
          <w:szCs w:val="24"/>
          <w:lang w:eastAsia="zh-CN"/>
        </w:rPr>
        <w:t>2</w:t>
      </w:r>
      <w:r>
        <w:rPr>
          <w:rFonts w:hint="eastAsia"/>
          <w:i/>
          <w:iCs/>
          <w:color w:val="FF0000"/>
          <w:sz w:val="24"/>
          <w:szCs w:val="24"/>
          <w:lang w:eastAsia="zh-CN"/>
        </w:rPr>
        <w:t>.</w:t>
      </w:r>
      <w:r>
        <w:rPr>
          <w:rFonts w:hint="eastAsia" w:eastAsia="Times New Roman"/>
          <w:i/>
          <w:iCs/>
          <w:color w:val="FF0000"/>
          <w:sz w:val="24"/>
          <w:szCs w:val="24"/>
          <w:lang w:eastAsia="zh-CN"/>
        </w:rPr>
        <w:t>6</w:t>
      </w:r>
      <w:r>
        <w:rPr>
          <w:rFonts w:hint="eastAsia"/>
          <w:i/>
          <w:iCs/>
          <w:color w:val="FF0000"/>
          <w:sz w:val="24"/>
          <w:szCs w:val="24"/>
          <w:lang w:val="en-US" w:eastAsia="zh-CN"/>
        </w:rPr>
        <w:t xml:space="preserve">  </w:t>
      </w:r>
      <w:r>
        <w:rPr>
          <w:rFonts w:hint="default"/>
          <w:i/>
          <w:iCs/>
          <w:color w:val="FF0000"/>
          <w:sz w:val="24"/>
          <w:szCs w:val="24"/>
          <w:lang w:val="en-US" w:eastAsia="zh-CN"/>
        </w:rPr>
        <w:t>采取提升建筑适变性的措施，评价总分值为</w:t>
      </w:r>
      <w:r>
        <w:rPr>
          <w:rFonts w:hint="default" w:eastAsia="Times New Roman"/>
          <w:i/>
          <w:iCs/>
          <w:color w:val="FF0000"/>
          <w:sz w:val="24"/>
          <w:szCs w:val="24"/>
          <w:lang w:val="en-US" w:eastAsia="zh-CN"/>
        </w:rPr>
        <w:t>18</w:t>
      </w:r>
      <w:r>
        <w:rPr>
          <w:rFonts w:hint="default"/>
          <w:i/>
          <w:iCs/>
          <w:color w:val="FF0000"/>
          <w:sz w:val="24"/>
          <w:szCs w:val="24"/>
          <w:lang w:val="en-US" w:eastAsia="zh-CN"/>
        </w:rPr>
        <w:t>分，并按下列规则分别评分并累计：</w:t>
      </w:r>
    </w:p>
    <w:p>
      <w:pPr>
        <w:ind w:firstLine="480" w:firstLineChars="200"/>
        <w:rPr>
          <w:rFonts w:hint="default"/>
          <w:i/>
          <w:iCs/>
          <w:color w:val="FF0000"/>
          <w:sz w:val="24"/>
          <w:szCs w:val="24"/>
          <w:lang w:val="en-US" w:eastAsia="zh-CN"/>
        </w:rPr>
      </w:pPr>
      <w:r>
        <w:rPr>
          <w:rFonts w:hint="default"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default"/>
          <w:i/>
          <w:iCs/>
          <w:color w:val="FF0000"/>
          <w:sz w:val="24"/>
          <w:szCs w:val="24"/>
          <w:lang w:val="en-US" w:eastAsia="zh-CN"/>
        </w:rPr>
        <w:t>采取通用开放、灵活可变的使用空间设计</w:t>
      </w:r>
      <w:r>
        <w:rPr>
          <w:rFonts w:hint="eastAsia"/>
          <w:i/>
          <w:iCs/>
          <w:color w:val="FF0000"/>
          <w:sz w:val="24"/>
          <w:szCs w:val="24"/>
          <w:lang w:val="en-US" w:eastAsia="zh-CN"/>
        </w:rPr>
        <w:t>，</w:t>
      </w:r>
      <w:r>
        <w:rPr>
          <w:rFonts w:hint="default"/>
          <w:i/>
          <w:iCs/>
          <w:color w:val="FF0000"/>
          <w:sz w:val="24"/>
          <w:szCs w:val="24"/>
          <w:lang w:val="en-US" w:eastAsia="zh-CN"/>
        </w:rPr>
        <w:t>或采取建筑使用功能可变措施，得</w:t>
      </w:r>
      <w:r>
        <w:rPr>
          <w:rFonts w:hint="default" w:eastAsia="Times New Roman"/>
          <w:i/>
          <w:iCs/>
          <w:color w:val="FF0000"/>
          <w:sz w:val="24"/>
          <w:szCs w:val="24"/>
          <w:lang w:val="en-US" w:eastAsia="zh-CN"/>
        </w:rPr>
        <w:t>7</w:t>
      </w:r>
      <w:r>
        <w:rPr>
          <w:rFonts w:hint="default"/>
          <w:i/>
          <w:iCs/>
          <w:color w:val="FF0000"/>
          <w:sz w:val="24"/>
          <w:szCs w:val="24"/>
          <w:lang w:val="en-US" w:eastAsia="zh-CN"/>
        </w:rPr>
        <w:t>分；</w:t>
      </w:r>
    </w:p>
    <w:p>
      <w:pPr>
        <w:ind w:firstLine="480" w:firstLineChars="200"/>
        <w:rPr>
          <w:rFonts w:hint="default"/>
          <w:i/>
          <w:iCs/>
          <w:color w:val="FF0000"/>
          <w:sz w:val="24"/>
          <w:szCs w:val="24"/>
          <w:lang w:val="en-US" w:eastAsia="zh-CN"/>
        </w:rPr>
      </w:pPr>
      <w:r>
        <w:rPr>
          <w:rFonts w:hint="default"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default"/>
          <w:i/>
          <w:iCs/>
          <w:color w:val="FF0000"/>
          <w:sz w:val="24"/>
          <w:szCs w:val="24"/>
          <w:lang w:val="en-US" w:eastAsia="zh-CN"/>
        </w:rPr>
        <w:t>建筑结构与建筑设备管线分离，得</w:t>
      </w:r>
      <w:r>
        <w:rPr>
          <w:rFonts w:hint="default" w:eastAsia="Times New Roman"/>
          <w:i/>
          <w:iCs/>
          <w:color w:val="FF0000"/>
          <w:sz w:val="24"/>
          <w:szCs w:val="24"/>
          <w:lang w:val="en-US" w:eastAsia="zh-CN"/>
        </w:rPr>
        <w:t>7</w:t>
      </w:r>
      <w:r>
        <w:rPr>
          <w:rFonts w:hint="default"/>
          <w:i/>
          <w:iCs/>
          <w:color w:val="FF0000"/>
          <w:sz w:val="24"/>
          <w:szCs w:val="24"/>
          <w:lang w:val="en-US" w:eastAsia="zh-CN"/>
        </w:rPr>
        <w:t>分；</w:t>
      </w:r>
    </w:p>
    <w:p>
      <w:pPr>
        <w:ind w:firstLine="480" w:firstLineChars="200"/>
        <w:rPr>
          <w:rFonts w:hint="default"/>
          <w:i/>
          <w:iCs/>
          <w:color w:val="auto"/>
          <w:sz w:val="24"/>
          <w:szCs w:val="24"/>
          <w:lang w:val="en-US" w:eastAsia="zh-CN"/>
        </w:rPr>
      </w:pPr>
      <w:r>
        <w:rPr>
          <w:rFonts w:hint="default" w:eastAsia="Times New Roman"/>
          <w:i/>
          <w:iCs/>
          <w:color w:val="FF0000"/>
          <w:sz w:val="24"/>
          <w:szCs w:val="24"/>
          <w:lang w:val="en-US" w:eastAsia="zh-CN"/>
        </w:rPr>
        <w:t>3</w:t>
      </w:r>
      <w:r>
        <w:rPr>
          <w:rFonts w:hint="eastAsia"/>
          <w:i/>
          <w:iCs/>
          <w:color w:val="FF0000"/>
          <w:sz w:val="24"/>
          <w:szCs w:val="24"/>
          <w:lang w:val="en-US" w:eastAsia="zh-CN"/>
        </w:rPr>
        <w:t xml:space="preserve">  </w:t>
      </w:r>
      <w:r>
        <w:rPr>
          <w:rFonts w:hint="default"/>
          <w:i/>
          <w:iCs/>
          <w:color w:val="FF0000"/>
          <w:sz w:val="24"/>
          <w:szCs w:val="24"/>
          <w:lang w:val="en-US" w:eastAsia="zh-CN"/>
        </w:rPr>
        <w:t>采用与建筑功能和空间变化相适应的设备设施布置方式或控制方式，得</w:t>
      </w:r>
      <w:r>
        <w:rPr>
          <w:rFonts w:hint="default" w:eastAsia="Times New Roman"/>
          <w:i/>
          <w:iCs/>
          <w:color w:val="FF0000"/>
          <w:sz w:val="24"/>
          <w:szCs w:val="24"/>
          <w:lang w:val="en-US" w:eastAsia="zh-CN"/>
        </w:rPr>
        <w:t>4</w:t>
      </w:r>
      <w:r>
        <w:rPr>
          <w:rFonts w:hint="default"/>
          <w:i/>
          <w:iCs/>
          <w:color w:val="FF0000"/>
          <w:sz w:val="24"/>
          <w:szCs w:val="24"/>
          <w:lang w:val="en-US" w:eastAsia="zh-CN"/>
        </w:rPr>
        <w:t>分。</w:t>
      </w:r>
    </w:p>
    <w:p>
      <w:pPr>
        <w:rPr>
          <w:rFonts w:hint="eastAsia"/>
          <w:color w:val="auto"/>
          <w:sz w:val="21"/>
          <w:szCs w:val="21"/>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说明采取与建筑功能和空间变化相适应</w:t>
      </w:r>
      <w:r>
        <w:rPr>
          <w:rFonts w:hint="eastAsia"/>
          <w:color w:val="auto"/>
          <w:sz w:val="21"/>
          <w:szCs w:val="21"/>
          <w:lang w:val="en-US" w:eastAsia="zh-CN"/>
        </w:rPr>
        <w:t>的</w:t>
      </w:r>
      <w:r>
        <w:rPr>
          <w:rFonts w:hint="eastAsia"/>
          <w:color w:val="auto"/>
          <w:sz w:val="21"/>
          <w:szCs w:val="21"/>
        </w:rPr>
        <w:t>设备设施布置方式或控制方式</w:t>
      </w:r>
      <w:r>
        <w:rPr>
          <w:rFonts w:hint="eastAsia"/>
          <w:color w:val="auto"/>
          <w:sz w:val="21"/>
          <w:szCs w:val="21"/>
          <w:lang w:eastAsia="zh-CN"/>
        </w:rPr>
        <w:t>。）</w:t>
      </w:r>
    </w:p>
    <w:p>
      <w:pPr>
        <w:rPr>
          <w:rFonts w:hint="eastAsia"/>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eastAsia="宋体"/>
          <w:color w:val="auto"/>
          <w:sz w:val="21"/>
          <w:szCs w:val="21"/>
          <w:highlight w:val="none"/>
          <w:u w:val="none"/>
          <w:lang w:val="en-US" w:eastAsia="zh-CN"/>
        </w:rPr>
      </w:pPr>
      <w:r>
        <w:rPr>
          <w:rFonts w:hint="eastAsia" w:eastAsia="Times New Roman"/>
          <w:color w:val="auto"/>
          <w:sz w:val="28"/>
          <w:szCs w:val="28"/>
          <w:highlight w:val="none"/>
          <w:lang w:val="en-US" w:eastAsia="zh-CN"/>
        </w:rPr>
        <w:t>4</w:t>
      </w:r>
      <w:r>
        <w:rPr>
          <w:rFonts w:hint="eastAsia"/>
          <w:color w:val="auto"/>
          <w:sz w:val="28"/>
          <w:szCs w:val="28"/>
          <w:highlight w:val="none"/>
          <w:lang w:val="en-US" w:eastAsia="zh-CN"/>
        </w:rPr>
        <w:t>、</w:t>
      </w:r>
      <w:r>
        <w:rPr>
          <w:rFonts w:hint="eastAsia"/>
          <w:color w:val="auto"/>
          <w:sz w:val="28"/>
          <w:szCs w:val="28"/>
          <w:highlight w:val="none"/>
        </w:rPr>
        <w:t>采取</w:t>
      </w:r>
      <w:r>
        <w:rPr>
          <w:rFonts w:hint="eastAsia"/>
          <w:color w:val="auto"/>
          <w:sz w:val="28"/>
          <w:szCs w:val="28"/>
          <w:highlight w:val="none"/>
          <w:lang w:val="en-US" w:eastAsia="zh-CN"/>
        </w:rPr>
        <w:t>提升</w:t>
      </w:r>
      <w:r>
        <w:rPr>
          <w:rFonts w:hint="eastAsia"/>
          <w:color w:val="auto"/>
          <w:sz w:val="28"/>
          <w:szCs w:val="28"/>
          <w:highlight w:val="none"/>
        </w:rPr>
        <w:t>建筑部品部件耐久性的措施</w:t>
      </w:r>
      <w:r>
        <w:rPr>
          <w:rFonts w:hint="eastAsia"/>
          <w:color w:val="auto"/>
          <w:sz w:val="28"/>
          <w:szCs w:val="28"/>
          <w:highlight w:val="none"/>
          <w:lang w:eastAsia="zh-CN"/>
        </w:rPr>
        <w:t>。</w:t>
      </w:r>
      <w:r>
        <w:rPr>
          <w:rFonts w:hint="eastAsia"/>
          <w:color w:val="auto"/>
          <w:sz w:val="21"/>
          <w:szCs w:val="21"/>
          <w:highlight w:val="none"/>
          <w:lang w:eastAsia="zh-CN"/>
        </w:rPr>
        <w:t>（</w:t>
      </w:r>
      <w:r>
        <w:rPr>
          <w:rFonts w:hint="eastAsia"/>
          <w:color w:val="auto"/>
          <w:sz w:val="21"/>
          <w:szCs w:val="21"/>
          <w:highlight w:val="none"/>
          <w:lang w:val="en-US" w:eastAsia="zh-CN"/>
        </w:rPr>
        <w:t>本条与景观、给排水、电气专业联合作答。）</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条文分值</w:t>
            </w:r>
          </w:p>
        </w:tc>
        <w:tc>
          <w:tcPr>
            <w:tcW w:w="1449"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eastAsia="Times New Roman"/>
                <w:b w:val="0"/>
                <w:bCs w:val="0"/>
                <w:color w:val="auto"/>
                <w:highlight w:val="none"/>
                <w:vertAlign w:val="baseline"/>
                <w:lang w:val="en-US" w:eastAsia="zh-CN"/>
              </w:rPr>
              <w:t>10</w:t>
            </w:r>
          </w:p>
        </w:tc>
        <w:tc>
          <w:tcPr>
            <w:tcW w:w="1449" w:type="dxa"/>
            <w:noWrap w:val="0"/>
            <w:vAlign w:val="top"/>
          </w:tcPr>
          <w:p>
            <w:pPr>
              <w:numPr>
                <w:ilvl w:val="0"/>
                <w:numId w:val="0"/>
              </w:numPr>
              <w:rPr>
                <w:rFonts w:hint="default"/>
                <w:b w:val="0"/>
                <w:bCs w:val="0"/>
                <w:color w:val="auto"/>
                <w:highlight w:val="none"/>
                <w:vertAlign w:val="baseline"/>
                <w:lang w:val="en-US" w:eastAsia="zh-CN"/>
              </w:rPr>
            </w:pPr>
          </w:p>
        </w:tc>
      </w:tr>
    </w:tbl>
    <w:p>
      <w:pPr>
        <w:rPr>
          <w:rFonts w:hint="eastAsia" w:ascii="宋体" w:hAnsi="宋体" w:eastAsia="宋体" w:cs="宋体"/>
          <w:i/>
          <w:iCs/>
          <w:color w:val="FF0000"/>
          <w:sz w:val="24"/>
          <w:szCs w:val="24"/>
          <w:highlight w:val="none"/>
          <w:lang w:eastAsia="zh-CN"/>
        </w:rPr>
      </w:pPr>
      <w:r>
        <w:rPr>
          <w:rFonts w:hint="eastAsia"/>
          <w:i/>
          <w:iCs/>
          <w:color w:val="FF0000"/>
          <w:sz w:val="24"/>
          <w:szCs w:val="24"/>
          <w:lang w:val="en-US" w:eastAsia="zh-CN"/>
        </w:rPr>
        <w:t>对应条文：</w:t>
      </w:r>
      <w:r>
        <w:rPr>
          <w:rFonts w:hint="eastAsia" w:eastAsia="Times New Roman"/>
          <w:i/>
          <w:iCs/>
          <w:color w:val="FF0000"/>
          <w:sz w:val="24"/>
          <w:szCs w:val="24"/>
          <w:highlight w:val="none"/>
          <w:lang w:val="en-US" w:eastAsia="zh-CN"/>
        </w:rPr>
        <w:t>4</w:t>
      </w:r>
      <w:r>
        <w:rPr>
          <w:rFonts w:hint="eastAsia"/>
          <w:i/>
          <w:iCs/>
          <w:color w:val="FF0000"/>
          <w:sz w:val="24"/>
          <w:szCs w:val="24"/>
          <w:highlight w:val="none"/>
          <w:lang w:val="en-US" w:eastAsia="zh-CN"/>
        </w:rPr>
        <w:t>.</w:t>
      </w:r>
      <w:r>
        <w:rPr>
          <w:rFonts w:hint="eastAsia" w:eastAsia="Times New Roman"/>
          <w:i/>
          <w:iCs/>
          <w:color w:val="FF0000"/>
          <w:sz w:val="24"/>
          <w:szCs w:val="24"/>
          <w:highlight w:val="none"/>
          <w:lang w:val="en-US" w:eastAsia="zh-CN"/>
        </w:rPr>
        <w:t>2</w:t>
      </w:r>
      <w:r>
        <w:rPr>
          <w:rFonts w:hint="eastAsia"/>
          <w:i/>
          <w:iCs/>
          <w:color w:val="FF0000"/>
          <w:sz w:val="24"/>
          <w:szCs w:val="24"/>
          <w:highlight w:val="none"/>
          <w:lang w:val="en-US" w:eastAsia="zh-CN"/>
        </w:rPr>
        <w:t>.</w:t>
      </w:r>
      <w:r>
        <w:rPr>
          <w:rFonts w:hint="eastAsia" w:eastAsia="Times New Roman"/>
          <w:i/>
          <w:iCs/>
          <w:color w:val="FF0000"/>
          <w:sz w:val="24"/>
          <w:szCs w:val="24"/>
          <w:highlight w:val="none"/>
          <w:lang w:val="en-US" w:eastAsia="zh-CN"/>
        </w:rPr>
        <w:t>7</w:t>
      </w:r>
      <w:r>
        <w:rPr>
          <w:rFonts w:hint="eastAsia"/>
          <w:i/>
          <w:iCs/>
          <w:color w:val="FF0000"/>
          <w:sz w:val="24"/>
          <w:szCs w:val="24"/>
          <w:highlight w:val="none"/>
          <w:lang w:val="en-US" w:eastAsia="zh-CN"/>
        </w:rPr>
        <w:t xml:space="preserve">  </w:t>
      </w:r>
      <w:r>
        <w:rPr>
          <w:rFonts w:hint="eastAsia" w:ascii="宋体" w:hAnsi="宋体" w:eastAsia="宋体" w:cs="宋体"/>
          <w:i/>
          <w:iCs/>
          <w:color w:val="FF0000"/>
          <w:sz w:val="24"/>
          <w:szCs w:val="24"/>
          <w:highlight w:val="none"/>
          <w:lang w:eastAsia="zh-CN"/>
        </w:rPr>
        <w:t>采取提升建筑部品部件耐久性的措施，评价总分值为</w:t>
      </w:r>
      <w:r>
        <w:rPr>
          <w:rFonts w:hint="eastAsia" w:ascii="宋体" w:hAnsi="宋体" w:eastAsia="Times New Roman" w:cs="宋体"/>
          <w:i/>
          <w:iCs/>
          <w:color w:val="FF0000"/>
          <w:sz w:val="24"/>
          <w:szCs w:val="24"/>
          <w:highlight w:val="none"/>
          <w:lang w:eastAsia="zh-CN"/>
        </w:rPr>
        <w:t>10</w:t>
      </w:r>
      <w:r>
        <w:rPr>
          <w:rFonts w:hint="eastAsia" w:ascii="宋体" w:hAnsi="宋体" w:eastAsia="宋体" w:cs="宋体"/>
          <w:i/>
          <w:iCs/>
          <w:color w:val="FF0000"/>
          <w:sz w:val="24"/>
          <w:szCs w:val="24"/>
          <w:highlight w:val="none"/>
          <w:lang w:eastAsia="zh-CN"/>
        </w:rPr>
        <w:t>分，并按下列规则分别评分并累计：</w:t>
      </w:r>
    </w:p>
    <w:p>
      <w:pPr>
        <w:ind w:firstLine="480" w:firstLineChars="200"/>
        <w:rPr>
          <w:rFonts w:hint="eastAsia" w:ascii="宋体" w:hAnsi="宋体" w:eastAsia="宋体" w:cs="宋体"/>
          <w:i/>
          <w:iCs/>
          <w:color w:val="FF0000"/>
          <w:sz w:val="24"/>
          <w:szCs w:val="24"/>
          <w:highlight w:val="none"/>
          <w:lang w:val="en-US" w:eastAsia="zh-CN"/>
        </w:rPr>
      </w:pPr>
      <w:r>
        <w:rPr>
          <w:rFonts w:hint="eastAsia" w:ascii="宋体" w:hAnsi="宋体" w:eastAsia="Times New Roman" w:cs="宋体"/>
          <w:i/>
          <w:iCs/>
          <w:color w:val="FF0000"/>
          <w:sz w:val="24"/>
          <w:szCs w:val="24"/>
          <w:highlight w:val="none"/>
          <w:lang w:val="en-US" w:eastAsia="zh-CN"/>
        </w:rPr>
        <w:t>1</w:t>
      </w:r>
      <w:r>
        <w:rPr>
          <w:rFonts w:hint="eastAsia" w:ascii="宋体" w:hAnsi="宋体" w:cs="宋体"/>
          <w:i/>
          <w:iCs/>
          <w:color w:val="FF0000"/>
          <w:sz w:val="24"/>
          <w:szCs w:val="24"/>
          <w:highlight w:val="none"/>
          <w:lang w:val="en-US" w:eastAsia="zh-CN"/>
        </w:rPr>
        <w:t xml:space="preserve">  </w:t>
      </w:r>
      <w:r>
        <w:rPr>
          <w:rFonts w:hint="eastAsia" w:ascii="宋体" w:hAnsi="宋体" w:eastAsia="宋体" w:cs="宋体"/>
          <w:i/>
          <w:iCs/>
          <w:color w:val="FF0000"/>
          <w:sz w:val="24"/>
          <w:szCs w:val="24"/>
          <w:highlight w:val="none"/>
          <w:lang w:eastAsia="zh-CN"/>
        </w:rPr>
        <w:t>使用耐腐蚀、抗老化、耐久性能好的管材、管线、管件，</w:t>
      </w:r>
      <w:r>
        <w:rPr>
          <w:rFonts w:hint="eastAsia" w:ascii="宋体" w:hAnsi="宋体" w:eastAsia="宋体" w:cs="宋体"/>
          <w:i/>
          <w:iCs/>
          <w:color w:val="FF0000"/>
          <w:sz w:val="24"/>
          <w:szCs w:val="24"/>
          <w:highlight w:val="none"/>
          <w:lang w:val="en-US" w:eastAsia="zh-CN"/>
        </w:rPr>
        <w:t>得</w:t>
      </w:r>
      <w:r>
        <w:rPr>
          <w:rFonts w:hint="eastAsia" w:ascii="宋体" w:hAnsi="宋体" w:eastAsia="Times New Roman" w:cs="宋体"/>
          <w:i/>
          <w:iCs/>
          <w:color w:val="FF0000"/>
          <w:sz w:val="24"/>
          <w:szCs w:val="24"/>
          <w:highlight w:val="none"/>
          <w:lang w:val="en-US" w:eastAsia="zh-CN"/>
        </w:rPr>
        <w:t>5</w:t>
      </w:r>
      <w:r>
        <w:rPr>
          <w:rFonts w:hint="eastAsia" w:ascii="宋体" w:hAnsi="宋体" w:eastAsia="宋体" w:cs="宋体"/>
          <w:i/>
          <w:iCs/>
          <w:color w:val="FF0000"/>
          <w:sz w:val="24"/>
          <w:szCs w:val="24"/>
          <w:highlight w:val="none"/>
          <w:lang w:val="en-US" w:eastAsia="zh-CN"/>
        </w:rPr>
        <w:t>分</w:t>
      </w:r>
      <w:r>
        <w:rPr>
          <w:rFonts w:hint="eastAsia" w:ascii="宋体" w:hAnsi="宋体" w:cs="宋体"/>
          <w:i/>
          <w:iCs/>
          <w:color w:val="FF0000"/>
          <w:sz w:val="24"/>
          <w:szCs w:val="24"/>
          <w:highlight w:val="none"/>
          <w:lang w:val="en-US" w:eastAsia="zh-CN"/>
        </w:rPr>
        <w:t>；</w:t>
      </w:r>
    </w:p>
    <w:p>
      <w:pPr>
        <w:ind w:firstLine="480" w:firstLineChars="200"/>
        <w:rPr>
          <w:rFonts w:hint="eastAsia" w:ascii="宋体" w:hAnsi="宋体" w:eastAsia="宋体" w:cs="宋体"/>
          <w:i/>
          <w:iCs/>
          <w:color w:val="FF0000"/>
          <w:sz w:val="24"/>
          <w:szCs w:val="24"/>
          <w:highlight w:val="none"/>
          <w:lang w:eastAsia="zh-CN"/>
        </w:rPr>
      </w:pPr>
      <w:r>
        <w:rPr>
          <w:rFonts w:hint="eastAsia" w:ascii="宋体" w:hAnsi="宋体" w:eastAsia="Times New Roman" w:cs="宋体"/>
          <w:i/>
          <w:iCs/>
          <w:color w:val="FF0000"/>
          <w:sz w:val="24"/>
          <w:szCs w:val="24"/>
          <w:highlight w:val="none"/>
          <w:lang w:val="en-US" w:eastAsia="zh-CN"/>
        </w:rPr>
        <w:t>2</w:t>
      </w:r>
      <w:r>
        <w:rPr>
          <w:rFonts w:hint="eastAsia" w:ascii="宋体" w:hAnsi="宋体" w:cs="宋体"/>
          <w:i/>
          <w:iCs/>
          <w:color w:val="FF0000"/>
          <w:sz w:val="24"/>
          <w:szCs w:val="24"/>
          <w:highlight w:val="none"/>
          <w:lang w:val="en-US" w:eastAsia="zh-CN"/>
        </w:rPr>
        <w:t xml:space="preserve">  </w:t>
      </w:r>
      <w:r>
        <w:rPr>
          <w:rFonts w:hint="eastAsia" w:ascii="宋体" w:hAnsi="宋体" w:eastAsia="宋体" w:cs="宋体"/>
          <w:i/>
          <w:iCs/>
          <w:color w:val="FF0000"/>
          <w:sz w:val="24"/>
          <w:szCs w:val="24"/>
          <w:highlight w:val="none"/>
          <w:lang w:eastAsia="zh-CN"/>
        </w:rPr>
        <w:t>活动配件选用长寿命产品，并考虑部品组合的同寿命性；不同使用寿命的部品组合时，采用便于分别拆换</w:t>
      </w:r>
      <w:r>
        <w:rPr>
          <w:rFonts w:hint="eastAsia" w:ascii="宋体" w:hAnsi="宋体" w:cs="宋体"/>
          <w:i/>
          <w:iCs/>
          <w:color w:val="FF0000"/>
          <w:sz w:val="24"/>
          <w:szCs w:val="24"/>
          <w:highlight w:val="none"/>
          <w:lang w:eastAsia="zh-CN"/>
        </w:rPr>
        <w:t>、</w:t>
      </w:r>
      <w:r>
        <w:rPr>
          <w:rFonts w:hint="eastAsia" w:ascii="宋体" w:hAnsi="宋体" w:eastAsia="宋体" w:cs="宋体"/>
          <w:i/>
          <w:iCs/>
          <w:color w:val="FF0000"/>
          <w:sz w:val="24"/>
          <w:szCs w:val="24"/>
          <w:highlight w:val="none"/>
          <w:lang w:eastAsia="zh-CN"/>
        </w:rPr>
        <w:t>更新和升级的构造，得</w:t>
      </w:r>
      <w:r>
        <w:rPr>
          <w:rFonts w:hint="eastAsia" w:ascii="宋体" w:hAnsi="宋体" w:eastAsia="Times New Roman" w:cs="宋体"/>
          <w:i/>
          <w:iCs/>
          <w:color w:val="FF0000"/>
          <w:sz w:val="24"/>
          <w:szCs w:val="24"/>
          <w:highlight w:val="none"/>
          <w:lang w:eastAsia="zh-CN"/>
        </w:rPr>
        <w:t>5</w:t>
      </w:r>
      <w:r>
        <w:rPr>
          <w:rFonts w:hint="eastAsia" w:ascii="宋体" w:hAnsi="宋体" w:eastAsia="宋体" w:cs="宋体"/>
          <w:i/>
          <w:iCs/>
          <w:color w:val="FF0000"/>
          <w:sz w:val="24"/>
          <w:szCs w:val="24"/>
          <w:highlight w:val="none"/>
          <w:lang w:eastAsia="zh-CN"/>
        </w:rPr>
        <w:t>分。</w:t>
      </w:r>
    </w:p>
    <w:p>
      <w:pPr>
        <w:rPr>
          <w:rFonts w:hint="default" w:eastAsia="宋体"/>
          <w:color w:val="auto"/>
          <w:sz w:val="28"/>
          <w:szCs w:val="28"/>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合理采用</w:t>
      </w:r>
      <w:r>
        <w:rPr>
          <w:rFonts w:hint="eastAsia"/>
          <w:color w:val="auto"/>
          <w:sz w:val="28"/>
          <w:szCs w:val="28"/>
          <w:lang w:val="en-US" w:eastAsia="zh-CN"/>
        </w:rPr>
        <w:t>耐</w:t>
      </w:r>
      <w:r>
        <w:rPr>
          <w:rFonts w:hint="eastAsia"/>
          <w:color w:val="auto"/>
          <w:sz w:val="28"/>
          <w:szCs w:val="28"/>
        </w:rPr>
        <w:t>久性好、易</w:t>
      </w:r>
      <w:r>
        <w:rPr>
          <w:rFonts w:hint="eastAsia"/>
          <w:color w:val="auto"/>
          <w:sz w:val="28"/>
          <w:szCs w:val="28"/>
          <w:lang w:val="en-US" w:eastAsia="zh-CN"/>
        </w:rPr>
        <w:t>维</w:t>
      </w:r>
      <w:r>
        <w:rPr>
          <w:rFonts w:hint="eastAsia"/>
          <w:color w:val="auto"/>
          <w:sz w:val="28"/>
          <w:szCs w:val="28"/>
        </w:rPr>
        <w:t>护的</w:t>
      </w:r>
      <w:r>
        <w:rPr>
          <w:rFonts w:hint="eastAsia"/>
          <w:color w:val="auto"/>
          <w:sz w:val="28"/>
          <w:szCs w:val="28"/>
          <w:lang w:val="en-US" w:eastAsia="zh-CN"/>
        </w:rPr>
        <w:t>装饰</w:t>
      </w:r>
      <w:r>
        <w:rPr>
          <w:rFonts w:hint="eastAsia"/>
          <w:color w:val="auto"/>
          <w:sz w:val="28"/>
          <w:szCs w:val="28"/>
        </w:rPr>
        <w:t>装修建筑材料</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4</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合理采用耐久性好、易维护的装饰装修建筑材料，评价总分值为</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采用耐久性好的外饰面材料，得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采用耐久性好的防水和密封材料，得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color w:val="auto"/>
          <w:sz w:val="28"/>
          <w:szCs w:val="28"/>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采用耐久性好、易维护的室内装饰装修材料，得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eastAsia"/>
          <w:color w:val="auto"/>
          <w:sz w:val="28"/>
          <w:szCs w:val="28"/>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w:t>
      </w:r>
    </w:p>
    <w:p>
      <w:pPr>
        <w:rPr>
          <w:rFonts w:hint="eastAsia"/>
          <w:color w:val="auto"/>
          <w:sz w:val="28"/>
          <w:szCs w:val="28"/>
        </w:rPr>
      </w:pPr>
      <w:r>
        <w:rPr>
          <w:rFonts w:hint="eastAsia"/>
          <w:color w:val="auto"/>
          <w:sz w:val="28"/>
          <w:szCs w:val="28"/>
          <w:lang w:val="en-US" w:eastAsia="zh-CN"/>
        </w:rPr>
        <w:t>证明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控制室内主要空气污染物的浓度</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rPr>
        <w:t>5</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rPr>
        <w:t>1</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eastAsia="zh-CN"/>
        </w:rPr>
        <w:t>控制室内主要空气污染物的浓度，评价总分值为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氨、甲醛、苯、总挥发性有机物、</w:t>
      </w:r>
      <w:r>
        <w:rPr>
          <w:rFonts w:hint="eastAsia" w:ascii="宋体" w:hAnsi="宋体" w:eastAsia="宋体" w:cs="宋体"/>
          <w:i/>
          <w:iCs/>
          <w:color w:val="FF0000"/>
          <w:sz w:val="24"/>
          <w:szCs w:val="24"/>
          <w:lang w:val="en-US" w:eastAsia="zh-CN"/>
        </w:rPr>
        <w:t>氡</w:t>
      </w:r>
      <w:r>
        <w:rPr>
          <w:rFonts w:hint="eastAsia" w:ascii="宋体" w:hAnsi="宋体" w:eastAsia="宋体" w:cs="宋体"/>
          <w:i/>
          <w:iCs/>
          <w:color w:val="FF0000"/>
          <w:sz w:val="24"/>
          <w:szCs w:val="24"/>
          <w:lang w:eastAsia="zh-CN"/>
        </w:rPr>
        <w:t>等污染物浓度低于现行</w:t>
      </w:r>
      <w:r>
        <w:rPr>
          <w:rFonts w:hint="eastAsia" w:ascii="宋体" w:hAnsi="宋体" w:eastAsia="宋体" w:cs="宋体"/>
          <w:i/>
          <w:iCs/>
          <w:color w:val="FF0000"/>
          <w:sz w:val="24"/>
          <w:szCs w:val="24"/>
          <w:lang w:val="en-US" w:eastAsia="zh-CN"/>
        </w:rPr>
        <w:t>国家</w:t>
      </w:r>
      <w:r>
        <w:rPr>
          <w:rFonts w:hint="eastAsia" w:ascii="宋体" w:hAnsi="宋体" w:eastAsia="宋体" w:cs="宋体"/>
          <w:i/>
          <w:iCs/>
          <w:color w:val="FF0000"/>
          <w:sz w:val="24"/>
          <w:szCs w:val="24"/>
          <w:lang w:eastAsia="zh-CN"/>
        </w:rPr>
        <w:t>标准《室内空气质量标准》</w:t>
      </w:r>
      <w:r>
        <w:rPr>
          <w:rFonts w:hint="eastAsia" w:ascii="宋体" w:hAnsi="宋体" w:eastAsia="宋体" w:cs="宋体"/>
          <w:i/>
          <w:iCs/>
          <w:color w:val="FF0000"/>
          <w:sz w:val="24"/>
          <w:szCs w:val="24"/>
          <w:lang w:val="en-US" w:eastAsia="zh-CN"/>
        </w:rPr>
        <w:t>GB/T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18883</w:t>
      </w:r>
      <w:r>
        <w:rPr>
          <w:rFonts w:hint="eastAsia" w:ascii="宋体" w:hAnsi="宋体" w:eastAsia="宋体" w:cs="宋体"/>
          <w:i/>
          <w:iCs/>
          <w:color w:val="FF0000"/>
          <w:sz w:val="24"/>
          <w:szCs w:val="24"/>
          <w:lang w:eastAsia="zh-CN"/>
        </w:rPr>
        <w:t>规定限值的</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分；低于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室内</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2</w:t>
      </w:r>
      <w:r>
        <w:rPr>
          <w:rFonts w:hint="eastAsia" w:ascii="宋体" w:hAnsi="宋体" w:eastAsia="宋体" w:cs="宋体"/>
          <w:i/>
          <w:iCs/>
          <w:color w:val="FF0000"/>
          <w:sz w:val="24"/>
          <w:szCs w:val="24"/>
          <w:vertAlign w:val="subscript"/>
          <w:lang w:val="en-US" w:eastAsia="zh-CN"/>
        </w:rPr>
        <w:t>.</w:t>
      </w:r>
      <w:r>
        <w:rPr>
          <w:rFonts w:hint="eastAsia" w:ascii="宋体" w:hAnsi="宋体" w:eastAsia="Times New Roman" w:cs="宋体"/>
          <w:i/>
          <w:iCs/>
          <w:color w:val="FF0000"/>
          <w:sz w:val="24"/>
          <w:szCs w:val="24"/>
          <w:vertAlign w:val="subscript"/>
          <w:lang w:val="en-US" w:eastAsia="zh-CN"/>
        </w:rPr>
        <w:t>5</w:t>
      </w:r>
      <w:r>
        <w:rPr>
          <w:rFonts w:hint="eastAsia" w:ascii="宋体" w:hAnsi="宋体" w:eastAsia="宋体" w:cs="宋体"/>
          <w:i/>
          <w:iCs/>
          <w:color w:val="FF0000"/>
          <w:sz w:val="24"/>
          <w:szCs w:val="24"/>
          <w:lang w:eastAsia="zh-CN"/>
        </w:rPr>
        <w:t>年均浓度不高于</w:t>
      </w:r>
      <w:r>
        <w:rPr>
          <w:rFonts w:hint="eastAsia" w:ascii="宋体" w:hAnsi="宋体" w:eastAsia="Times New Roman" w:cs="宋体"/>
          <w:i/>
          <w:iCs/>
          <w:color w:val="FF0000"/>
          <w:sz w:val="24"/>
          <w:szCs w:val="24"/>
          <w:lang w:eastAsia="zh-CN"/>
        </w:rPr>
        <w:t>25</w:t>
      </w:r>
      <w:r>
        <w:rPr>
          <w:rFonts w:hint="eastAsia" w:ascii="宋体" w:hAnsi="宋体" w:eastAsia="宋体" w:cs="宋体"/>
          <w:i/>
          <w:iCs/>
          <w:color w:val="FF0000"/>
          <w:sz w:val="24"/>
          <w:szCs w:val="24"/>
          <w:lang w:val="en-US" w:eastAsia="zh-CN"/>
        </w:rPr>
        <w:t>μg</w:t>
      </w:r>
      <w:r>
        <w:rPr>
          <w:rFonts w:hint="eastAsia" w:ascii="宋体" w:hAnsi="宋体" w:eastAsia="宋体" w:cs="宋体"/>
          <w:i/>
          <w:iCs/>
          <w:color w:val="FF0000"/>
          <w:sz w:val="24"/>
          <w:szCs w:val="24"/>
          <w:lang w:eastAsia="zh-CN"/>
        </w:rPr>
        <w:t>/m</w:t>
      </w:r>
      <w:r>
        <w:rPr>
          <w:rFonts w:hint="eastAsia" w:ascii="宋体" w:hAnsi="宋体" w:eastAsia="Times New Roman" w:cs="宋体"/>
          <w:i/>
          <w:iCs/>
          <w:color w:val="FF0000"/>
          <w:sz w:val="24"/>
          <w:szCs w:val="24"/>
          <w:vertAlign w:val="superscript"/>
          <w:lang w:eastAsia="zh-CN"/>
        </w:rPr>
        <w:t>3</w:t>
      </w:r>
      <w:r>
        <w:rPr>
          <w:rFonts w:hint="eastAsia" w:ascii="宋体" w:hAnsi="宋体" w:eastAsia="宋体" w:cs="宋体"/>
          <w:i/>
          <w:iCs/>
          <w:color w:val="FF0000"/>
          <w:sz w:val="24"/>
          <w:szCs w:val="24"/>
          <w:lang w:eastAsia="zh-CN"/>
        </w:rPr>
        <w:t>，且室内</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10</w:t>
      </w:r>
      <w:r>
        <w:rPr>
          <w:rFonts w:hint="eastAsia" w:ascii="宋体" w:hAnsi="宋体" w:eastAsia="宋体" w:cs="宋体"/>
          <w:i/>
          <w:iCs/>
          <w:color w:val="FF0000"/>
          <w:sz w:val="24"/>
          <w:szCs w:val="24"/>
          <w:lang w:eastAsia="zh-CN"/>
        </w:rPr>
        <w:t>年均浓度不高于</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μg</w:t>
      </w:r>
      <w:r>
        <w:rPr>
          <w:rFonts w:hint="eastAsia" w:ascii="宋体" w:hAnsi="宋体" w:eastAsia="宋体" w:cs="宋体"/>
          <w:i/>
          <w:iCs/>
          <w:color w:val="FF0000"/>
          <w:sz w:val="24"/>
          <w:szCs w:val="24"/>
          <w:lang w:eastAsia="zh-CN"/>
        </w:rPr>
        <w:t>/m</w:t>
      </w:r>
      <w:r>
        <w:rPr>
          <w:rFonts w:hint="eastAsia" w:ascii="宋体" w:hAnsi="宋体" w:eastAsia="Times New Roman" w:cs="宋体"/>
          <w:i/>
          <w:iCs/>
          <w:color w:val="FF0000"/>
          <w:sz w:val="24"/>
          <w:szCs w:val="24"/>
          <w:vertAlign w:val="superscript"/>
          <w:lang w:eastAsia="zh-CN"/>
        </w:rPr>
        <w:t>3</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lang w:val="en-US"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w:t>
      </w:r>
    </w:p>
    <w:p>
      <w:pPr>
        <w:rPr>
          <w:rFonts w:hint="default" w:eastAsia="宋体"/>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lang w:val="en-US" w:eastAsia="zh-CN"/>
        </w:rPr>
        <w:t>污染物浓度预评估分析报告；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选用的</w:t>
      </w:r>
      <w:r>
        <w:rPr>
          <w:rFonts w:hint="eastAsia"/>
          <w:color w:val="auto"/>
          <w:sz w:val="28"/>
          <w:szCs w:val="28"/>
          <w:lang w:val="en-US" w:eastAsia="zh-CN"/>
        </w:rPr>
        <w:t>装饰</w:t>
      </w:r>
      <w:r>
        <w:rPr>
          <w:rFonts w:hint="eastAsia"/>
          <w:color w:val="auto"/>
          <w:sz w:val="28"/>
          <w:szCs w:val="28"/>
        </w:rPr>
        <w:t>装修</w:t>
      </w:r>
      <w:r>
        <w:rPr>
          <w:rFonts w:hint="eastAsia"/>
          <w:color w:val="auto"/>
          <w:sz w:val="28"/>
          <w:szCs w:val="28"/>
          <w:lang w:val="en-US" w:eastAsia="zh-CN"/>
        </w:rPr>
        <w:t>材料满足</w:t>
      </w:r>
      <w:r>
        <w:rPr>
          <w:rFonts w:hint="eastAsia"/>
          <w:color w:val="auto"/>
          <w:sz w:val="28"/>
          <w:szCs w:val="28"/>
        </w:rPr>
        <w:t>国家现行绿色产品评价标准中对有</w:t>
      </w:r>
      <w:r>
        <w:rPr>
          <w:rFonts w:hint="eastAsia"/>
          <w:color w:val="auto"/>
          <w:sz w:val="28"/>
          <w:szCs w:val="28"/>
          <w:lang w:val="en-US" w:eastAsia="zh-CN"/>
        </w:rPr>
        <w:t>害</w:t>
      </w:r>
      <w:r>
        <w:rPr>
          <w:rFonts w:hint="eastAsia"/>
          <w:color w:val="auto"/>
          <w:sz w:val="28"/>
          <w:szCs w:val="28"/>
        </w:rPr>
        <w:t>物质限量的要求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选用的装饰装修材料满足国家现行绿色产品评价标准中对有害物质限量的要求，评价总分值为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分。选用满足要求的装饰装修材料达到</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类及以上，得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类及以上，得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装饰</w:t>
      </w:r>
      <w:r>
        <w:rPr>
          <w:rFonts w:hint="eastAsia"/>
          <w:color w:val="auto"/>
          <w:sz w:val="21"/>
          <w:szCs w:val="21"/>
        </w:rPr>
        <w:t>装修</w:t>
      </w:r>
      <w:r>
        <w:rPr>
          <w:rFonts w:hint="eastAsia"/>
          <w:color w:val="auto"/>
          <w:sz w:val="21"/>
          <w:szCs w:val="21"/>
          <w:lang w:val="en-US" w:eastAsia="zh-CN"/>
        </w:rPr>
        <w:t>材料</w:t>
      </w:r>
      <w:r>
        <w:rPr>
          <w:rFonts w:hint="eastAsia"/>
          <w:color w:val="auto"/>
          <w:sz w:val="21"/>
          <w:szCs w:val="21"/>
        </w:rPr>
        <w:t>有害物质达标情况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color w:val="auto"/>
          <w:sz w:val="28"/>
          <w:szCs w:val="28"/>
        </w:rPr>
        <w:t>采取</w:t>
      </w:r>
      <w:r>
        <w:rPr>
          <w:rFonts w:hint="eastAsia"/>
          <w:color w:val="auto"/>
          <w:sz w:val="28"/>
          <w:szCs w:val="28"/>
          <w:lang w:val="en-US" w:eastAsia="zh-CN"/>
        </w:rPr>
        <w:t>措施</w:t>
      </w:r>
      <w:r>
        <w:rPr>
          <w:rFonts w:hint="eastAsia"/>
          <w:color w:val="auto"/>
          <w:sz w:val="28"/>
          <w:szCs w:val="28"/>
        </w:rPr>
        <w:t>优化主要功能房间的室内声环境</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auto"/>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rPr>
        <w:t>5</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rPr>
        <w:t>6</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采取措施优化主要功能房间的室内声环境，评价总分值为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分。噪声级达到现行国家标准《民用建筑隔声设计规范》GB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50118</w:t>
      </w:r>
      <w:r>
        <w:rPr>
          <w:rFonts w:hint="eastAsia" w:ascii="宋体" w:hAnsi="宋体" w:eastAsia="宋体" w:cs="宋体"/>
          <w:i/>
          <w:iCs/>
          <w:color w:val="FF0000"/>
          <w:sz w:val="24"/>
          <w:szCs w:val="24"/>
          <w:lang w:eastAsia="zh-CN"/>
        </w:rPr>
        <w:t>中的低限标准限值和高要求标准限值的平均值，得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分；达到高要求标准限值，得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说明建筑室内、外主要</w:t>
      </w:r>
      <w:r>
        <w:rPr>
          <w:rFonts w:hint="eastAsia"/>
          <w:color w:val="auto"/>
          <w:sz w:val="21"/>
          <w:szCs w:val="21"/>
          <w:lang w:val="en-US" w:eastAsia="zh-CN"/>
        </w:rPr>
        <w:t>噪</w:t>
      </w:r>
      <w:r>
        <w:rPr>
          <w:rFonts w:hint="eastAsia"/>
          <w:color w:val="auto"/>
          <w:sz w:val="21"/>
          <w:szCs w:val="21"/>
        </w:rPr>
        <w:t>声源类型，传播途径以及采取的</w:t>
      </w:r>
      <w:r>
        <w:rPr>
          <w:rFonts w:hint="eastAsia"/>
          <w:color w:val="auto"/>
          <w:sz w:val="21"/>
          <w:szCs w:val="21"/>
          <w:lang w:val="en-US" w:eastAsia="zh-CN"/>
        </w:rPr>
        <w:t>降噪</w:t>
      </w:r>
      <w:r>
        <w:rPr>
          <w:rFonts w:hint="eastAsia"/>
          <w:color w:val="auto"/>
          <w:sz w:val="21"/>
          <w:szCs w:val="21"/>
        </w:rPr>
        <w:t>措施</w:t>
      </w:r>
      <w:r>
        <w:rPr>
          <w:rFonts w:hint="eastAsia"/>
          <w:color w:val="auto"/>
          <w:sz w:val="21"/>
          <w:szCs w:val="21"/>
          <w:lang w:eastAsia="zh-CN"/>
        </w:rPr>
        <w:t>。）</w:t>
      </w:r>
      <w:r>
        <w:rPr>
          <w:rFonts w:hint="eastAsia"/>
          <w:color w:val="auto"/>
          <w:sz w:val="21"/>
          <w:szCs w:val="21"/>
          <w:u w:val="single"/>
          <w:lang w:val="en-US" w:eastAsia="zh-CN"/>
        </w:rPr>
        <w:t xml:space="preserve">    </w:t>
      </w:r>
    </w:p>
    <w:p>
      <w:pPr>
        <w:rPr>
          <w:rFonts w:hint="default"/>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室内背景</w:t>
      </w:r>
      <w:r>
        <w:rPr>
          <w:rFonts w:hint="eastAsia"/>
          <w:color w:val="auto"/>
          <w:sz w:val="28"/>
          <w:szCs w:val="28"/>
          <w:lang w:val="en-US" w:eastAsia="zh-CN"/>
        </w:rPr>
        <w:t>噪声</w:t>
      </w:r>
      <w:r>
        <w:rPr>
          <w:rFonts w:hint="eastAsia"/>
          <w:color w:val="auto"/>
          <w:sz w:val="28"/>
          <w:szCs w:val="28"/>
        </w:rPr>
        <w:t>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color w:val="auto"/>
          <w:sz w:val="28"/>
          <w:szCs w:val="28"/>
        </w:rPr>
        <w:t>主要功能</w:t>
      </w:r>
      <w:r>
        <w:rPr>
          <w:rFonts w:hint="eastAsia"/>
          <w:color w:val="auto"/>
          <w:sz w:val="28"/>
          <w:szCs w:val="28"/>
          <w:lang w:val="en-US" w:eastAsia="zh-CN"/>
        </w:rPr>
        <w:t>房间</w:t>
      </w:r>
      <w:r>
        <w:rPr>
          <w:rFonts w:hint="eastAsia"/>
          <w:color w:val="auto"/>
          <w:sz w:val="28"/>
          <w:szCs w:val="28"/>
        </w:rPr>
        <w:t>的</w:t>
      </w:r>
      <w:r>
        <w:rPr>
          <w:rFonts w:hint="eastAsia"/>
          <w:color w:val="auto"/>
          <w:sz w:val="28"/>
          <w:szCs w:val="28"/>
          <w:lang w:val="en-US" w:eastAsia="zh-CN"/>
        </w:rPr>
        <w:t>隔声性能良好。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主要功能房间的隔声性能良好，评价总分值为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构件及相邻房间之间的空气声隔声性能达到现行国家标准《民用建筑隔声设计规范》GB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50118</w:t>
      </w:r>
      <w:r>
        <w:rPr>
          <w:rFonts w:hint="eastAsia" w:ascii="宋体" w:hAnsi="宋体" w:eastAsia="宋体" w:cs="宋体"/>
          <w:i/>
          <w:iCs/>
          <w:color w:val="FF0000"/>
          <w:sz w:val="24"/>
          <w:szCs w:val="24"/>
          <w:lang w:val="en-US" w:eastAsia="zh-CN"/>
        </w:rPr>
        <w:t>中的低限标准限值和高要求标准限值的平均值，得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分；达到高要求标准限值，得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楼板的撞击声隔声性能达到现行国家标准《民用建筑隔声设计规范》GB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50118</w:t>
      </w:r>
      <w:r>
        <w:rPr>
          <w:rFonts w:hint="eastAsia" w:ascii="宋体" w:hAnsi="宋体" w:eastAsia="宋体" w:cs="宋体"/>
          <w:i/>
          <w:iCs/>
          <w:color w:val="FF0000"/>
          <w:sz w:val="24"/>
          <w:szCs w:val="24"/>
          <w:lang w:val="en-US" w:eastAsia="zh-CN"/>
        </w:rPr>
        <w:t>中的低限标准限值和高要求标准限值的平均值，得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分；达到高要求标准限值，得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说明建筑围护结构的构造做法和隔声效果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围护结构</w:t>
      </w:r>
      <w:r>
        <w:rPr>
          <w:rFonts w:hint="eastAsia"/>
          <w:color w:val="auto"/>
          <w:sz w:val="28"/>
          <w:szCs w:val="28"/>
          <w:lang w:val="en-US" w:eastAsia="zh-CN"/>
        </w:rPr>
        <w:t>隔</w:t>
      </w:r>
      <w:r>
        <w:rPr>
          <w:rFonts w:hint="eastAsia"/>
          <w:color w:val="auto"/>
          <w:sz w:val="28"/>
          <w:szCs w:val="28"/>
        </w:rPr>
        <w:t>声量计算书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10</w:t>
      </w:r>
      <w:r>
        <w:rPr>
          <w:rFonts w:hint="eastAsia"/>
          <w:color w:val="auto"/>
          <w:sz w:val="28"/>
          <w:szCs w:val="28"/>
          <w:lang w:val="en-US" w:eastAsia="zh-CN"/>
        </w:rPr>
        <w:t>、</w:t>
      </w:r>
      <w:r>
        <w:rPr>
          <w:rFonts w:hint="eastAsia"/>
          <w:color w:val="auto"/>
          <w:sz w:val="28"/>
          <w:szCs w:val="28"/>
        </w:rPr>
        <w:t>充分利用天然光</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8</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充分利用天然光，评价总分值为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住宅建筑室内主要功能空间至少</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面积比例区域，其采光照度值不低于</w:t>
      </w:r>
      <w:r>
        <w:rPr>
          <w:rFonts w:hint="eastAsia" w:ascii="宋体" w:hAnsi="宋体" w:eastAsia="Times New Roman" w:cs="宋体"/>
          <w:i/>
          <w:iCs/>
          <w:color w:val="FF0000"/>
          <w:sz w:val="24"/>
          <w:szCs w:val="24"/>
          <w:lang w:eastAsia="zh-CN"/>
        </w:rPr>
        <w:t>3001</w:t>
      </w:r>
      <w:r>
        <w:rPr>
          <w:rFonts w:hint="eastAsia" w:ascii="宋体" w:hAnsi="宋体" w:eastAsia="宋体" w:cs="宋体"/>
          <w:i/>
          <w:iCs/>
          <w:color w:val="FF0000"/>
          <w:sz w:val="24"/>
          <w:szCs w:val="24"/>
          <w:lang w:eastAsia="zh-CN"/>
        </w:rPr>
        <w:t>x的小时数平均不少于</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h/d，得</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公共建筑按下列规则分别评分并累计：</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内区釆光系数满足采光要求的面积比例达到</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left="399" w:leftChars="190"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地下空间平均釆光系数不小于</w:t>
      </w:r>
      <w:r>
        <w:rPr>
          <w:rFonts w:hint="eastAsia" w:ascii="宋体" w:hAnsi="宋体" w:eastAsia="Times New Roman" w:cs="宋体"/>
          <w:i/>
          <w:iCs/>
          <w:color w:val="FF0000"/>
          <w:sz w:val="24"/>
          <w:szCs w:val="24"/>
          <w:lang w:eastAsia="zh-CN"/>
        </w:rPr>
        <w:t>0</w:t>
      </w:r>
      <w:r>
        <w:rPr>
          <w:rFonts w:hint="eastAsia" w:ascii="宋体" w:hAnsi="宋体" w:eastAsia="宋体" w:cs="宋体"/>
          <w:i/>
          <w:iCs/>
          <w:color w:val="FF0000"/>
          <w:sz w:val="24"/>
          <w:szCs w:val="24"/>
          <w:lang w:eastAsia="zh-CN"/>
        </w:rPr>
        <w:t>.</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%的面积与地下室首层面积的比例达到</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%以上，得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室内主要功能空间至少</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面积比例区域的采光照度值不低于采光要求的小时数平均不少于</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h/d，得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主要功能房间有眩光控制措施，得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说明改善室内防</w:t>
      </w:r>
      <w:r>
        <w:rPr>
          <w:rFonts w:hint="eastAsia"/>
          <w:color w:val="auto"/>
          <w:sz w:val="21"/>
          <w:szCs w:val="21"/>
          <w:lang w:val="en-US" w:eastAsia="zh-CN"/>
        </w:rPr>
        <w:t>眩</w:t>
      </w:r>
      <w:r>
        <w:rPr>
          <w:rFonts w:hint="eastAsia"/>
          <w:color w:val="auto"/>
          <w:sz w:val="21"/>
          <w:szCs w:val="21"/>
        </w:rPr>
        <w:t>光采用的措施</w:t>
      </w:r>
      <w:r>
        <w:rPr>
          <w:rFonts w:hint="eastAsia"/>
          <w:color w:val="auto"/>
          <w:sz w:val="21"/>
          <w:szCs w:val="21"/>
          <w:lang w:eastAsia="zh-CN"/>
        </w:rPr>
        <w:t>；</w:t>
      </w:r>
      <w:r>
        <w:rPr>
          <w:rFonts w:hint="eastAsia"/>
          <w:color w:val="auto"/>
          <w:sz w:val="21"/>
          <w:szCs w:val="21"/>
        </w:rPr>
        <w:t>说明采光达标的情况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动态采光计算书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11</w:t>
      </w:r>
      <w:r>
        <w:rPr>
          <w:rFonts w:hint="eastAsia"/>
          <w:color w:val="auto"/>
          <w:sz w:val="28"/>
          <w:szCs w:val="28"/>
          <w:lang w:val="en-US" w:eastAsia="zh-CN"/>
        </w:rPr>
        <w:t>、</w:t>
      </w:r>
      <w:r>
        <w:rPr>
          <w:rFonts w:hint="eastAsia"/>
          <w:color w:val="auto"/>
          <w:sz w:val="28"/>
          <w:szCs w:val="28"/>
        </w:rPr>
        <w:t>优化建筑</w:t>
      </w:r>
      <w:r>
        <w:rPr>
          <w:rFonts w:hint="eastAsia"/>
          <w:color w:val="auto"/>
          <w:sz w:val="28"/>
          <w:szCs w:val="28"/>
          <w:lang w:eastAsia="zh-CN"/>
        </w:rPr>
        <w:t>空间</w:t>
      </w:r>
      <w:r>
        <w:rPr>
          <w:rFonts w:hint="eastAsia"/>
          <w:color w:val="auto"/>
          <w:sz w:val="28"/>
          <w:szCs w:val="28"/>
        </w:rPr>
        <w:t>和平面布局，改善自然通风效果</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10</w:t>
      </w:r>
      <w:r>
        <w:rPr>
          <w:rFonts w:hint="eastAsia"/>
          <w:i/>
          <w:iCs/>
          <w:color w:val="FF0000"/>
          <w:sz w:val="24"/>
          <w:szCs w:val="24"/>
          <w:lang w:val="en-US" w:eastAsia="zh-CN"/>
        </w:rPr>
        <w:t xml:space="preserve">  优化建筑空间和平面布局，改善自然通风效果，评价总分值为</w:t>
      </w:r>
      <w:r>
        <w:rPr>
          <w:rFonts w:hint="eastAsia" w:eastAsia="Times New Roman"/>
          <w:i/>
          <w:iCs/>
          <w:color w:val="FF0000"/>
          <w:sz w:val="24"/>
          <w:szCs w:val="24"/>
          <w:lang w:val="en-US" w:eastAsia="zh-CN"/>
        </w:rPr>
        <w:t>8</w:t>
      </w:r>
      <w:r>
        <w:rPr>
          <w:rFonts w:hint="eastAsia"/>
          <w:i/>
          <w:iCs/>
          <w:color w:val="FF0000"/>
          <w:sz w:val="24"/>
          <w:szCs w:val="24"/>
          <w:lang w:val="en-US" w:eastAsia="zh-CN"/>
        </w:rPr>
        <w:t>分，并按下列规则评分：</w:t>
      </w:r>
    </w:p>
    <w:p>
      <w:pPr>
        <w:spacing w:line="360" w:lineRule="auto"/>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住宅建筑：通风开口面积与房间地板面积的比例在夏热冬暖地区达到</w:t>
      </w:r>
      <w:r>
        <w:rPr>
          <w:rFonts w:hint="eastAsia" w:eastAsia="Times New Roman"/>
          <w:i/>
          <w:iCs/>
          <w:color w:val="FF0000"/>
          <w:sz w:val="24"/>
          <w:szCs w:val="24"/>
          <w:lang w:val="en-US" w:eastAsia="zh-CN"/>
        </w:rPr>
        <w:t>12</w:t>
      </w:r>
      <w:r>
        <w:rPr>
          <w:rFonts w:hint="eastAsia"/>
          <w:i/>
          <w:iCs/>
          <w:color w:val="FF0000"/>
          <w:sz w:val="24"/>
          <w:szCs w:val="24"/>
          <w:lang w:val="en-US" w:eastAsia="zh-CN"/>
        </w:rPr>
        <w:t>%，在夏热冬冷地区达到</w:t>
      </w:r>
      <w:r>
        <w:rPr>
          <w:rFonts w:hint="eastAsia" w:eastAsia="Times New Roman"/>
          <w:i/>
          <w:iCs/>
          <w:color w:val="FF0000"/>
          <w:sz w:val="24"/>
          <w:szCs w:val="24"/>
          <w:lang w:val="en-US" w:eastAsia="zh-CN"/>
        </w:rPr>
        <w:t>8</w:t>
      </w:r>
      <w:r>
        <w:rPr>
          <w:rFonts w:hint="eastAsia"/>
          <w:i/>
          <w:iCs/>
          <w:color w:val="FF0000"/>
          <w:sz w:val="24"/>
          <w:szCs w:val="24"/>
          <w:lang w:val="en-US" w:eastAsia="zh-CN"/>
        </w:rPr>
        <w:t>%，在其他地区达到</w:t>
      </w:r>
      <w:r>
        <w:rPr>
          <w:rFonts w:hint="eastAsia" w:eastAsia="Times New Roman"/>
          <w:i/>
          <w:iCs/>
          <w:color w:val="FF0000"/>
          <w:sz w:val="24"/>
          <w:szCs w:val="24"/>
          <w:lang w:val="en-US" w:eastAsia="zh-CN"/>
        </w:rPr>
        <w:t>5</w:t>
      </w:r>
      <w:r>
        <w:rPr>
          <w:rFonts w:hint="eastAsia"/>
          <w:i/>
          <w:iCs/>
          <w:color w:val="FF0000"/>
          <w:sz w:val="24"/>
          <w:szCs w:val="24"/>
          <w:lang w:val="en-US" w:eastAsia="zh-CN"/>
        </w:rPr>
        <w:t>%，得</w:t>
      </w:r>
      <w:r>
        <w:rPr>
          <w:rFonts w:hint="eastAsia" w:eastAsia="Times New Roman"/>
          <w:i/>
          <w:iCs/>
          <w:color w:val="FF0000"/>
          <w:sz w:val="24"/>
          <w:szCs w:val="24"/>
          <w:lang w:val="en-US" w:eastAsia="zh-CN"/>
        </w:rPr>
        <w:t>5</w:t>
      </w:r>
      <w:r>
        <w:rPr>
          <w:rFonts w:hint="eastAsia"/>
          <w:i/>
          <w:iCs/>
          <w:color w:val="FF0000"/>
          <w:sz w:val="24"/>
          <w:szCs w:val="24"/>
          <w:lang w:val="en-US" w:eastAsia="zh-CN"/>
        </w:rPr>
        <w:t>分；每再增加</w:t>
      </w:r>
      <w:r>
        <w:rPr>
          <w:rFonts w:hint="eastAsia" w:eastAsia="Times New Roman"/>
          <w:i/>
          <w:iCs/>
          <w:color w:val="FF0000"/>
          <w:sz w:val="24"/>
          <w:szCs w:val="24"/>
          <w:lang w:val="en-US" w:eastAsia="zh-CN"/>
        </w:rPr>
        <w:t>2</w:t>
      </w:r>
      <w:r>
        <w:rPr>
          <w:rFonts w:hint="eastAsia"/>
          <w:i/>
          <w:iCs/>
          <w:color w:val="FF0000"/>
          <w:sz w:val="24"/>
          <w:szCs w:val="24"/>
          <w:lang w:val="en-US" w:eastAsia="zh-CN"/>
        </w:rPr>
        <w:t>%，再得</w:t>
      </w:r>
      <w:r>
        <w:rPr>
          <w:rFonts w:hint="eastAsia" w:eastAsia="Times New Roman"/>
          <w:i/>
          <w:iCs/>
          <w:color w:val="FF0000"/>
          <w:sz w:val="24"/>
          <w:szCs w:val="24"/>
          <w:lang w:val="en-US" w:eastAsia="zh-CN"/>
        </w:rPr>
        <w:t>1</w:t>
      </w:r>
      <w:r>
        <w:rPr>
          <w:rFonts w:hint="eastAsia"/>
          <w:i/>
          <w:iCs/>
          <w:color w:val="FF0000"/>
          <w:sz w:val="24"/>
          <w:szCs w:val="24"/>
          <w:lang w:val="en-US" w:eastAsia="zh-CN"/>
        </w:rPr>
        <w:t>分，最高得</w:t>
      </w:r>
      <w:r>
        <w:rPr>
          <w:rFonts w:hint="eastAsia" w:eastAsia="Times New Roman"/>
          <w:i/>
          <w:iCs/>
          <w:color w:val="FF0000"/>
          <w:sz w:val="24"/>
          <w:szCs w:val="24"/>
          <w:lang w:val="en-US" w:eastAsia="zh-CN"/>
        </w:rPr>
        <w:t>8</w:t>
      </w:r>
      <w:r>
        <w:rPr>
          <w:rFonts w:hint="eastAsia"/>
          <w:i/>
          <w:iCs/>
          <w:color w:val="FF0000"/>
          <w:sz w:val="24"/>
          <w:szCs w:val="24"/>
          <w:lang w:val="en-US" w:eastAsia="zh-CN"/>
        </w:rPr>
        <w:t>分。</w:t>
      </w:r>
    </w:p>
    <w:p>
      <w:pPr>
        <w:spacing w:line="360" w:lineRule="auto"/>
        <w:ind w:firstLine="480" w:firstLineChars="200"/>
        <w:rPr>
          <w:rFonts w:hint="eastAsia"/>
          <w:i/>
          <w:iCs/>
          <w:color w:val="auto"/>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公共建筑：过渡季典型工况下主要功能房间平均自然通风换气次数不小于</w:t>
      </w:r>
      <w:r>
        <w:rPr>
          <w:rFonts w:hint="eastAsia" w:eastAsia="Times New Roman"/>
          <w:i/>
          <w:iCs/>
          <w:color w:val="FF0000"/>
          <w:sz w:val="24"/>
          <w:szCs w:val="24"/>
          <w:lang w:val="en-US" w:eastAsia="zh-CN"/>
        </w:rPr>
        <w:t>2</w:t>
      </w:r>
      <w:r>
        <w:rPr>
          <w:rFonts w:hint="eastAsia"/>
          <w:i/>
          <w:iCs/>
          <w:color w:val="FF0000"/>
          <w:sz w:val="24"/>
          <w:szCs w:val="24"/>
          <w:lang w:val="en-US" w:eastAsia="zh-CN"/>
        </w:rPr>
        <w:t>次/h的面积比例达到</w:t>
      </w:r>
      <w:r>
        <w:rPr>
          <w:rFonts w:hint="eastAsia" w:eastAsia="Times New Roman"/>
          <w:i/>
          <w:iCs/>
          <w:color w:val="FF0000"/>
          <w:sz w:val="24"/>
          <w:szCs w:val="24"/>
          <w:lang w:val="en-US" w:eastAsia="zh-CN"/>
        </w:rPr>
        <w:t>70</w:t>
      </w:r>
      <w:r>
        <w:rPr>
          <w:rFonts w:hint="eastAsia"/>
          <w:i/>
          <w:iCs/>
          <w:color w:val="FF0000"/>
          <w:sz w:val="24"/>
          <w:szCs w:val="24"/>
          <w:lang w:val="en-US" w:eastAsia="zh-CN"/>
        </w:rPr>
        <w:t>%，得</w:t>
      </w:r>
      <w:r>
        <w:rPr>
          <w:rFonts w:hint="eastAsia" w:eastAsia="Times New Roman"/>
          <w:i/>
          <w:iCs/>
          <w:color w:val="FF0000"/>
          <w:sz w:val="24"/>
          <w:szCs w:val="24"/>
          <w:lang w:val="en-US" w:eastAsia="zh-CN"/>
        </w:rPr>
        <w:t>5</w:t>
      </w:r>
      <w:r>
        <w:rPr>
          <w:rFonts w:hint="eastAsia"/>
          <w:i/>
          <w:iCs/>
          <w:color w:val="FF0000"/>
          <w:sz w:val="24"/>
          <w:szCs w:val="24"/>
          <w:lang w:val="en-US" w:eastAsia="zh-CN"/>
        </w:rPr>
        <w:t>分；每再增加</w:t>
      </w:r>
      <w:r>
        <w:rPr>
          <w:rFonts w:hint="eastAsia" w:eastAsia="Times New Roman"/>
          <w:i/>
          <w:iCs/>
          <w:color w:val="FF0000"/>
          <w:sz w:val="24"/>
          <w:szCs w:val="24"/>
          <w:lang w:val="en-US" w:eastAsia="zh-CN"/>
        </w:rPr>
        <w:t>10</w:t>
      </w:r>
      <w:r>
        <w:rPr>
          <w:rFonts w:hint="eastAsia"/>
          <w:i/>
          <w:iCs/>
          <w:color w:val="FF0000"/>
          <w:sz w:val="24"/>
          <w:szCs w:val="24"/>
          <w:lang w:val="en-US" w:eastAsia="zh-CN"/>
        </w:rPr>
        <w:t>%，再得</w:t>
      </w:r>
      <w:r>
        <w:rPr>
          <w:rFonts w:hint="eastAsia" w:eastAsia="Times New Roman"/>
          <w:i/>
          <w:iCs/>
          <w:color w:val="FF0000"/>
          <w:sz w:val="24"/>
          <w:szCs w:val="24"/>
          <w:lang w:val="en-US" w:eastAsia="zh-CN"/>
        </w:rPr>
        <w:t>1</w:t>
      </w:r>
      <w:r>
        <w:rPr>
          <w:rFonts w:hint="eastAsia"/>
          <w:i/>
          <w:iCs/>
          <w:color w:val="FF0000"/>
          <w:sz w:val="24"/>
          <w:szCs w:val="24"/>
          <w:lang w:val="en-US" w:eastAsia="zh-CN"/>
        </w:rPr>
        <w:t>分，最高得</w:t>
      </w:r>
      <w:r>
        <w:rPr>
          <w:rFonts w:hint="eastAsia" w:eastAsia="Times New Roman"/>
          <w:i/>
          <w:iCs/>
          <w:color w:val="FF0000"/>
          <w:sz w:val="24"/>
          <w:szCs w:val="24"/>
          <w:lang w:val="en-US" w:eastAsia="zh-CN"/>
        </w:rPr>
        <w:t>8</w:t>
      </w:r>
      <w:r>
        <w:rPr>
          <w:rFonts w:hint="eastAsia"/>
          <w:i/>
          <w:iCs/>
          <w:color w:val="FF0000"/>
          <w:sz w:val="24"/>
          <w:szCs w:val="24"/>
          <w:lang w:val="en-US"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居住建筑说明主</w:t>
      </w:r>
      <w:r>
        <w:rPr>
          <w:rFonts w:hint="eastAsia"/>
          <w:color w:val="auto"/>
          <w:sz w:val="21"/>
          <w:szCs w:val="21"/>
          <w:lang w:val="en-US" w:eastAsia="zh-CN"/>
        </w:rPr>
        <w:t>要</w:t>
      </w:r>
      <w:r>
        <w:rPr>
          <w:rFonts w:hint="eastAsia"/>
          <w:color w:val="auto"/>
          <w:sz w:val="21"/>
          <w:szCs w:val="21"/>
        </w:rPr>
        <w:t>房间通风</w:t>
      </w:r>
      <w:r>
        <w:rPr>
          <w:rFonts w:hint="eastAsia"/>
          <w:color w:val="auto"/>
          <w:sz w:val="21"/>
          <w:szCs w:val="21"/>
          <w:lang w:val="en-US" w:eastAsia="zh-CN"/>
        </w:rPr>
        <w:t>开口</w:t>
      </w:r>
      <w:r>
        <w:rPr>
          <w:rFonts w:hint="eastAsia"/>
          <w:color w:val="auto"/>
          <w:sz w:val="21"/>
          <w:szCs w:val="21"/>
        </w:rPr>
        <w:t>面积与房间地板面积的比例，公共建筑说明</w:t>
      </w:r>
      <w:r>
        <w:rPr>
          <w:rFonts w:hint="eastAsia"/>
          <w:color w:val="auto"/>
          <w:sz w:val="21"/>
          <w:szCs w:val="21"/>
          <w:lang w:val="en-US" w:eastAsia="zh-CN"/>
        </w:rPr>
        <w:t>过渡季</w:t>
      </w:r>
      <w:r>
        <w:rPr>
          <w:rFonts w:hint="eastAsia"/>
          <w:color w:val="auto"/>
          <w:sz w:val="21"/>
          <w:szCs w:val="21"/>
        </w:rPr>
        <w:t>典型工况下主要功能</w:t>
      </w:r>
      <w:r>
        <w:rPr>
          <w:rFonts w:hint="eastAsia"/>
          <w:color w:val="auto"/>
          <w:sz w:val="21"/>
          <w:szCs w:val="21"/>
          <w:lang w:val="en-US" w:eastAsia="zh-CN"/>
        </w:rPr>
        <w:t>房间</w:t>
      </w:r>
      <w:r>
        <w:rPr>
          <w:rFonts w:hint="eastAsia"/>
          <w:color w:val="auto"/>
          <w:sz w:val="21"/>
          <w:szCs w:val="21"/>
        </w:rPr>
        <w:t>的平均自然通风</w:t>
      </w:r>
      <w:r>
        <w:rPr>
          <w:rFonts w:hint="eastAsia"/>
          <w:color w:val="auto"/>
          <w:sz w:val="21"/>
          <w:szCs w:val="21"/>
          <w:lang w:val="en-US" w:eastAsia="zh-CN"/>
        </w:rPr>
        <w:t>换气</w:t>
      </w:r>
      <w:r>
        <w:rPr>
          <w:rFonts w:hint="eastAsia"/>
          <w:color w:val="auto"/>
          <w:sz w:val="21"/>
          <w:szCs w:val="21"/>
        </w:rPr>
        <w:t>次数</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lang w:val="en-US" w:eastAsia="zh-CN"/>
        </w:rPr>
        <w:t>建筑外窗</w:t>
      </w:r>
      <w:r>
        <w:rPr>
          <w:rFonts w:hint="eastAsia"/>
          <w:color w:val="auto"/>
          <w:sz w:val="28"/>
          <w:szCs w:val="28"/>
        </w:rPr>
        <w:t>可开启比例计算书</w:t>
      </w:r>
      <w:r>
        <w:rPr>
          <w:rFonts w:hint="eastAsia"/>
          <w:color w:val="auto"/>
          <w:sz w:val="28"/>
          <w:szCs w:val="28"/>
          <w:lang w:eastAsia="zh-CN"/>
        </w:rPr>
        <w:t>；□</w:t>
      </w:r>
      <w:r>
        <w:rPr>
          <w:rFonts w:hint="eastAsia"/>
          <w:color w:val="auto"/>
          <w:sz w:val="28"/>
          <w:szCs w:val="28"/>
        </w:rPr>
        <w:t>公共建筑室内自然通风模拟分析报告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12</w:t>
      </w:r>
      <w:r>
        <w:rPr>
          <w:rFonts w:hint="eastAsia"/>
          <w:color w:val="auto"/>
          <w:sz w:val="28"/>
          <w:szCs w:val="28"/>
          <w:lang w:val="en-US" w:eastAsia="zh-CN"/>
        </w:rPr>
        <w:t>、</w:t>
      </w:r>
      <w:r>
        <w:rPr>
          <w:rFonts w:hint="eastAsia"/>
          <w:color w:val="auto"/>
          <w:sz w:val="28"/>
          <w:szCs w:val="28"/>
        </w:rPr>
        <w:t>设</w:t>
      </w:r>
      <w:r>
        <w:rPr>
          <w:rFonts w:hint="eastAsia"/>
          <w:color w:val="auto"/>
          <w:sz w:val="28"/>
          <w:szCs w:val="28"/>
          <w:lang w:val="en-US" w:eastAsia="zh-CN"/>
        </w:rPr>
        <w:t>置</w:t>
      </w:r>
      <w:r>
        <w:rPr>
          <w:rFonts w:hint="eastAsia"/>
          <w:color w:val="auto"/>
          <w:sz w:val="28"/>
          <w:szCs w:val="28"/>
        </w:rPr>
        <w:t>可调节</w:t>
      </w:r>
      <w:r>
        <w:rPr>
          <w:rFonts w:hint="eastAsia"/>
          <w:color w:val="auto"/>
          <w:sz w:val="28"/>
          <w:szCs w:val="28"/>
          <w:lang w:val="en-US" w:eastAsia="zh-CN"/>
        </w:rPr>
        <w:t>遮阳</w:t>
      </w:r>
      <w:r>
        <w:rPr>
          <w:rFonts w:hint="eastAsia"/>
          <w:color w:val="auto"/>
          <w:sz w:val="28"/>
          <w:szCs w:val="28"/>
        </w:rPr>
        <w:t>设施，改善室内热舒适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ind w:firstLine="0" w:firstLineChars="0"/>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11</w:t>
      </w:r>
      <w:r>
        <w:rPr>
          <w:rFonts w:hint="eastAsia"/>
          <w:i/>
          <w:iCs/>
          <w:color w:val="FF0000"/>
          <w:sz w:val="24"/>
          <w:szCs w:val="24"/>
          <w:lang w:val="en-US" w:eastAsia="zh-CN"/>
        </w:rPr>
        <w:t xml:space="preserve">  </w:t>
      </w:r>
      <w:r>
        <w:rPr>
          <w:rFonts w:hint="eastAsia"/>
          <w:i/>
          <w:iCs/>
          <w:color w:val="FF0000"/>
          <w:sz w:val="24"/>
          <w:szCs w:val="24"/>
          <w:lang w:eastAsia="zh-CN"/>
        </w:rPr>
        <w:t>设置可调节遮阳设施，改善室内热舒适，评价总分值为</w:t>
      </w:r>
      <w:r>
        <w:rPr>
          <w:rFonts w:hint="eastAsia" w:eastAsia="Times New Roman"/>
          <w:i/>
          <w:iCs/>
          <w:color w:val="FF0000"/>
          <w:sz w:val="24"/>
          <w:szCs w:val="24"/>
          <w:lang w:eastAsia="zh-CN"/>
        </w:rPr>
        <w:t>9</w:t>
      </w:r>
      <w:r>
        <w:rPr>
          <w:rFonts w:hint="eastAsia"/>
          <w:i/>
          <w:iCs/>
          <w:color w:val="FF0000"/>
          <w:sz w:val="24"/>
          <w:szCs w:val="24"/>
          <w:lang w:eastAsia="zh-CN"/>
        </w:rPr>
        <w:t>分，根据可调节遮阳设施的面积占外窗透明部分的比例按表</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11</w:t>
      </w:r>
      <w:r>
        <w:rPr>
          <w:rFonts w:hint="eastAsia"/>
          <w:i/>
          <w:iCs/>
          <w:color w:val="FF0000"/>
          <w:sz w:val="24"/>
          <w:szCs w:val="24"/>
          <w:lang w:eastAsia="zh-CN"/>
        </w:rPr>
        <w:t>的规则评分。</w:t>
      </w:r>
    </w:p>
    <w:p>
      <w:pPr>
        <w:jc w:val="center"/>
        <w:rPr>
          <w:rFonts w:hint="eastAsia" w:ascii="宋体" w:hAnsi="宋体" w:eastAsia="宋体" w:cs="宋体"/>
          <w:b/>
          <w:bCs w:val="0"/>
          <w:i/>
          <w:iCs/>
          <w:color w:val="FF0000"/>
          <w:sz w:val="21"/>
          <w:szCs w:val="21"/>
        </w:rPr>
      </w:pPr>
      <w:r>
        <w:rPr>
          <w:rFonts w:hint="eastAsia" w:ascii="宋体" w:hAnsi="宋体" w:eastAsia="宋体" w:cs="宋体"/>
          <w:b/>
          <w:bCs w:val="0"/>
          <w:i/>
          <w:iCs/>
          <w:color w:val="FF0000"/>
          <w:sz w:val="21"/>
          <w:szCs w:val="21"/>
        </w:rPr>
        <w:t>表</w:t>
      </w:r>
      <w:r>
        <w:rPr>
          <w:rFonts w:hint="eastAsia" w:eastAsia="Times New Roman" w:cs="宋体"/>
          <w:b/>
          <w:bCs w:val="0"/>
          <w:i/>
          <w:iCs/>
          <w:color w:val="FF0000"/>
          <w:sz w:val="21"/>
          <w:szCs w:val="21"/>
          <w:lang w:val="en-US" w:eastAsia="zh-CN"/>
        </w:rPr>
        <w:t>5</w:t>
      </w:r>
      <w:r>
        <w:rPr>
          <w:rFonts w:hint="eastAsia" w:cs="宋体"/>
          <w:b/>
          <w:bCs w:val="0"/>
          <w:i/>
          <w:iCs/>
          <w:color w:val="FF0000"/>
          <w:sz w:val="21"/>
          <w:szCs w:val="21"/>
          <w:lang w:val="en-US" w:eastAsia="zh-CN"/>
        </w:rPr>
        <w:t>.</w:t>
      </w:r>
      <w:r>
        <w:rPr>
          <w:rFonts w:hint="eastAsia" w:eastAsia="Times New Roman" w:cs="宋体"/>
          <w:b/>
          <w:bCs w:val="0"/>
          <w:i/>
          <w:iCs/>
          <w:color w:val="FF0000"/>
          <w:sz w:val="21"/>
          <w:szCs w:val="21"/>
          <w:lang w:val="en-US" w:eastAsia="zh-CN"/>
        </w:rPr>
        <w:t>2</w:t>
      </w:r>
      <w:r>
        <w:rPr>
          <w:rFonts w:hint="eastAsia" w:cs="宋体"/>
          <w:b/>
          <w:bCs w:val="0"/>
          <w:i/>
          <w:iCs/>
          <w:color w:val="FF0000"/>
          <w:sz w:val="21"/>
          <w:szCs w:val="21"/>
          <w:lang w:val="en-US" w:eastAsia="zh-CN"/>
        </w:rPr>
        <w:t>.</w:t>
      </w:r>
      <w:r>
        <w:rPr>
          <w:rFonts w:hint="eastAsia" w:eastAsia="Times New Roman" w:cs="宋体"/>
          <w:b/>
          <w:bCs w:val="0"/>
          <w:i/>
          <w:iCs/>
          <w:color w:val="FF0000"/>
          <w:sz w:val="21"/>
          <w:szCs w:val="21"/>
          <w:lang w:val="en-US" w:eastAsia="zh-CN"/>
        </w:rPr>
        <w:t>11</w:t>
      </w:r>
      <w:r>
        <w:rPr>
          <w:rFonts w:hint="eastAsia" w:ascii="宋体" w:hAnsi="宋体" w:eastAsia="宋体" w:cs="宋体"/>
          <w:b/>
          <w:bCs w:val="0"/>
          <w:i/>
          <w:iCs/>
          <w:color w:val="FF0000"/>
          <w:sz w:val="21"/>
          <w:szCs w:val="21"/>
        </w:rPr>
        <w:t>可调节遮阳设施的面积占外窗透明部分比例评分规则</w:t>
      </w:r>
    </w:p>
    <w:tbl>
      <w:tblPr>
        <w:tblStyle w:val="21"/>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108" w:type="dxa"/>
          <w:bottom w:w="0" w:type="dxa"/>
          <w:right w:w="108" w:type="dxa"/>
        </w:tblCellMar>
      </w:tblPr>
      <w:tblGrid>
        <w:gridCol w:w="4782"/>
        <w:gridCol w:w="1794"/>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default" w:ascii="宋体" w:hAnsi="宋体" w:eastAsia="宋体" w:cs="宋体"/>
                <w:i/>
                <w:iCs/>
                <w:color w:val="FF0000"/>
                <w:sz w:val="22"/>
                <w:szCs w:val="22"/>
                <w:vertAlign w:val="baseline"/>
                <w:lang w:val="en-US" w:eastAsia="zh-CN"/>
              </w:rPr>
            </w:pPr>
            <w:r>
              <w:rPr>
                <w:rFonts w:hint="eastAsia" w:cs="宋体"/>
                <w:i/>
                <w:iCs/>
                <w:color w:val="FF0000"/>
                <w:sz w:val="22"/>
                <w:szCs w:val="22"/>
                <w:vertAlign w:val="baseline"/>
                <w:lang w:val="en-US" w:eastAsia="zh-CN"/>
              </w:rPr>
              <w:t>可调节遮阳设施的面积占外窗透明部分比例S</w:t>
            </w:r>
            <w:r>
              <w:rPr>
                <w:rFonts w:hint="eastAsia" w:cs="宋体"/>
                <w:i/>
                <w:iCs/>
                <w:color w:val="FF0000"/>
                <w:sz w:val="22"/>
                <w:szCs w:val="22"/>
                <w:vertAlign w:val="subscript"/>
                <w:lang w:val="en-US" w:eastAsia="zh-CN"/>
              </w:rPr>
              <w:t>z</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cs="宋体"/>
                <w:i/>
                <w:iCs/>
                <w:color w:val="FF0000"/>
                <w:sz w:val="22"/>
                <w:szCs w:val="22"/>
                <w:vertAlign w:val="baseline"/>
                <w:lang w:val="en-US" w:eastAsia="zh-CN"/>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default"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25</w:t>
            </w: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35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3</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rPr>
            </w:pPr>
            <w:r>
              <w:rPr>
                <w:rFonts w:hint="eastAsia" w:eastAsia="Times New Roman" w:cs="宋体"/>
                <w:i/>
                <w:iCs/>
                <w:color w:val="FF0000"/>
                <w:sz w:val="22"/>
                <w:szCs w:val="22"/>
                <w:vertAlign w:val="baseline"/>
                <w:lang w:val="en-US" w:eastAsia="zh-CN"/>
              </w:rPr>
              <w:t>35</w:t>
            </w: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45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rPr>
            </w:pPr>
            <w:r>
              <w:rPr>
                <w:rFonts w:hint="eastAsia" w:eastAsia="Times New Roman" w:cs="宋体"/>
                <w:i/>
                <w:iCs/>
                <w:color w:val="FF0000"/>
                <w:sz w:val="22"/>
                <w:szCs w:val="22"/>
                <w:vertAlign w:val="baseline"/>
                <w:lang w:val="en-US" w:eastAsia="zh-CN"/>
              </w:rPr>
              <w:t>45</w:t>
            </w: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55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7</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default" w:ascii="宋体" w:hAnsi="宋体" w:eastAsia="宋体" w:cs="宋体"/>
                <w:i/>
                <w:iCs/>
                <w:color w:val="FF0000"/>
                <w:sz w:val="22"/>
                <w:szCs w:val="22"/>
                <w:vertAlign w:val="baseline"/>
                <w:lang w:val="en-US" w:eastAsia="zh-CN"/>
              </w:rPr>
            </w:pP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55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9</w:t>
            </w:r>
          </w:p>
        </w:tc>
      </w:tr>
    </w:tbl>
    <w:p>
      <w:pPr>
        <w:rPr>
          <w:rFonts w:hint="default" w:eastAsia="宋体"/>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说明所</w:t>
      </w:r>
      <w:r>
        <w:rPr>
          <w:rFonts w:hint="eastAsia"/>
          <w:color w:val="auto"/>
          <w:sz w:val="21"/>
          <w:szCs w:val="21"/>
          <w:lang w:val="en-US" w:eastAsia="zh-CN"/>
        </w:rPr>
        <w:t>采</w:t>
      </w:r>
      <w:r>
        <w:rPr>
          <w:rFonts w:hint="eastAsia"/>
          <w:color w:val="auto"/>
          <w:sz w:val="21"/>
          <w:szCs w:val="21"/>
        </w:rPr>
        <w:t>用的可控</w:t>
      </w:r>
      <w:r>
        <w:rPr>
          <w:rFonts w:hint="eastAsia"/>
          <w:color w:val="auto"/>
          <w:sz w:val="21"/>
          <w:szCs w:val="21"/>
          <w:lang w:val="en-US" w:eastAsia="zh-CN"/>
        </w:rPr>
        <w:t>遮阳</w:t>
      </w:r>
      <w:r>
        <w:rPr>
          <w:rFonts w:hint="eastAsia"/>
          <w:color w:val="auto"/>
          <w:sz w:val="21"/>
          <w:szCs w:val="21"/>
        </w:rPr>
        <w:t>调节</w:t>
      </w:r>
      <w:r>
        <w:rPr>
          <w:rFonts w:hint="eastAsia"/>
          <w:color w:val="auto"/>
          <w:sz w:val="21"/>
          <w:szCs w:val="21"/>
          <w:lang w:val="en-US" w:eastAsia="zh-CN"/>
        </w:rPr>
        <w:t>措施</w:t>
      </w:r>
      <w:r>
        <w:rPr>
          <w:rFonts w:hint="eastAsia"/>
          <w:color w:val="auto"/>
          <w:sz w:val="21"/>
          <w:szCs w:val="21"/>
        </w:rPr>
        <w:t>及应用位置</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可调</w:t>
      </w:r>
      <w:r>
        <w:rPr>
          <w:rFonts w:hint="eastAsia"/>
          <w:color w:val="auto"/>
          <w:sz w:val="28"/>
          <w:szCs w:val="28"/>
          <w:lang w:val="en-US" w:eastAsia="zh-CN"/>
        </w:rPr>
        <w:t>节遮</w:t>
      </w:r>
      <w:r>
        <w:rPr>
          <w:rFonts w:hint="eastAsia"/>
          <w:color w:val="auto"/>
          <w:sz w:val="28"/>
          <w:szCs w:val="28"/>
        </w:rPr>
        <w:t>阳设施的面积比例计算书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highlight w:val="none"/>
          <w:lang w:eastAsia="zh-CN"/>
        </w:rPr>
      </w:pPr>
      <w:r>
        <w:rPr>
          <w:rFonts w:hint="eastAsia" w:eastAsia="Times New Roman"/>
          <w:color w:val="auto"/>
          <w:sz w:val="28"/>
          <w:szCs w:val="28"/>
          <w:highlight w:val="none"/>
          <w:lang w:val="en-US" w:eastAsia="zh-CN"/>
        </w:rPr>
        <w:t>13</w:t>
      </w:r>
      <w:r>
        <w:rPr>
          <w:rFonts w:hint="eastAsia"/>
          <w:color w:val="auto"/>
          <w:sz w:val="28"/>
          <w:szCs w:val="28"/>
          <w:highlight w:val="none"/>
          <w:lang w:val="en-US" w:eastAsia="zh-CN"/>
        </w:rPr>
        <w:t>、</w:t>
      </w:r>
      <w:r>
        <w:rPr>
          <w:rFonts w:hint="eastAsia"/>
          <w:color w:val="auto"/>
          <w:sz w:val="28"/>
          <w:szCs w:val="28"/>
          <w:highlight w:val="none"/>
        </w:rPr>
        <w:t>建筑室内外公共区城满足全龄化设计要求</w:t>
      </w:r>
      <w:r>
        <w:rPr>
          <w:rFonts w:hint="eastAsia"/>
          <w:color w:val="auto"/>
          <w:sz w:val="28"/>
          <w:szCs w:val="28"/>
          <w:highlight w:val="none"/>
          <w:lang w:eastAsia="zh-CN"/>
        </w:rPr>
        <w:t>。</w:t>
      </w:r>
      <w:r>
        <w:rPr>
          <w:rFonts w:hint="eastAsia"/>
          <w:color w:val="auto"/>
          <w:sz w:val="21"/>
          <w:szCs w:val="21"/>
          <w:highlight w:val="none"/>
          <w:lang w:eastAsia="zh-CN"/>
        </w:rPr>
        <w:t>（</w:t>
      </w:r>
      <w:r>
        <w:rPr>
          <w:rFonts w:hint="eastAsia"/>
          <w:color w:val="auto"/>
          <w:sz w:val="21"/>
          <w:szCs w:val="21"/>
          <w:highlight w:val="none"/>
          <w:lang w:val="en-US" w:eastAsia="zh-CN"/>
        </w:rPr>
        <w:t>注：此条与景观专业联合作答。</w:t>
      </w:r>
      <w:r>
        <w:rPr>
          <w:rFonts w:hint="eastAsia"/>
          <w:color w:val="auto"/>
          <w:sz w:val="21"/>
          <w:szCs w:val="21"/>
          <w:highlight w:val="none"/>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条文分值</w:t>
            </w:r>
          </w:p>
        </w:tc>
        <w:tc>
          <w:tcPr>
            <w:tcW w:w="1449"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eastAsia="Times New Roman"/>
                <w:b w:val="0"/>
                <w:bCs w:val="0"/>
                <w:color w:val="auto"/>
                <w:highlight w:val="none"/>
                <w:vertAlign w:val="baseline"/>
                <w:lang w:val="en-US" w:eastAsia="zh-CN"/>
              </w:rPr>
              <w:t>8</w:t>
            </w:r>
          </w:p>
        </w:tc>
        <w:tc>
          <w:tcPr>
            <w:tcW w:w="1449" w:type="dxa"/>
            <w:noWrap w:val="0"/>
            <w:vAlign w:val="top"/>
          </w:tcPr>
          <w:p>
            <w:pPr>
              <w:numPr>
                <w:ilvl w:val="0"/>
                <w:numId w:val="0"/>
              </w:numPr>
              <w:rPr>
                <w:rFonts w:hint="default"/>
                <w:b w:val="0"/>
                <w:bCs w:val="0"/>
                <w:color w:val="auto"/>
                <w:highlight w:val="none"/>
                <w:vertAlign w:val="baseline"/>
                <w:lang w:val="en-US" w:eastAsia="zh-CN"/>
              </w:rPr>
            </w:pPr>
          </w:p>
        </w:tc>
      </w:tr>
    </w:tbl>
    <w:p>
      <w:pPr>
        <w:spacing w:line="360" w:lineRule="auto"/>
        <w:rPr>
          <w:rFonts w:hint="eastAsia"/>
          <w:i/>
          <w:iCs/>
          <w:color w:val="FF0000"/>
          <w:sz w:val="24"/>
          <w:szCs w:val="24"/>
          <w:highlight w:val="none"/>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highlight w:val="none"/>
          <w:lang w:eastAsia="zh-CN"/>
        </w:rPr>
        <w:t>建筑室内外公共区域满足全龄化设计要求，评价总分值为</w:t>
      </w:r>
      <w:r>
        <w:rPr>
          <w:rFonts w:hint="eastAsia" w:eastAsia="Times New Roman"/>
          <w:i/>
          <w:iCs/>
          <w:color w:val="FF0000"/>
          <w:sz w:val="24"/>
          <w:szCs w:val="24"/>
          <w:highlight w:val="none"/>
          <w:lang w:eastAsia="zh-CN"/>
        </w:rPr>
        <w:t>8</w:t>
      </w:r>
      <w:r>
        <w:rPr>
          <w:rFonts w:hint="eastAsia"/>
          <w:i/>
          <w:iCs/>
          <w:color w:val="FF0000"/>
          <w:sz w:val="24"/>
          <w:szCs w:val="24"/>
          <w:highlight w:val="none"/>
          <w:lang w:eastAsia="zh-CN"/>
        </w:rPr>
        <w:t>分，并按下列规则分别评分并累计：</w:t>
      </w:r>
    </w:p>
    <w:p>
      <w:pPr>
        <w:spacing w:line="360" w:lineRule="auto"/>
        <w:ind w:firstLine="480" w:firstLineChars="200"/>
        <w:rPr>
          <w:rFonts w:hint="eastAsia"/>
          <w:i/>
          <w:iCs/>
          <w:color w:val="FF0000"/>
          <w:sz w:val="24"/>
          <w:szCs w:val="24"/>
          <w:highlight w:val="none"/>
          <w:lang w:val="en-US" w:eastAsia="zh-CN"/>
        </w:rPr>
      </w:pPr>
      <w:r>
        <w:rPr>
          <w:rFonts w:hint="eastAsia" w:ascii="Calibri" w:eastAsia="Times New Roman"/>
          <w:i/>
          <w:iCs/>
          <w:color w:val="FF0000"/>
          <w:sz w:val="24"/>
          <w:szCs w:val="24"/>
          <w:highlight w:val="none"/>
          <w:lang w:val="en-US" w:eastAsia="zh-CN"/>
        </w:rPr>
        <w:t>1</w:t>
      </w:r>
      <w:r>
        <w:rPr>
          <w:rFonts w:hint="eastAsia" w:ascii="Calibri" w:eastAsia="Calibri"/>
          <w:i/>
          <w:iCs/>
          <w:color w:val="FF0000"/>
          <w:sz w:val="24"/>
          <w:szCs w:val="24"/>
          <w:highlight w:val="none"/>
          <w:lang w:val="en-US" w:eastAsia="zh-CN"/>
        </w:rPr>
        <w:t xml:space="preserve">  </w:t>
      </w:r>
      <w:r>
        <w:rPr>
          <w:rFonts w:hint="eastAsia"/>
          <w:i/>
          <w:iCs/>
          <w:color w:val="FF0000"/>
          <w:sz w:val="24"/>
          <w:szCs w:val="24"/>
          <w:highlight w:val="none"/>
        </w:rPr>
        <w:t>建筑室内公共区域</w:t>
      </w:r>
      <w:r>
        <w:rPr>
          <w:rFonts w:hint="eastAsia"/>
          <w:i/>
          <w:iCs/>
          <w:color w:val="FF0000"/>
          <w:sz w:val="24"/>
          <w:szCs w:val="24"/>
          <w:highlight w:val="none"/>
          <w:lang w:eastAsia="zh-CN"/>
        </w:rPr>
        <w:t>、</w:t>
      </w:r>
      <w:r>
        <w:rPr>
          <w:rFonts w:hint="eastAsia"/>
          <w:i/>
          <w:iCs/>
          <w:color w:val="FF0000"/>
          <w:sz w:val="24"/>
          <w:szCs w:val="24"/>
          <w:highlight w:val="none"/>
        </w:rPr>
        <w:t>室外公共活动场地及道路均满足</w:t>
      </w:r>
      <w:r>
        <w:rPr>
          <w:rFonts w:hint="eastAsia"/>
          <w:i/>
          <w:iCs/>
          <w:color w:val="FF0000"/>
          <w:sz w:val="24"/>
          <w:szCs w:val="24"/>
          <w:highlight w:val="none"/>
          <w:lang w:val="en-US" w:eastAsia="zh-CN"/>
        </w:rPr>
        <w:t>无障碍设计要求，得</w:t>
      </w:r>
      <w:r>
        <w:rPr>
          <w:rFonts w:hint="eastAsia" w:eastAsia="Times New Roman"/>
          <w:i/>
          <w:iCs/>
          <w:color w:val="FF0000"/>
          <w:sz w:val="24"/>
          <w:szCs w:val="24"/>
          <w:highlight w:val="none"/>
          <w:lang w:val="en-US" w:eastAsia="zh-CN"/>
        </w:rPr>
        <w:t>3</w:t>
      </w:r>
      <w:r>
        <w:rPr>
          <w:rFonts w:hint="eastAsia"/>
          <w:i/>
          <w:iCs/>
          <w:color w:val="FF0000"/>
          <w:sz w:val="24"/>
          <w:szCs w:val="24"/>
          <w:highlight w:val="none"/>
          <w:lang w:val="en-US" w:eastAsia="zh-CN"/>
        </w:rPr>
        <w:t>分；</w:t>
      </w:r>
    </w:p>
    <w:p>
      <w:pPr>
        <w:spacing w:line="360" w:lineRule="auto"/>
        <w:ind w:firstLine="480" w:firstLineChars="200"/>
        <w:rPr>
          <w:rFonts w:hint="eastAsia"/>
          <w:i/>
          <w:iCs/>
          <w:color w:val="FF0000"/>
          <w:sz w:val="24"/>
          <w:szCs w:val="24"/>
          <w:highlight w:val="none"/>
          <w:lang w:val="en-US" w:eastAsia="zh-CN"/>
        </w:rPr>
      </w:pPr>
      <w:r>
        <w:rPr>
          <w:rFonts w:hint="eastAsia" w:eastAsia="Times New Roman"/>
          <w:i/>
          <w:iCs/>
          <w:color w:val="FF0000"/>
          <w:sz w:val="24"/>
          <w:szCs w:val="24"/>
          <w:highlight w:val="none"/>
          <w:lang w:val="en-US" w:eastAsia="zh-CN"/>
        </w:rPr>
        <w:t>2</w:t>
      </w:r>
      <w:r>
        <w:rPr>
          <w:rFonts w:hint="eastAsia"/>
          <w:i/>
          <w:iCs/>
          <w:color w:val="FF0000"/>
          <w:sz w:val="24"/>
          <w:szCs w:val="24"/>
          <w:highlight w:val="none"/>
          <w:lang w:val="en-US" w:eastAsia="zh-CN"/>
        </w:rPr>
        <w:t xml:space="preserve">  建筑室内公共区域的墙、柱等处的阳角均为圆角，并设有安全抓杆或扶手，得</w:t>
      </w:r>
      <w:r>
        <w:rPr>
          <w:rFonts w:hint="eastAsia" w:eastAsia="Times New Roman"/>
          <w:i/>
          <w:iCs/>
          <w:color w:val="FF0000"/>
          <w:sz w:val="24"/>
          <w:szCs w:val="24"/>
          <w:highlight w:val="none"/>
          <w:lang w:val="en-US" w:eastAsia="zh-CN"/>
        </w:rPr>
        <w:t>3</w:t>
      </w:r>
      <w:r>
        <w:rPr>
          <w:rFonts w:hint="eastAsia"/>
          <w:i/>
          <w:iCs/>
          <w:color w:val="FF0000"/>
          <w:sz w:val="24"/>
          <w:szCs w:val="24"/>
          <w:highlight w:val="none"/>
          <w:lang w:val="en-US" w:eastAsia="zh-CN"/>
        </w:rPr>
        <w:t>分；</w:t>
      </w:r>
    </w:p>
    <w:p>
      <w:pPr>
        <w:spacing w:line="360" w:lineRule="auto"/>
        <w:ind w:firstLine="480" w:firstLineChars="200"/>
        <w:rPr>
          <w:rFonts w:hint="default" w:eastAsia="宋体"/>
          <w:i/>
          <w:iCs/>
          <w:color w:val="auto"/>
          <w:sz w:val="24"/>
          <w:szCs w:val="24"/>
          <w:highlight w:val="none"/>
          <w:lang w:val="en-US" w:eastAsia="zh-CN"/>
        </w:rPr>
      </w:pPr>
      <w:r>
        <w:rPr>
          <w:rFonts w:hint="eastAsia" w:eastAsia="Times New Roman"/>
          <w:i/>
          <w:iCs/>
          <w:color w:val="FF0000"/>
          <w:sz w:val="24"/>
          <w:szCs w:val="24"/>
          <w:highlight w:val="none"/>
          <w:lang w:val="en-US" w:eastAsia="zh-CN"/>
        </w:rPr>
        <w:t>3</w:t>
      </w:r>
      <w:r>
        <w:rPr>
          <w:rFonts w:hint="eastAsia"/>
          <w:i/>
          <w:iCs/>
          <w:color w:val="FF0000"/>
          <w:sz w:val="24"/>
          <w:szCs w:val="24"/>
          <w:highlight w:val="none"/>
          <w:lang w:val="en-US" w:eastAsia="zh-CN"/>
        </w:rPr>
        <w:t xml:space="preserve">  设有可容纳担架的无障碍电梯，得</w:t>
      </w:r>
      <w:r>
        <w:rPr>
          <w:rFonts w:hint="eastAsia" w:eastAsia="Times New Roman"/>
          <w:i/>
          <w:iCs/>
          <w:color w:val="FF0000"/>
          <w:sz w:val="24"/>
          <w:szCs w:val="24"/>
          <w:highlight w:val="none"/>
          <w:lang w:val="en-US" w:eastAsia="zh-CN"/>
        </w:rPr>
        <w:t>2</w:t>
      </w:r>
      <w:r>
        <w:rPr>
          <w:rFonts w:hint="eastAsia"/>
          <w:i/>
          <w:iCs/>
          <w:color w:val="FF0000"/>
          <w:sz w:val="24"/>
          <w:szCs w:val="24"/>
          <w:highlight w:val="none"/>
          <w:lang w:val="en-US" w:eastAsia="zh-CN"/>
        </w:rPr>
        <w:t>分。</w:t>
      </w:r>
    </w:p>
    <w:p>
      <w:pPr>
        <w:rPr>
          <w:rFonts w:hint="default"/>
          <w:color w:val="auto"/>
          <w:sz w:val="28"/>
          <w:szCs w:val="28"/>
          <w:u w:val="non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14</w:t>
      </w:r>
      <w:r>
        <w:rPr>
          <w:rFonts w:hint="eastAsia"/>
          <w:color w:val="auto"/>
          <w:sz w:val="28"/>
          <w:szCs w:val="28"/>
          <w:lang w:val="en-US" w:eastAsia="zh-CN"/>
        </w:rPr>
        <w:t>、</w:t>
      </w:r>
      <w:r>
        <w:rPr>
          <w:rFonts w:hint="eastAsia"/>
          <w:color w:val="auto"/>
          <w:sz w:val="28"/>
          <w:szCs w:val="28"/>
        </w:rPr>
        <w:t>合理设置健身场地和空间</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5</w:t>
      </w:r>
      <w:r>
        <w:rPr>
          <w:rFonts w:hint="eastAsia"/>
          <w:i/>
          <w:iCs/>
          <w:color w:val="FF0000"/>
          <w:sz w:val="24"/>
          <w:szCs w:val="24"/>
          <w:lang w:val="en-US" w:eastAsia="zh-CN"/>
        </w:rPr>
        <w:t xml:space="preserve">  </w:t>
      </w:r>
      <w:r>
        <w:rPr>
          <w:rFonts w:hint="eastAsia"/>
          <w:i/>
          <w:iCs/>
          <w:color w:val="FF0000"/>
          <w:sz w:val="24"/>
          <w:szCs w:val="24"/>
          <w:lang w:eastAsia="zh-CN"/>
        </w:rPr>
        <w:t>合理设置健身场地和空间，评价总分值为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分，并按下列规则分别评分并累计：</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室外健身场地面积不少于总用地面积的</w:t>
      </w:r>
      <w:r>
        <w:rPr>
          <w:rFonts w:hint="eastAsia" w:eastAsia="Times New Roman"/>
          <w:i/>
          <w:iCs/>
          <w:color w:val="FF0000"/>
          <w:sz w:val="24"/>
          <w:szCs w:val="24"/>
          <w:lang w:eastAsia="zh-CN"/>
        </w:rPr>
        <w:t>0</w:t>
      </w:r>
      <w:r>
        <w:rPr>
          <w:rFonts w:hint="eastAsia"/>
          <w:i/>
          <w:iCs/>
          <w:color w:val="FF0000"/>
          <w:sz w:val="24"/>
          <w:szCs w:val="24"/>
          <w:lang w:eastAsia="zh-CN"/>
        </w:rPr>
        <w:t>.</w:t>
      </w:r>
      <w:r>
        <w:rPr>
          <w:rFonts w:hint="eastAsia" w:eastAsia="Times New Roman"/>
          <w:i/>
          <w:iCs/>
          <w:color w:val="FF0000"/>
          <w:sz w:val="24"/>
          <w:szCs w:val="24"/>
          <w:lang w:eastAsia="zh-CN"/>
        </w:rPr>
        <w:t>5</w:t>
      </w:r>
      <w:r>
        <w:rPr>
          <w:rFonts w:hint="eastAsia"/>
          <w:i/>
          <w:iCs/>
          <w:color w:val="FF0000"/>
          <w:sz w:val="24"/>
          <w:szCs w:val="24"/>
          <w:lang w:eastAsia="zh-CN"/>
        </w:rPr>
        <w:t>%，得</w:t>
      </w:r>
      <w:r>
        <w:rPr>
          <w:rFonts w:hint="eastAsia" w:eastAsia="Times New Roman"/>
          <w:i/>
          <w:iCs/>
          <w:color w:val="FF0000"/>
          <w:sz w:val="24"/>
          <w:szCs w:val="24"/>
          <w:lang w:eastAsia="zh-CN"/>
        </w:rPr>
        <w:t>3</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设置宽度不少于</w:t>
      </w:r>
      <w:r>
        <w:rPr>
          <w:rFonts w:hint="eastAsia" w:eastAsia="Times New Roman"/>
          <w:i/>
          <w:iCs/>
          <w:color w:val="FF0000"/>
          <w:sz w:val="24"/>
          <w:szCs w:val="24"/>
          <w:lang w:eastAsia="zh-CN"/>
        </w:rPr>
        <w:t>1</w:t>
      </w:r>
      <w:r>
        <w:rPr>
          <w:rFonts w:hint="eastAsia"/>
          <w:i/>
          <w:iCs/>
          <w:color w:val="FF0000"/>
          <w:sz w:val="24"/>
          <w:szCs w:val="24"/>
          <w:lang w:eastAsia="zh-CN"/>
        </w:rPr>
        <w:t>.</w:t>
      </w:r>
      <w:r>
        <w:rPr>
          <w:rFonts w:hint="eastAsia" w:eastAsia="Times New Roman"/>
          <w:i/>
          <w:iCs/>
          <w:color w:val="FF0000"/>
          <w:sz w:val="24"/>
          <w:szCs w:val="24"/>
          <w:lang w:eastAsia="zh-CN"/>
        </w:rPr>
        <w:t>25</w:t>
      </w:r>
      <w:r>
        <w:rPr>
          <w:rFonts w:hint="eastAsia"/>
          <w:i/>
          <w:iCs/>
          <w:color w:val="FF0000"/>
          <w:sz w:val="24"/>
          <w:szCs w:val="24"/>
          <w:lang w:eastAsia="zh-CN"/>
        </w:rPr>
        <w:t>m的专用健身慢行道，健身慢行道长度不少于用地红线周长的</w:t>
      </w:r>
      <w:r>
        <w:rPr>
          <w:rFonts w:hint="eastAsia" w:eastAsia="Times New Roman"/>
          <w:i/>
          <w:iCs/>
          <w:color w:val="FF0000"/>
          <w:sz w:val="24"/>
          <w:szCs w:val="24"/>
          <w:lang w:eastAsia="zh-CN"/>
        </w:rPr>
        <w:t>1</w:t>
      </w:r>
      <w:r>
        <w:rPr>
          <w:rFonts w:hint="eastAsia"/>
          <w:i/>
          <w:iCs/>
          <w:color w:val="FF0000"/>
          <w:sz w:val="24"/>
          <w:szCs w:val="24"/>
          <w:lang w:eastAsia="zh-CN"/>
        </w:rPr>
        <w:t>/</w:t>
      </w:r>
      <w:r>
        <w:rPr>
          <w:rFonts w:hint="eastAsia" w:eastAsia="Times New Roman"/>
          <w:i/>
          <w:iCs/>
          <w:color w:val="FF0000"/>
          <w:sz w:val="24"/>
          <w:szCs w:val="24"/>
          <w:lang w:eastAsia="zh-CN"/>
        </w:rPr>
        <w:t>4</w:t>
      </w:r>
      <w:r>
        <w:rPr>
          <w:rFonts w:hint="eastAsia"/>
          <w:i/>
          <w:iCs/>
          <w:color w:val="FF0000"/>
          <w:sz w:val="24"/>
          <w:szCs w:val="24"/>
          <w:lang w:eastAsia="zh-CN"/>
        </w:rPr>
        <w:t>且不少于</w:t>
      </w:r>
      <w:r>
        <w:rPr>
          <w:rFonts w:hint="eastAsia" w:eastAsia="Times New Roman"/>
          <w:i/>
          <w:iCs/>
          <w:color w:val="FF0000"/>
          <w:sz w:val="24"/>
          <w:szCs w:val="24"/>
          <w:lang w:eastAsia="zh-CN"/>
        </w:rPr>
        <w:t>100</w:t>
      </w:r>
      <w:r>
        <w:rPr>
          <w:rFonts w:hint="eastAsia"/>
          <w:i/>
          <w:iCs/>
          <w:color w:val="FF0000"/>
          <w:sz w:val="24"/>
          <w:szCs w:val="24"/>
          <w:lang w:eastAsia="zh-CN"/>
        </w:rPr>
        <w:t>m，得</w:t>
      </w:r>
      <w:r>
        <w:rPr>
          <w:rFonts w:hint="eastAsia" w:eastAsia="Times New Roman"/>
          <w:i/>
          <w:iCs/>
          <w:color w:val="FF0000"/>
          <w:sz w:val="24"/>
          <w:szCs w:val="24"/>
          <w:lang w:eastAsia="zh-CN"/>
        </w:rPr>
        <w:t>2</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 xml:space="preserve">  </w:t>
      </w:r>
      <w:r>
        <w:rPr>
          <w:rFonts w:hint="eastAsia"/>
          <w:i/>
          <w:iCs/>
          <w:color w:val="FF0000"/>
          <w:sz w:val="24"/>
          <w:szCs w:val="24"/>
          <w:lang w:eastAsia="zh-CN"/>
        </w:rPr>
        <w:t>室内健身空间的面积不少于地上建筑面积的</w:t>
      </w:r>
      <w:r>
        <w:rPr>
          <w:rFonts w:hint="eastAsia" w:eastAsia="Times New Roman"/>
          <w:i/>
          <w:iCs/>
          <w:color w:val="FF0000"/>
          <w:sz w:val="24"/>
          <w:szCs w:val="24"/>
          <w:lang w:eastAsia="zh-CN"/>
        </w:rPr>
        <w:t>0</w:t>
      </w:r>
      <w:r>
        <w:rPr>
          <w:rFonts w:hint="eastAsia"/>
          <w:i/>
          <w:iCs/>
          <w:color w:val="FF0000"/>
          <w:sz w:val="24"/>
          <w:szCs w:val="24"/>
          <w:lang w:eastAsia="zh-CN"/>
        </w:rPr>
        <w:t>.</w:t>
      </w:r>
      <w:r>
        <w:rPr>
          <w:rFonts w:hint="eastAsia" w:eastAsia="Times New Roman"/>
          <w:i/>
          <w:iCs/>
          <w:color w:val="FF0000"/>
          <w:sz w:val="24"/>
          <w:szCs w:val="24"/>
          <w:lang w:eastAsia="zh-CN"/>
        </w:rPr>
        <w:t>3</w:t>
      </w:r>
      <w:r>
        <w:rPr>
          <w:rFonts w:hint="eastAsia"/>
          <w:i/>
          <w:iCs/>
          <w:color w:val="FF0000"/>
          <w:sz w:val="24"/>
          <w:szCs w:val="24"/>
          <w:lang w:eastAsia="zh-CN"/>
        </w:rPr>
        <w:t>%且不少于</w:t>
      </w:r>
      <w:r>
        <w:rPr>
          <w:rFonts w:hint="eastAsia" w:eastAsia="Times New Roman"/>
          <w:i/>
          <w:iCs/>
          <w:color w:val="FF0000"/>
          <w:sz w:val="24"/>
          <w:szCs w:val="24"/>
          <w:lang w:eastAsia="zh-CN"/>
        </w:rPr>
        <w:t>60</w:t>
      </w:r>
      <w:r>
        <w:rPr>
          <w:rFonts w:hint="eastAsia"/>
          <w:i/>
          <w:iCs/>
          <w:color w:val="FF0000"/>
          <w:sz w:val="24"/>
          <w:szCs w:val="24"/>
          <w:lang w:val="en-US" w:eastAsia="zh-CN"/>
        </w:rPr>
        <w:t>m</w:t>
      </w:r>
      <w:r>
        <w:rPr>
          <w:rFonts w:hint="eastAsia" w:eastAsia="Times New Roman"/>
          <w:i/>
          <w:iCs/>
          <w:color w:val="FF0000"/>
          <w:sz w:val="24"/>
          <w:szCs w:val="24"/>
          <w:vertAlign w:val="superscript"/>
          <w:lang w:val="en-US" w:eastAsia="zh-CN"/>
        </w:rPr>
        <w:t>2</w:t>
      </w:r>
      <w:r>
        <w:rPr>
          <w:rFonts w:hint="eastAsia"/>
          <w:i/>
          <w:iCs/>
          <w:color w:val="FF0000"/>
          <w:sz w:val="24"/>
          <w:szCs w:val="24"/>
          <w:lang w:eastAsia="zh-CN"/>
        </w:rPr>
        <w:t>，得</w:t>
      </w:r>
      <w:r>
        <w:rPr>
          <w:rFonts w:hint="eastAsia" w:eastAsia="Times New Roman"/>
          <w:i/>
          <w:iCs/>
          <w:color w:val="FF0000"/>
          <w:sz w:val="24"/>
          <w:szCs w:val="24"/>
          <w:lang w:eastAsia="zh-CN"/>
        </w:rPr>
        <w:t>3</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4</w:t>
      </w:r>
      <w:r>
        <w:rPr>
          <w:rFonts w:hint="eastAsia"/>
          <w:i/>
          <w:iCs/>
          <w:color w:val="FF0000"/>
          <w:sz w:val="24"/>
          <w:szCs w:val="24"/>
          <w:lang w:val="en-US" w:eastAsia="zh-CN"/>
        </w:rPr>
        <w:t xml:space="preserve">  </w:t>
      </w:r>
      <w:r>
        <w:rPr>
          <w:rFonts w:hint="eastAsia"/>
          <w:i/>
          <w:iCs/>
          <w:color w:val="FF0000"/>
          <w:sz w:val="24"/>
          <w:szCs w:val="24"/>
          <w:lang w:eastAsia="zh-CN"/>
        </w:rPr>
        <w:t>楼梯间具有天然采光和良好的视野，且距离主入口的距离不大于</w:t>
      </w:r>
      <w:r>
        <w:rPr>
          <w:rFonts w:hint="eastAsia" w:eastAsia="Times New Roman"/>
          <w:i/>
          <w:iCs/>
          <w:color w:val="FF0000"/>
          <w:sz w:val="24"/>
          <w:szCs w:val="24"/>
          <w:lang w:eastAsia="zh-CN"/>
        </w:rPr>
        <w:t>15</w:t>
      </w:r>
      <w:r>
        <w:rPr>
          <w:rFonts w:hint="eastAsia"/>
          <w:i/>
          <w:iCs/>
          <w:color w:val="FF0000"/>
          <w:sz w:val="24"/>
          <w:szCs w:val="24"/>
          <w:lang w:eastAsia="zh-CN"/>
        </w:rPr>
        <w:t>m，得</w:t>
      </w:r>
      <w:r>
        <w:rPr>
          <w:rFonts w:hint="eastAsia" w:eastAsia="Times New Roman"/>
          <w:i/>
          <w:iCs/>
          <w:color w:val="FF0000"/>
          <w:sz w:val="24"/>
          <w:szCs w:val="24"/>
          <w:lang w:eastAsia="zh-CN"/>
        </w:rPr>
        <w:t>2</w:t>
      </w:r>
      <w:r>
        <w:rPr>
          <w:rFonts w:hint="eastAsia"/>
          <w:i/>
          <w:iCs/>
          <w:color w:val="FF0000"/>
          <w:sz w:val="24"/>
          <w:szCs w:val="24"/>
          <w:lang w:eastAsia="zh-CN"/>
        </w:rPr>
        <w:t>分。</w:t>
      </w:r>
    </w:p>
    <w:p>
      <w:pPr>
        <w:rPr>
          <w:rFonts w:hint="default"/>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color w:val="auto"/>
          <w:sz w:val="28"/>
          <w:szCs w:val="28"/>
        </w:rPr>
        <w:t>合理开发利用地下空间</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合理开发利用地下空间，评价总分值为</w:t>
      </w:r>
      <w:r>
        <w:rPr>
          <w:rFonts w:hint="eastAsia" w:eastAsia="Times New Roman"/>
          <w:i/>
          <w:iCs/>
          <w:color w:val="FF0000"/>
          <w:sz w:val="24"/>
          <w:szCs w:val="24"/>
          <w:lang w:eastAsia="zh-CN"/>
        </w:rPr>
        <w:t>12</w:t>
      </w:r>
      <w:r>
        <w:rPr>
          <w:rFonts w:hint="eastAsia"/>
          <w:i/>
          <w:iCs/>
          <w:color w:val="FF0000"/>
          <w:sz w:val="24"/>
          <w:szCs w:val="24"/>
          <w:lang w:eastAsia="zh-CN"/>
        </w:rPr>
        <w:t>分，根据地下空间开发利用指标，按表</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eastAsia="zh-CN"/>
        </w:rPr>
        <w:t>的规则评分。</w:t>
      </w:r>
    </w:p>
    <w:p>
      <w:pPr>
        <w:jc w:val="center"/>
        <w:rPr>
          <w:rFonts w:hint="eastAsia"/>
          <w:b/>
          <w:bCs/>
          <w:i/>
          <w:iCs/>
          <w:color w:val="FF0000"/>
          <w:sz w:val="22"/>
          <w:szCs w:val="22"/>
        </w:rPr>
      </w:pPr>
      <w:r>
        <w:rPr>
          <w:rFonts w:hint="eastAsia"/>
          <w:b/>
          <w:bCs/>
          <w:i/>
          <w:iCs/>
          <w:color w:val="FF0000"/>
          <w:sz w:val="22"/>
          <w:szCs w:val="22"/>
        </w:rPr>
        <w:t>表</w:t>
      </w:r>
      <w:r>
        <w:rPr>
          <w:rFonts w:hint="eastAsia" w:eastAsia="Times New Roman"/>
          <w:b/>
          <w:bCs/>
          <w:i/>
          <w:iCs/>
          <w:color w:val="FF0000"/>
          <w:sz w:val="22"/>
          <w:szCs w:val="22"/>
        </w:rPr>
        <w:t>7</w:t>
      </w:r>
      <w:r>
        <w:rPr>
          <w:rFonts w:hint="eastAsia"/>
          <w:b/>
          <w:bCs/>
          <w:i/>
          <w:iCs/>
          <w:color w:val="FF0000"/>
          <w:sz w:val="22"/>
          <w:szCs w:val="22"/>
          <w:lang w:val="en-US" w:eastAsia="zh-CN"/>
        </w:rPr>
        <w:t>.</w:t>
      </w:r>
      <w:r>
        <w:rPr>
          <w:rFonts w:hint="eastAsia" w:eastAsia="Times New Roman"/>
          <w:b/>
          <w:bCs/>
          <w:i/>
          <w:iCs/>
          <w:color w:val="FF0000"/>
          <w:sz w:val="22"/>
          <w:szCs w:val="22"/>
        </w:rPr>
        <w:t>2</w:t>
      </w:r>
      <w:r>
        <w:rPr>
          <w:rFonts w:hint="eastAsia"/>
          <w:b/>
          <w:bCs/>
          <w:i/>
          <w:iCs/>
          <w:color w:val="FF0000"/>
          <w:sz w:val="22"/>
          <w:szCs w:val="22"/>
        </w:rPr>
        <w:t>.</w:t>
      </w:r>
      <w:r>
        <w:rPr>
          <w:rFonts w:hint="eastAsia" w:eastAsia="Times New Roman"/>
          <w:b/>
          <w:bCs/>
          <w:i/>
          <w:iCs/>
          <w:color w:val="FF0000"/>
          <w:sz w:val="22"/>
          <w:szCs w:val="22"/>
        </w:rPr>
        <w:t>2</w:t>
      </w:r>
      <w:r>
        <w:rPr>
          <w:rFonts w:hint="eastAsia"/>
          <w:b/>
          <w:bCs/>
          <w:i/>
          <w:iCs/>
          <w:color w:val="FF0000"/>
          <w:sz w:val="22"/>
          <w:szCs w:val="22"/>
        </w:rPr>
        <w:t>地下空间开发利用指标评分规则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806"/>
        <w:gridCol w:w="2866"/>
        <w:gridCol w:w="1591"/>
        <w:gridCol w:w="634"/>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806"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建筑类型</w:t>
            </w:r>
          </w:p>
        </w:tc>
        <w:tc>
          <w:tcPr>
            <w:tcW w:w="4457" w:type="dxa"/>
            <w:gridSpan w:val="2"/>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地下空间开发利用指标</w:t>
            </w:r>
          </w:p>
        </w:tc>
        <w:tc>
          <w:tcPr>
            <w:tcW w:w="634"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806" w:type="dxa"/>
            <w:vMerge w:val="restart"/>
            <w:tcBorders>
              <w:tl2br w:val="nil"/>
              <w:tr2bl w:val="nil"/>
            </w:tcBorders>
            <w:noWrap w:val="0"/>
            <w:vAlign w:val="center"/>
          </w:tcPr>
          <w:p>
            <w:pPr>
              <w:jc w:val="both"/>
              <w:rPr>
                <w:rFonts w:hint="eastAsia"/>
                <w:i/>
                <w:iCs/>
                <w:color w:val="FF0000"/>
                <w:sz w:val="18"/>
                <w:szCs w:val="18"/>
              </w:rPr>
            </w:pPr>
            <w:r>
              <w:rPr>
                <w:rFonts w:hint="eastAsia"/>
                <w:i/>
                <w:iCs/>
                <w:color w:val="FF0000"/>
                <w:sz w:val="18"/>
                <w:szCs w:val="18"/>
              </w:rPr>
              <w:t>住宅建筑</w:t>
            </w:r>
          </w:p>
        </w:tc>
        <w:tc>
          <w:tcPr>
            <w:tcW w:w="2866" w:type="dxa"/>
            <w:vMerge w:val="restart"/>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地下建筑面积与地上建筑面积的比率R</w:t>
            </w:r>
            <w:r>
              <w:rPr>
                <w:rFonts w:hint="eastAsia"/>
                <w:i/>
                <w:iCs/>
                <w:color w:val="FF0000"/>
                <w:sz w:val="18"/>
                <w:szCs w:val="18"/>
                <w:vertAlign w:val="subscript"/>
              </w:rPr>
              <w:t>r</w:t>
            </w:r>
            <w:r>
              <w:rPr>
                <w:rFonts w:hint="eastAsia"/>
                <w:i/>
                <w:iCs/>
                <w:color w:val="FF0000"/>
                <w:sz w:val="18"/>
                <w:szCs w:val="18"/>
              </w:rPr>
              <w:t>地下一层建筑面积与总用地面积的比率</w:t>
            </w:r>
            <w:r>
              <w:rPr>
                <w:rFonts w:hint="eastAsia"/>
                <w:i/>
                <w:iCs/>
                <w:color w:val="FF0000"/>
                <w:sz w:val="18"/>
                <w:szCs w:val="18"/>
                <w:lang w:val="en-US" w:eastAsia="zh-CN"/>
              </w:rPr>
              <w:t>R</w:t>
            </w:r>
            <w:r>
              <w:rPr>
                <w:rFonts w:hint="eastAsia"/>
                <w:i/>
                <w:iCs/>
                <w:color w:val="FF0000"/>
                <w:sz w:val="18"/>
                <w:szCs w:val="18"/>
                <w:vertAlign w:val="subscript"/>
                <w:lang w:val="en-US" w:eastAsia="zh-CN"/>
              </w:rPr>
              <w:t>p</w:t>
            </w: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eastAsia="Times New Roman"/>
                <w:i/>
                <w:iCs/>
                <w:color w:val="FF0000"/>
                <w:sz w:val="18"/>
                <w:szCs w:val="18"/>
                <w:lang w:val="en-US" w:eastAsia="zh-CN"/>
              </w:rPr>
              <w:t>5</w:t>
            </w:r>
            <w:r>
              <w:rPr>
                <w:rFonts w:hint="eastAsia"/>
                <w:i/>
                <w:iCs/>
                <w:color w:val="FF0000"/>
                <w:sz w:val="18"/>
                <w:szCs w:val="18"/>
                <w:lang w:val="en-US" w:eastAsia="zh-CN"/>
              </w:rPr>
              <w:t>%≤</w:t>
            </w:r>
            <w:r>
              <w:rPr>
                <w:rFonts w:hint="eastAsia"/>
                <w:i/>
                <w:iCs/>
                <w:color w:val="FF0000"/>
                <w:sz w:val="18"/>
                <w:szCs w:val="18"/>
              </w:rPr>
              <w:t>R</w:t>
            </w:r>
            <w:r>
              <w:rPr>
                <w:rFonts w:hint="eastAsia"/>
                <w:i/>
                <w:iCs/>
                <w:color w:val="FF0000"/>
                <w:sz w:val="18"/>
                <w:szCs w:val="18"/>
                <w:vertAlign w:val="subscript"/>
              </w:rPr>
              <w:t>r</w:t>
            </w:r>
            <w:r>
              <w:rPr>
                <w:rFonts w:hint="eastAsia"/>
                <w:i/>
                <w:iCs/>
                <w:color w:val="FF0000"/>
                <w:sz w:val="18"/>
                <w:szCs w:val="18"/>
                <w:lang w:val="en-US" w:eastAsia="zh-CN"/>
              </w:rPr>
              <w:t>＜</w:t>
            </w:r>
            <w:r>
              <w:rPr>
                <w:rFonts w:hint="eastAsia" w:eastAsia="Times New Roman"/>
                <w:i/>
                <w:iCs/>
                <w:color w:val="FF0000"/>
                <w:sz w:val="18"/>
                <w:szCs w:val="18"/>
                <w:lang w:val="en-US" w:eastAsia="zh-CN"/>
              </w:rPr>
              <w:t>20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R</w:t>
            </w:r>
            <w:r>
              <w:rPr>
                <w:rFonts w:hint="eastAsia"/>
                <w:i/>
                <w:iCs/>
                <w:color w:val="FF0000"/>
                <w:sz w:val="18"/>
                <w:szCs w:val="18"/>
                <w:vertAlign w:val="subscript"/>
              </w:rPr>
              <w:t>r</w:t>
            </w:r>
            <w:r>
              <w:rPr>
                <w:rFonts w:hint="eastAsia"/>
                <w:i/>
                <w:iCs/>
                <w:color w:val="FF0000"/>
                <w:sz w:val="18"/>
                <w:szCs w:val="18"/>
                <w:lang w:val="en-US" w:eastAsia="zh-CN"/>
              </w:rPr>
              <w:t>≥</w:t>
            </w:r>
            <w:r>
              <w:rPr>
                <w:rFonts w:hint="eastAsia" w:eastAsia="Times New Roman"/>
                <w:i/>
                <w:iCs/>
                <w:color w:val="FF0000"/>
                <w:sz w:val="18"/>
                <w:szCs w:val="18"/>
                <w:lang w:val="en-US" w:eastAsia="zh-CN"/>
              </w:rPr>
              <w:t>20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7</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R</w:t>
            </w:r>
            <w:r>
              <w:rPr>
                <w:rFonts w:hint="eastAsia"/>
                <w:i/>
                <w:iCs/>
                <w:color w:val="FF0000"/>
                <w:sz w:val="18"/>
                <w:szCs w:val="18"/>
                <w:vertAlign w:val="subscript"/>
              </w:rPr>
              <w:t>r</w:t>
            </w:r>
            <w:r>
              <w:rPr>
                <w:rFonts w:hint="eastAsia"/>
                <w:i/>
                <w:iCs/>
                <w:color w:val="FF0000"/>
                <w:sz w:val="18"/>
                <w:szCs w:val="18"/>
                <w:lang w:val="en-US" w:eastAsia="zh-CN"/>
              </w:rPr>
              <w:t>≥</w:t>
            </w:r>
            <w:r>
              <w:rPr>
                <w:rFonts w:hint="eastAsia" w:eastAsia="Times New Roman"/>
                <w:i/>
                <w:iCs/>
                <w:color w:val="FF0000"/>
                <w:sz w:val="18"/>
                <w:szCs w:val="18"/>
                <w:lang w:val="en-US" w:eastAsia="zh-CN"/>
              </w:rPr>
              <w:t>35</w:t>
            </w:r>
            <w:r>
              <w:rPr>
                <w:rFonts w:hint="eastAsia"/>
                <w:i/>
                <w:iCs/>
                <w:color w:val="FF0000"/>
                <w:sz w:val="18"/>
                <w:szCs w:val="18"/>
                <w:lang w:val="en-US" w:eastAsia="zh-CN"/>
              </w:rPr>
              <w:t>%且R</w:t>
            </w:r>
            <w:r>
              <w:rPr>
                <w:rFonts w:hint="eastAsia"/>
                <w:i/>
                <w:iCs/>
                <w:color w:val="FF0000"/>
                <w:sz w:val="18"/>
                <w:szCs w:val="18"/>
                <w:vertAlign w:val="subscript"/>
                <w:lang w:val="en-US" w:eastAsia="zh-CN"/>
              </w:rPr>
              <w:t>p</w:t>
            </w:r>
            <w:r>
              <w:rPr>
                <w:rFonts w:hint="eastAsia"/>
                <w:i/>
                <w:iCs/>
                <w:color w:val="FF0000"/>
                <w:sz w:val="18"/>
                <w:szCs w:val="18"/>
                <w:lang w:val="en-US" w:eastAsia="zh-CN"/>
              </w:rPr>
              <w:t>＜</w:t>
            </w:r>
            <w:r>
              <w:rPr>
                <w:rFonts w:hint="eastAsia" w:eastAsia="Times New Roman"/>
                <w:i/>
                <w:iCs/>
                <w:color w:val="FF0000"/>
                <w:sz w:val="18"/>
                <w:szCs w:val="18"/>
                <w:lang w:val="en-US" w:eastAsia="zh-CN"/>
              </w:rPr>
              <w:t>60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806" w:type="dxa"/>
            <w:vMerge w:val="restart"/>
            <w:tcBorders>
              <w:tl2br w:val="nil"/>
              <w:tr2bl w:val="nil"/>
            </w:tcBorders>
            <w:noWrap w:val="0"/>
            <w:vAlign w:val="center"/>
          </w:tcPr>
          <w:p>
            <w:pPr>
              <w:jc w:val="both"/>
              <w:rPr>
                <w:rFonts w:hint="eastAsia"/>
                <w:i/>
                <w:iCs/>
                <w:color w:val="FF0000"/>
                <w:sz w:val="18"/>
                <w:szCs w:val="18"/>
              </w:rPr>
            </w:pPr>
            <w:r>
              <w:rPr>
                <w:rFonts w:hint="eastAsia"/>
                <w:i/>
                <w:iCs/>
                <w:color w:val="FF0000"/>
                <w:sz w:val="18"/>
                <w:szCs w:val="18"/>
              </w:rPr>
              <w:t>公共建筑</w:t>
            </w:r>
          </w:p>
        </w:tc>
        <w:tc>
          <w:tcPr>
            <w:tcW w:w="286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地下建筑面积与总用地面积之比R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rPr>
              <w:t>地下一层建筑面积与总用地面积的比率R</w:t>
            </w:r>
            <w:r>
              <w:rPr>
                <w:rFonts w:hint="eastAsia"/>
                <w:i/>
                <w:iCs/>
                <w:color w:val="FF0000"/>
                <w:sz w:val="18"/>
                <w:szCs w:val="18"/>
                <w:vertAlign w:val="subscript"/>
              </w:rPr>
              <w:t>p</w:t>
            </w: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7</w:t>
            </w:r>
            <w:r>
              <w:rPr>
                <w:rFonts w:hint="eastAsia"/>
                <w:i/>
                <w:iCs/>
                <w:color w:val="FF0000"/>
                <w:sz w:val="18"/>
                <w:szCs w:val="18"/>
                <w:lang w:val="en-US" w:eastAsia="zh-CN"/>
              </w:rPr>
              <w:t>且R</w:t>
            </w:r>
            <w:r>
              <w:rPr>
                <w:rFonts w:hint="eastAsia"/>
                <w:i/>
                <w:iCs/>
                <w:color w:val="FF0000"/>
                <w:sz w:val="18"/>
                <w:szCs w:val="18"/>
                <w:vertAlign w:val="subscript"/>
                <w:lang w:val="en-US" w:eastAsia="zh-CN"/>
              </w:rPr>
              <w:t>p</w:t>
            </w:r>
            <w:r>
              <w:rPr>
                <w:rFonts w:hint="eastAsia"/>
                <w:i/>
                <w:iCs/>
                <w:color w:val="FF0000"/>
                <w:sz w:val="18"/>
                <w:szCs w:val="18"/>
                <w:lang w:val="en-US" w:eastAsia="zh-CN"/>
              </w:rPr>
              <w:t>＜</w:t>
            </w:r>
            <w:r>
              <w:rPr>
                <w:rFonts w:hint="eastAsia" w:eastAsia="Times New Roman"/>
                <w:i/>
                <w:iCs/>
                <w:color w:val="FF0000"/>
                <w:sz w:val="18"/>
                <w:szCs w:val="18"/>
                <w:lang w:val="en-US" w:eastAsia="zh-CN"/>
              </w:rPr>
              <w:t>70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7</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0"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且R</w:t>
            </w:r>
            <w:r>
              <w:rPr>
                <w:rFonts w:hint="eastAsia"/>
                <w:i/>
                <w:iCs/>
                <w:color w:val="FF0000"/>
                <w:sz w:val="18"/>
                <w:szCs w:val="18"/>
                <w:vertAlign w:val="subscript"/>
                <w:lang w:val="en-US" w:eastAsia="zh-CN"/>
              </w:rPr>
              <w:t>p</w:t>
            </w:r>
            <w:r>
              <w:rPr>
                <w:rFonts w:hint="eastAsia"/>
                <w:i/>
                <w:iCs/>
                <w:color w:val="FF0000"/>
                <w:sz w:val="18"/>
                <w:szCs w:val="18"/>
                <w:lang w:val="en-US" w:eastAsia="zh-CN"/>
              </w:rPr>
              <w:t>＜</w:t>
            </w:r>
            <w:r>
              <w:rPr>
                <w:rFonts w:hint="eastAsia" w:eastAsia="Times New Roman"/>
                <w:i/>
                <w:iCs/>
                <w:color w:val="FF0000"/>
                <w:sz w:val="18"/>
                <w:szCs w:val="18"/>
                <w:lang w:val="en-US" w:eastAsia="zh-CN"/>
              </w:rPr>
              <w:t>60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12</w:t>
            </w:r>
          </w:p>
        </w:tc>
      </w:tr>
    </w:tbl>
    <w:p>
      <w:pPr>
        <w:rPr>
          <w:rFonts w:hint="eastAsia"/>
          <w:color w:val="auto"/>
          <w:sz w:val="21"/>
          <w:szCs w:val="21"/>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说明地下</w:t>
      </w:r>
      <w:r>
        <w:rPr>
          <w:rFonts w:hint="eastAsia"/>
          <w:color w:val="auto"/>
          <w:sz w:val="21"/>
          <w:szCs w:val="21"/>
          <w:lang w:val="en-US" w:eastAsia="zh-CN"/>
        </w:rPr>
        <w:t>空间</w:t>
      </w:r>
      <w:r>
        <w:rPr>
          <w:rFonts w:hint="eastAsia"/>
          <w:color w:val="auto"/>
          <w:sz w:val="21"/>
          <w:szCs w:val="21"/>
        </w:rPr>
        <w:t>开发利用情况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地下空间利用计算书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16</w:t>
      </w:r>
      <w:r>
        <w:rPr>
          <w:rFonts w:hint="eastAsia"/>
          <w:color w:val="auto"/>
          <w:sz w:val="28"/>
          <w:szCs w:val="28"/>
          <w:lang w:val="en-US" w:eastAsia="zh-CN"/>
        </w:rPr>
        <w:t>、</w:t>
      </w:r>
      <w:r>
        <w:rPr>
          <w:rFonts w:hint="eastAsia"/>
          <w:color w:val="auto"/>
          <w:sz w:val="28"/>
          <w:szCs w:val="28"/>
        </w:rPr>
        <w:t>采用</w:t>
      </w:r>
      <w:r>
        <w:rPr>
          <w:rFonts w:hint="eastAsia"/>
          <w:color w:val="auto"/>
          <w:sz w:val="28"/>
          <w:szCs w:val="28"/>
          <w:lang w:val="en-US" w:eastAsia="zh-CN"/>
        </w:rPr>
        <w:t>机械式</w:t>
      </w:r>
      <w:r>
        <w:rPr>
          <w:rFonts w:hint="eastAsia"/>
          <w:color w:val="auto"/>
          <w:sz w:val="28"/>
          <w:szCs w:val="28"/>
        </w:rPr>
        <w:t>停车设施、</w:t>
      </w:r>
      <w:r>
        <w:rPr>
          <w:rFonts w:hint="eastAsia"/>
          <w:color w:val="auto"/>
          <w:sz w:val="28"/>
          <w:szCs w:val="28"/>
          <w:lang w:val="en-US" w:eastAsia="zh-CN"/>
        </w:rPr>
        <w:t>地下</w:t>
      </w:r>
      <w:r>
        <w:rPr>
          <w:rFonts w:hint="eastAsia"/>
          <w:color w:val="auto"/>
          <w:sz w:val="28"/>
          <w:szCs w:val="28"/>
        </w:rPr>
        <w:t>停车库或地面停车楼等方式</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3</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釆用机械式停车设施，地下停车库或地面停车楼等方式，评价总分值为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住宅建筑地面停车位数量与住宅总套数的比率小于</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公共建筑地面停车占地面积与其总建设用地面积的比率小于</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eastAsia="宋体"/>
          <w:color w:val="auto"/>
          <w:sz w:val="28"/>
          <w:szCs w:val="28"/>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说明项目停车方式及建设情况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lang w:eastAsia="zh-CN"/>
        </w:rPr>
        <w:t>证明材料：□设计图纸（</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17</w:t>
      </w:r>
      <w:r>
        <w:rPr>
          <w:rFonts w:hint="eastAsia"/>
          <w:color w:val="auto"/>
          <w:sz w:val="28"/>
          <w:szCs w:val="28"/>
          <w:lang w:val="en-US" w:eastAsia="zh-CN"/>
        </w:rPr>
        <w:t>、</w:t>
      </w:r>
      <w:r>
        <w:rPr>
          <w:rFonts w:hint="eastAsia"/>
          <w:color w:val="auto"/>
          <w:sz w:val="28"/>
          <w:szCs w:val="28"/>
        </w:rPr>
        <w:t>优化建筑围护结构的热工性能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优化建筑围护结构的热工性能，评价总分值为</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分，并按下列规则评分：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围护结构热工性能比国家现行相关建筑节能设计标准规定的提高幅度达到</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建筑供暖空调负荷降低</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分；降低</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分；降低</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分。</w:t>
      </w:r>
    </w:p>
    <w:p>
      <w:pPr>
        <w:rPr>
          <w:rFonts w:hint="default"/>
          <w:color w:val="auto"/>
          <w:sz w:val="28"/>
          <w:szCs w:val="28"/>
          <w:u w:val="non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节能计算书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numPr>
          <w:ilvl w:val="0"/>
          <w:numId w:val="0"/>
        </w:numPr>
        <w:rPr>
          <w:rFonts w:hint="eastAsia"/>
          <w:color w:val="auto"/>
          <w:sz w:val="28"/>
          <w:szCs w:val="28"/>
          <w:lang w:eastAsia="zh-CN"/>
        </w:rPr>
      </w:pPr>
      <w:r>
        <w:rPr>
          <w:rFonts w:hint="eastAsia" w:eastAsia="Times New Roman"/>
          <w:color w:val="auto"/>
          <w:sz w:val="28"/>
          <w:szCs w:val="28"/>
          <w:lang w:val="en-US" w:eastAsia="zh-CN"/>
        </w:rPr>
        <w:t>18</w:t>
      </w:r>
      <w:r>
        <w:rPr>
          <w:rFonts w:hint="eastAsia"/>
          <w:color w:val="auto"/>
          <w:sz w:val="28"/>
          <w:szCs w:val="28"/>
          <w:lang w:val="en-US" w:eastAsia="zh-CN"/>
        </w:rPr>
        <w:t>、</w:t>
      </w:r>
      <w:r>
        <w:rPr>
          <w:rFonts w:hint="eastAsia"/>
          <w:color w:val="auto"/>
          <w:sz w:val="28"/>
          <w:szCs w:val="28"/>
        </w:rPr>
        <w:t>建筑所有区域实施土建工程与装修工程一体化设计及施工</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numPr>
          <w:ilvl w:val="0"/>
          <w:numId w:val="0"/>
        </w:num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14</w:t>
      </w:r>
      <w:r>
        <w:rPr>
          <w:rFonts w:hint="eastAsia"/>
          <w:i/>
          <w:iCs/>
          <w:color w:val="FF0000"/>
          <w:sz w:val="24"/>
          <w:szCs w:val="24"/>
          <w:lang w:val="en-US" w:eastAsia="zh-CN"/>
        </w:rPr>
        <w:t xml:space="preserve">  </w:t>
      </w:r>
      <w:r>
        <w:rPr>
          <w:rFonts w:hint="eastAsia"/>
          <w:i/>
          <w:iCs/>
          <w:color w:val="FF0000"/>
          <w:sz w:val="24"/>
          <w:szCs w:val="24"/>
          <w:lang w:eastAsia="zh-CN"/>
        </w:rPr>
        <w:t>建筑所有区域实施土建工程与装修工程一体化设计及施工，评价分值为</w:t>
      </w:r>
      <w:r>
        <w:rPr>
          <w:rFonts w:hint="eastAsia" w:eastAsia="Times New Roman"/>
          <w:i/>
          <w:iCs/>
          <w:color w:val="FF0000"/>
          <w:sz w:val="24"/>
          <w:szCs w:val="24"/>
          <w:lang w:eastAsia="zh-CN"/>
        </w:rPr>
        <w:t>8</w:t>
      </w:r>
      <w:r>
        <w:rPr>
          <w:rFonts w:hint="eastAsia"/>
          <w:i/>
          <w:iCs/>
          <w:color w:val="FF0000"/>
          <w:sz w:val="24"/>
          <w:szCs w:val="24"/>
          <w:lang w:eastAsia="zh-CN"/>
        </w:rPr>
        <w:t>分。</w:t>
      </w:r>
    </w:p>
    <w:p>
      <w:pPr>
        <w:numPr>
          <w:ilvl w:val="0"/>
          <w:numId w:val="0"/>
        </w:numPr>
        <w:rPr>
          <w:rFonts w:hint="default"/>
          <w:color w:val="auto"/>
          <w:sz w:val="28"/>
          <w:szCs w:val="28"/>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说明土建和装修一体化的设计、施工情况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numPr>
          <w:ilvl w:val="0"/>
          <w:numId w:val="0"/>
        </w:num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w:t>
      </w:r>
      <w:r>
        <w:rPr>
          <w:rFonts w:hint="eastAsia"/>
          <w:color w:val="auto"/>
          <w:sz w:val="28"/>
          <w:szCs w:val="28"/>
          <w:lang w:val="en-US" w:eastAsia="zh-CN"/>
        </w:rPr>
        <w:t>承诺函</w:t>
      </w:r>
    </w:p>
    <w:p>
      <w:pPr>
        <w:rPr>
          <w:rFonts w:hint="eastAsia"/>
          <w:color w:val="auto"/>
          <w:sz w:val="28"/>
          <w:szCs w:val="28"/>
          <w:lang w:eastAsia="zh-CN"/>
        </w:rPr>
      </w:pPr>
      <w:r>
        <w:rPr>
          <w:rFonts w:hint="eastAsia" w:eastAsia="Times New Roman"/>
          <w:color w:val="auto"/>
          <w:sz w:val="28"/>
          <w:szCs w:val="28"/>
          <w:lang w:val="en-US" w:eastAsia="zh-CN"/>
        </w:rPr>
        <w:t>19</w:t>
      </w:r>
      <w:r>
        <w:rPr>
          <w:rFonts w:hint="eastAsia"/>
          <w:color w:val="auto"/>
          <w:sz w:val="28"/>
          <w:szCs w:val="28"/>
          <w:lang w:val="en-US" w:eastAsia="zh-CN"/>
        </w:rPr>
        <w:t>、</w:t>
      </w:r>
      <w:r>
        <w:rPr>
          <w:rFonts w:hint="eastAsia"/>
          <w:color w:val="auto"/>
          <w:sz w:val="28"/>
          <w:szCs w:val="28"/>
        </w:rPr>
        <w:t>建筑装修选用工业化内装部品</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建筑装修选用工业化内装部品，评价总分值为</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分。建筑装修选用工业化内装部品占同类部品用量比例达到</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%以上的部品种类，达到</w:t>
      </w: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种，得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种，得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种以上，得</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分。</w:t>
      </w:r>
    </w:p>
    <w:p>
      <w:pPr>
        <w:rPr>
          <w:rFonts w:hint="default" w:eastAsia="宋体"/>
          <w:color w:val="auto"/>
          <w:sz w:val="21"/>
          <w:szCs w:val="21"/>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w:t>
      </w:r>
      <w:r>
        <w:rPr>
          <w:rFonts w:hint="eastAsia"/>
          <w:color w:val="auto"/>
          <w:sz w:val="21"/>
          <w:szCs w:val="21"/>
          <w:lang w:val="en-US" w:eastAsia="zh-CN"/>
        </w:rPr>
        <w:t>目</w:t>
      </w:r>
      <w:r>
        <w:rPr>
          <w:rFonts w:hint="eastAsia"/>
          <w:color w:val="auto"/>
          <w:sz w:val="21"/>
          <w:szCs w:val="21"/>
        </w:rPr>
        <w:t>装修采用工业化内装部品的情况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工业化内装部品用量比例计算书</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紙</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w:t>
      </w:r>
      <w:r>
        <w:rPr>
          <w:rFonts w:hint="eastAsia"/>
          <w:color w:val="auto"/>
          <w:sz w:val="28"/>
          <w:szCs w:val="28"/>
          <w:lang w:val="en-US" w:eastAsia="zh-CN"/>
        </w:rPr>
        <w:t>承诺函</w:t>
      </w:r>
    </w:p>
    <w:p>
      <w:pPr>
        <w:rPr>
          <w:rFonts w:hint="eastAsia"/>
          <w:color w:val="auto"/>
          <w:sz w:val="28"/>
          <w:szCs w:val="28"/>
          <w:lang w:eastAsia="zh-CN"/>
        </w:rPr>
      </w:pPr>
      <w:r>
        <w:rPr>
          <w:rFonts w:hint="eastAsia" w:eastAsia="Times New Roman"/>
          <w:color w:val="auto"/>
          <w:sz w:val="28"/>
          <w:szCs w:val="28"/>
          <w:lang w:val="en-US" w:eastAsia="zh-CN"/>
        </w:rPr>
        <w:t>20</w:t>
      </w:r>
      <w:r>
        <w:rPr>
          <w:rFonts w:hint="eastAsia"/>
          <w:color w:val="auto"/>
          <w:sz w:val="28"/>
          <w:szCs w:val="28"/>
          <w:lang w:val="en-US" w:eastAsia="zh-CN"/>
        </w:rPr>
        <w:t>、</w:t>
      </w:r>
      <w:r>
        <w:rPr>
          <w:rFonts w:hint="eastAsia"/>
          <w:color w:val="auto"/>
          <w:sz w:val="28"/>
          <w:szCs w:val="28"/>
        </w:rPr>
        <w:t>选用可再循环材料、可再利用材料及利废建材</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选用可再循环材料</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可再利用材料及利废建材，评价总分值为</w:t>
      </w:r>
      <w:r>
        <w:rPr>
          <w:rFonts w:hint="eastAsia" w:ascii="宋体" w:hAnsi="宋体" w:eastAsia="Times New Roman" w:cs="宋体"/>
          <w:i/>
          <w:iCs/>
          <w:color w:val="FF0000"/>
          <w:sz w:val="24"/>
          <w:szCs w:val="24"/>
          <w:lang w:val="en-US" w:eastAsia="zh-CN"/>
        </w:rPr>
        <w:t>12</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可再循环材料和可再利用材料用量比例，按下列规则评分：</w:t>
      </w:r>
    </w:p>
    <w:p>
      <w:pPr>
        <w:spacing w:line="360" w:lineRule="auto"/>
        <w:ind w:firstLine="720" w:firstLineChars="3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）住宅建筑达到</w:t>
      </w:r>
      <w:r>
        <w:rPr>
          <w:rFonts w:hint="eastAsia" w:ascii="宋体" w:hAnsi="宋体" w:eastAsia="Times New Roman" w:cs="宋体"/>
          <w:i/>
          <w:iCs/>
          <w:color w:val="FF0000"/>
          <w:sz w:val="24"/>
          <w:szCs w:val="24"/>
          <w:lang w:val="en-US" w:eastAsia="zh-CN"/>
        </w:rPr>
        <w:t>6</w:t>
      </w:r>
      <w:r>
        <w:rPr>
          <w:rFonts w:hint="eastAsia" w:ascii="宋体" w:hAnsi="宋体" w:eastAsia="宋体" w:cs="宋体"/>
          <w:i/>
          <w:iCs/>
          <w:color w:val="FF0000"/>
          <w:sz w:val="24"/>
          <w:szCs w:val="24"/>
          <w:lang w:val="en-US" w:eastAsia="zh-CN"/>
        </w:rPr>
        <w:t>%或公共建筑达到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720" w:firstLineChars="3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）住宅建筑达到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%或公共建筑达到</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6</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利废建材选用及其用量比例，按下列规则评分：</w:t>
      </w:r>
    </w:p>
    <w:p>
      <w:pPr>
        <w:spacing w:line="360" w:lineRule="auto"/>
        <w:ind w:firstLine="720" w:firstLineChars="3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）采用一种利废建材，其占同类建材的用量比例不低于</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left="479" w:leftChars="228" w:firstLine="240" w:firstLineChars="1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）选用两种及以上的利废建材，每一种占同类建材的用量比例均不低于</w:t>
      </w:r>
      <w:r>
        <w:rPr>
          <w:rFonts w:hint="eastAsia" w:ascii="宋体" w:hAnsi="宋体" w:eastAsia="Times New Roman" w:cs="宋体"/>
          <w:i/>
          <w:iCs/>
          <w:color w:val="FF0000"/>
          <w:sz w:val="24"/>
          <w:szCs w:val="24"/>
          <w:lang w:val="en-US" w:eastAsia="zh-CN"/>
        </w:rPr>
        <w:t>30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6</w:t>
      </w:r>
      <w:r>
        <w:rPr>
          <w:rFonts w:hint="eastAsia" w:ascii="宋体" w:hAnsi="宋体" w:eastAsia="宋体" w:cs="宋体"/>
          <w:i/>
          <w:iCs/>
          <w:color w:val="FF0000"/>
          <w:sz w:val="24"/>
          <w:szCs w:val="24"/>
          <w:lang w:val="en-US" w:eastAsia="zh-CN"/>
        </w:rPr>
        <w:t>分。</w:t>
      </w:r>
    </w:p>
    <w:p>
      <w:pPr>
        <w:rPr>
          <w:rFonts w:hint="default" w:eastAsia="宋体"/>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说明可再循环材料和可再利用材料、利废建材的使用情况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可再</w:t>
      </w:r>
      <w:r>
        <w:rPr>
          <w:rFonts w:hint="eastAsia"/>
          <w:color w:val="auto"/>
          <w:sz w:val="28"/>
          <w:szCs w:val="28"/>
          <w:lang w:val="en-US" w:eastAsia="zh-CN"/>
        </w:rPr>
        <w:t>循</w:t>
      </w:r>
      <w:r>
        <w:rPr>
          <w:rFonts w:hint="eastAsia"/>
          <w:color w:val="auto"/>
          <w:sz w:val="28"/>
          <w:szCs w:val="28"/>
        </w:rPr>
        <w:t>环和可再利用材料用量计算</w:t>
      </w:r>
      <w:r>
        <w:rPr>
          <w:rFonts w:hint="eastAsia"/>
          <w:color w:val="auto"/>
          <w:sz w:val="28"/>
          <w:szCs w:val="28"/>
          <w:lang w:val="en-US" w:eastAsia="zh-CN"/>
        </w:rPr>
        <w:t>书</w:t>
      </w:r>
      <w:r>
        <w:rPr>
          <w:rFonts w:hint="eastAsia"/>
          <w:color w:val="auto"/>
          <w:sz w:val="28"/>
          <w:szCs w:val="28"/>
          <w:lang w:eastAsia="zh-CN"/>
        </w:rPr>
        <w:t>；□</w:t>
      </w:r>
      <w:r>
        <w:rPr>
          <w:rFonts w:hint="eastAsia"/>
          <w:color w:val="auto"/>
          <w:sz w:val="28"/>
          <w:szCs w:val="28"/>
        </w:rPr>
        <w:t>利</w:t>
      </w:r>
      <w:r>
        <w:rPr>
          <w:rFonts w:hint="eastAsia"/>
          <w:color w:val="auto"/>
          <w:sz w:val="28"/>
          <w:szCs w:val="28"/>
          <w:lang w:val="en-US" w:eastAsia="zh-CN"/>
        </w:rPr>
        <w:t>废</w:t>
      </w:r>
      <w:r>
        <w:rPr>
          <w:rFonts w:hint="eastAsia"/>
          <w:color w:val="auto"/>
          <w:sz w:val="28"/>
          <w:szCs w:val="28"/>
        </w:rPr>
        <w:t>建材使用量计算</w:t>
      </w:r>
      <w:r>
        <w:rPr>
          <w:rFonts w:hint="eastAsia"/>
          <w:color w:val="auto"/>
          <w:sz w:val="28"/>
          <w:szCs w:val="28"/>
          <w:lang w:val="en-US" w:eastAsia="zh-CN"/>
        </w:rPr>
        <w:t>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rPr>
      </w:pPr>
      <w:r>
        <w:rPr>
          <w:rFonts w:hint="eastAsia" w:eastAsia="Times New Roman"/>
          <w:color w:val="auto"/>
          <w:sz w:val="28"/>
          <w:szCs w:val="28"/>
          <w:lang w:val="en-US" w:eastAsia="zh-CN"/>
        </w:rPr>
        <w:t>21</w:t>
      </w:r>
      <w:r>
        <w:rPr>
          <w:rFonts w:hint="eastAsia"/>
          <w:color w:val="auto"/>
          <w:sz w:val="28"/>
          <w:szCs w:val="28"/>
          <w:lang w:val="en-US" w:eastAsia="zh-CN"/>
        </w:rPr>
        <w:t>、</w:t>
      </w:r>
      <w:r>
        <w:rPr>
          <w:rFonts w:hint="eastAsia"/>
          <w:color w:val="auto"/>
          <w:sz w:val="28"/>
          <w:szCs w:val="28"/>
        </w:rPr>
        <w:t>选用绿色建材</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18</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选用绿色建材，评价总分值为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分。绿色建材应用比例不低于</w:t>
      </w:r>
      <w:r>
        <w:rPr>
          <w:rFonts w:hint="eastAsia" w:ascii="宋体" w:hAnsi="宋体" w:eastAsia="Times New Roman" w:cs="宋体"/>
          <w:i/>
          <w:iCs/>
          <w:color w:val="FF0000"/>
          <w:sz w:val="24"/>
          <w:szCs w:val="24"/>
          <w:lang w:eastAsia="zh-CN"/>
        </w:rPr>
        <w:t>30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70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w:t>
      </w:r>
    </w:p>
    <w:p>
      <w:pPr>
        <w:rPr>
          <w:rFonts w:hint="default" w:eastAsia="宋体"/>
          <w:color w:val="auto"/>
          <w:sz w:val="28"/>
          <w:szCs w:val="28"/>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说明本项目绿色建材的应用</w:t>
      </w:r>
      <w:r>
        <w:rPr>
          <w:rFonts w:hint="eastAsia"/>
          <w:color w:val="auto"/>
          <w:sz w:val="21"/>
          <w:szCs w:val="21"/>
          <w:lang w:val="en-US" w:eastAsia="zh-CN"/>
        </w:rPr>
        <w:t>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绿色建材应用比例计算书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22</w:t>
      </w:r>
      <w:r>
        <w:rPr>
          <w:rFonts w:hint="eastAsia"/>
          <w:color w:val="auto"/>
          <w:sz w:val="28"/>
          <w:szCs w:val="28"/>
          <w:lang w:val="en-US" w:eastAsia="zh-CN"/>
        </w:rPr>
        <w:t>、</w:t>
      </w:r>
      <w:r>
        <w:rPr>
          <w:rFonts w:hint="eastAsia"/>
          <w:color w:val="auto"/>
          <w:sz w:val="28"/>
          <w:szCs w:val="28"/>
        </w:rPr>
        <w:t>场地内的环境</w:t>
      </w:r>
      <w:r>
        <w:rPr>
          <w:rFonts w:hint="eastAsia"/>
          <w:color w:val="auto"/>
          <w:sz w:val="28"/>
          <w:szCs w:val="28"/>
          <w:lang w:val="en-US" w:eastAsia="zh-CN"/>
        </w:rPr>
        <w:t>噪</w:t>
      </w:r>
      <w:r>
        <w:rPr>
          <w:rFonts w:hint="eastAsia"/>
          <w:color w:val="auto"/>
          <w:sz w:val="28"/>
          <w:szCs w:val="28"/>
        </w:rPr>
        <w:t>声优于现行国家标准《声环境质量标准》</w:t>
      </w:r>
      <w:r>
        <w:rPr>
          <w:rFonts w:hint="eastAsia"/>
          <w:color w:val="auto"/>
          <w:sz w:val="28"/>
          <w:szCs w:val="28"/>
          <w:lang w:eastAsia="zh-CN"/>
        </w:rPr>
        <w:t>GB</w:t>
      </w:r>
      <w:r>
        <w:rPr>
          <w:rFonts w:hint="eastAsia" w:eastAsia="Times New Roman"/>
          <w:color w:val="auto"/>
          <w:sz w:val="28"/>
          <w:szCs w:val="28"/>
          <w:lang w:eastAsia="zh-CN"/>
        </w:rPr>
        <w:t>3096</w:t>
      </w:r>
      <w:r>
        <w:rPr>
          <w:rFonts w:hint="eastAsia"/>
          <w:color w:val="auto"/>
          <w:sz w:val="28"/>
          <w:szCs w:val="28"/>
        </w:rPr>
        <w:t>的要求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场地内的环境噪声优于现行国家标准《声环境质量标准》GB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3096</w:t>
      </w:r>
      <w:r>
        <w:rPr>
          <w:rFonts w:hint="eastAsia" w:ascii="宋体" w:hAnsi="宋体" w:eastAsia="宋体" w:cs="宋体"/>
          <w:i/>
          <w:iCs/>
          <w:color w:val="FF0000"/>
          <w:sz w:val="24"/>
          <w:szCs w:val="24"/>
          <w:lang w:eastAsia="zh-CN"/>
        </w:rPr>
        <w:t>的要求，评价总分值为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环境噪声值大于</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类声环境功能区标准限值，且小于或等于</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类声环境功能区标准限值，得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color w:val="FF0000"/>
          <w:sz w:val="28"/>
          <w:szCs w:val="28"/>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环境噪声值小于或等于</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类声环境功能区标准限值，得</w:t>
      </w:r>
      <w:r>
        <w:rPr>
          <w:rFonts w:hint="eastAsia" w:ascii="宋体" w:hAnsi="宋体" w:eastAsia="Times New Roman" w:cs="宋体"/>
          <w:i/>
          <w:iCs/>
          <w:color w:val="FF0000"/>
          <w:sz w:val="24"/>
          <w:szCs w:val="24"/>
          <w:lang w:eastAsia="zh-CN"/>
        </w:rPr>
        <w:t>1</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eastAsia="zh-CN"/>
        </w:rPr>
        <w:t>分</w:t>
      </w:r>
      <w:r>
        <w:rPr>
          <w:rFonts w:hint="eastAsia"/>
          <w:i/>
          <w:iCs/>
          <w:color w:val="FF0000"/>
          <w:sz w:val="28"/>
          <w:szCs w:val="28"/>
          <w:lang w:eastAsia="zh-CN"/>
        </w:rPr>
        <w:t>。</w:t>
      </w:r>
    </w:p>
    <w:p>
      <w:pPr>
        <w:rPr>
          <w:rFonts w:hint="default"/>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环评报告</w:t>
      </w:r>
      <w:r>
        <w:rPr>
          <w:rFonts w:hint="eastAsia"/>
          <w:color w:val="auto"/>
          <w:sz w:val="28"/>
          <w:szCs w:val="28"/>
          <w:lang w:eastAsia="zh-CN"/>
        </w:rPr>
        <w:t>；□</w:t>
      </w:r>
      <w:r>
        <w:rPr>
          <w:rFonts w:hint="eastAsia"/>
          <w:color w:val="auto"/>
          <w:sz w:val="28"/>
          <w:szCs w:val="28"/>
          <w:lang w:val="en-US" w:eastAsia="zh-CN"/>
        </w:rPr>
        <w:t>场地噪声检测报告；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23</w:t>
      </w:r>
      <w:r>
        <w:rPr>
          <w:rFonts w:hint="eastAsia"/>
          <w:color w:val="auto"/>
          <w:sz w:val="28"/>
          <w:szCs w:val="28"/>
          <w:lang w:val="en-US" w:eastAsia="zh-CN"/>
        </w:rPr>
        <w:t>、</w:t>
      </w:r>
      <w:r>
        <w:rPr>
          <w:rFonts w:hint="eastAsia"/>
          <w:color w:val="auto"/>
          <w:sz w:val="28"/>
          <w:szCs w:val="28"/>
        </w:rPr>
        <w:t>建筑设计</w:t>
      </w:r>
      <w:r>
        <w:rPr>
          <w:rFonts w:hint="eastAsia"/>
          <w:color w:val="auto"/>
          <w:sz w:val="28"/>
          <w:szCs w:val="28"/>
          <w:lang w:val="en-US" w:eastAsia="zh-CN"/>
        </w:rPr>
        <w:t>避免</w:t>
      </w:r>
      <w:r>
        <w:rPr>
          <w:rFonts w:hint="eastAsia"/>
          <w:color w:val="auto"/>
          <w:sz w:val="28"/>
          <w:szCs w:val="28"/>
        </w:rPr>
        <w:t>产生光污染</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i/>
          <w:iCs/>
          <w:color w:val="FF0000"/>
          <w:sz w:val="24"/>
          <w:szCs w:val="24"/>
          <w:lang w:eastAsia="zh-CN"/>
        </w:rPr>
        <w:t>建筑及照明设计避免产生光污染，评价总分值为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分，并按下列规则分别评分并累计：</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玻璃幕墙的可见光反射比及反射光对周边环境的影响符合《玻璃幕墙光热性能》GB/T</w:t>
      </w:r>
      <w:r>
        <w:rPr>
          <w:rFonts w:hint="eastAsia" w:eastAsia="Times New Roman"/>
          <w:i/>
          <w:iCs/>
          <w:color w:val="FF0000"/>
          <w:sz w:val="24"/>
          <w:szCs w:val="24"/>
          <w:lang w:eastAsia="zh-CN"/>
        </w:rPr>
        <w:t>18091</w:t>
      </w:r>
      <w:r>
        <w:rPr>
          <w:rFonts w:hint="eastAsia"/>
          <w:i/>
          <w:iCs/>
          <w:color w:val="FF0000"/>
          <w:sz w:val="24"/>
          <w:szCs w:val="24"/>
          <w:lang w:eastAsia="zh-CN"/>
        </w:rPr>
        <w:t>的规定，得</w:t>
      </w:r>
      <w:r>
        <w:rPr>
          <w:rFonts w:hint="eastAsia" w:eastAsia="Times New Roman"/>
          <w:i/>
          <w:iCs/>
          <w:color w:val="FF0000"/>
          <w:sz w:val="24"/>
          <w:szCs w:val="24"/>
          <w:lang w:eastAsia="zh-CN"/>
        </w:rPr>
        <w:t>5</w:t>
      </w:r>
      <w:r>
        <w:rPr>
          <w:rFonts w:hint="eastAsia"/>
          <w:i/>
          <w:iCs/>
          <w:color w:val="FF0000"/>
          <w:sz w:val="24"/>
          <w:szCs w:val="24"/>
          <w:lang w:eastAsia="zh-CN"/>
        </w:rPr>
        <w:t>分；</w:t>
      </w:r>
    </w:p>
    <w:p>
      <w:pPr>
        <w:spacing w:line="360" w:lineRule="auto"/>
        <w:ind w:firstLine="480" w:firstLineChars="200"/>
        <w:rPr>
          <w:rFonts w:hint="eastAsia"/>
          <w:i/>
          <w:iCs/>
          <w:color w:val="auto"/>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p>
    <w:p>
      <w:pPr>
        <w:rPr>
          <w:rFonts w:hint="default"/>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注：项目不设置玻璃幕墙直接得分。</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玻璃</w:t>
      </w:r>
      <w:r>
        <w:rPr>
          <w:rFonts w:hint="eastAsia"/>
          <w:color w:val="auto"/>
          <w:sz w:val="28"/>
          <w:szCs w:val="28"/>
          <w:lang w:val="en-US" w:eastAsia="zh-CN"/>
        </w:rPr>
        <w:t>幕墙</w:t>
      </w:r>
      <w:r>
        <w:rPr>
          <w:rFonts w:hint="eastAsia"/>
          <w:color w:val="auto"/>
          <w:sz w:val="28"/>
          <w:szCs w:val="28"/>
        </w:rPr>
        <w:t>光污染分析专项报告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24</w:t>
      </w:r>
      <w:r>
        <w:rPr>
          <w:rFonts w:hint="eastAsia"/>
          <w:color w:val="auto"/>
          <w:sz w:val="28"/>
          <w:szCs w:val="28"/>
          <w:lang w:val="en-US" w:eastAsia="zh-CN"/>
        </w:rPr>
        <w:t>、</w:t>
      </w:r>
      <w:r>
        <w:rPr>
          <w:rFonts w:hint="eastAsia"/>
          <w:color w:val="auto"/>
          <w:sz w:val="28"/>
          <w:szCs w:val="28"/>
        </w:rPr>
        <w:t>采取措施进一步</w:t>
      </w:r>
      <w:r>
        <w:rPr>
          <w:rFonts w:hint="eastAsia"/>
          <w:color w:val="auto"/>
          <w:sz w:val="28"/>
          <w:szCs w:val="28"/>
          <w:lang w:val="en-US" w:eastAsia="zh-CN"/>
        </w:rPr>
        <w:t>降</w:t>
      </w:r>
      <w:r>
        <w:rPr>
          <w:rFonts w:hint="eastAsia"/>
          <w:color w:val="auto"/>
          <w:sz w:val="28"/>
          <w:szCs w:val="28"/>
        </w:rPr>
        <w:t>低建筑供暖空调系统的能耗</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30</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i/>
          <w:iCs/>
          <w:color w:val="FF0000"/>
          <w:sz w:val="24"/>
          <w:szCs w:val="24"/>
          <w:lang w:eastAsia="zh-CN"/>
        </w:rPr>
        <w:t>采取措施进一步降低建筑供暖空调系统的能耗，评价总分值为</w:t>
      </w:r>
      <w:r>
        <w:rPr>
          <w:rFonts w:hint="eastAsia" w:eastAsia="Times New Roman"/>
          <w:i/>
          <w:iCs/>
          <w:color w:val="FF0000"/>
          <w:sz w:val="24"/>
          <w:szCs w:val="24"/>
          <w:lang w:eastAsia="zh-CN"/>
        </w:rPr>
        <w:t>30</w:t>
      </w:r>
      <w:r>
        <w:rPr>
          <w:rFonts w:hint="eastAsia"/>
          <w:i/>
          <w:iCs/>
          <w:color w:val="FF0000"/>
          <w:sz w:val="24"/>
          <w:szCs w:val="24"/>
          <w:lang w:eastAsia="zh-CN"/>
        </w:rPr>
        <w:t>分。建筑供暖空调系统能耗相比国家现行有关建筑节能标准降低</w:t>
      </w:r>
      <w:r>
        <w:rPr>
          <w:rFonts w:hint="eastAsia" w:eastAsia="Times New Roman"/>
          <w:i/>
          <w:iCs/>
          <w:color w:val="FF0000"/>
          <w:sz w:val="24"/>
          <w:szCs w:val="24"/>
          <w:lang w:eastAsia="zh-CN"/>
        </w:rPr>
        <w:t>40</w:t>
      </w:r>
      <w:r>
        <w:rPr>
          <w:rFonts w:hint="eastAsia"/>
          <w:i/>
          <w:iCs/>
          <w:color w:val="FF0000"/>
          <w:sz w:val="24"/>
          <w:szCs w:val="24"/>
          <w:lang w:eastAsia="zh-CN"/>
        </w:rPr>
        <w:t>%，得</w:t>
      </w:r>
      <w:r>
        <w:rPr>
          <w:rFonts w:hint="eastAsia" w:eastAsia="Times New Roman"/>
          <w:i/>
          <w:iCs/>
          <w:color w:val="FF0000"/>
          <w:sz w:val="24"/>
          <w:szCs w:val="24"/>
          <w:lang w:eastAsia="zh-CN"/>
        </w:rPr>
        <w:t>10</w:t>
      </w:r>
      <w:r>
        <w:rPr>
          <w:rFonts w:hint="eastAsia"/>
          <w:i/>
          <w:iCs/>
          <w:color w:val="FF0000"/>
          <w:sz w:val="24"/>
          <w:szCs w:val="24"/>
          <w:lang w:eastAsia="zh-CN"/>
        </w:rPr>
        <w:t>分；每再降低</w:t>
      </w:r>
      <w:r>
        <w:rPr>
          <w:rFonts w:hint="eastAsia" w:eastAsia="Times New Roman"/>
          <w:i/>
          <w:iCs/>
          <w:color w:val="FF0000"/>
          <w:sz w:val="24"/>
          <w:szCs w:val="24"/>
          <w:lang w:eastAsia="zh-CN"/>
        </w:rPr>
        <w:t>10</w:t>
      </w:r>
      <w:r>
        <w:rPr>
          <w:rFonts w:hint="eastAsia"/>
          <w:i/>
          <w:iCs/>
          <w:color w:val="FF0000"/>
          <w:sz w:val="24"/>
          <w:szCs w:val="24"/>
          <w:lang w:eastAsia="zh-CN"/>
        </w:rPr>
        <w:t>%，再得</w:t>
      </w:r>
      <w:r>
        <w:rPr>
          <w:rFonts w:hint="eastAsia" w:eastAsia="Times New Roman"/>
          <w:i/>
          <w:iCs/>
          <w:color w:val="FF0000"/>
          <w:sz w:val="24"/>
          <w:szCs w:val="24"/>
          <w:lang w:eastAsia="zh-CN"/>
        </w:rPr>
        <w:t>5</w:t>
      </w:r>
      <w:r>
        <w:rPr>
          <w:rFonts w:hint="eastAsia"/>
          <w:i/>
          <w:iCs/>
          <w:color w:val="FF0000"/>
          <w:sz w:val="24"/>
          <w:szCs w:val="24"/>
          <w:lang w:eastAsia="zh-CN"/>
        </w:rPr>
        <w:t>分，最高得</w:t>
      </w:r>
      <w:r>
        <w:rPr>
          <w:rFonts w:hint="eastAsia" w:eastAsia="Times New Roman"/>
          <w:i/>
          <w:iCs/>
          <w:color w:val="FF0000"/>
          <w:sz w:val="24"/>
          <w:szCs w:val="24"/>
          <w:lang w:eastAsia="zh-CN"/>
        </w:rPr>
        <w:t>30</w:t>
      </w:r>
      <w:r>
        <w:rPr>
          <w:rFonts w:hint="eastAsia"/>
          <w:i/>
          <w:iCs/>
          <w:color w:val="FF0000"/>
          <w:sz w:val="24"/>
          <w:szCs w:val="24"/>
          <w:lang w:eastAsia="zh-CN"/>
        </w:rPr>
        <w:t>分。</w:t>
      </w:r>
    </w:p>
    <w:p>
      <w:pPr>
        <w:rPr>
          <w:rFonts w:hint="default" w:eastAsia="宋体"/>
          <w:color w:val="auto"/>
          <w:sz w:val="21"/>
          <w:szCs w:val="21"/>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说明项目供暖空调能耗分析结果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节能计算书</w:t>
      </w:r>
      <w:r>
        <w:rPr>
          <w:rFonts w:hint="eastAsia"/>
          <w:color w:val="auto"/>
          <w:sz w:val="28"/>
          <w:szCs w:val="28"/>
          <w:lang w:eastAsia="zh-CN"/>
        </w:rPr>
        <w:t>；□</w:t>
      </w:r>
      <w:r>
        <w:rPr>
          <w:rFonts w:hint="eastAsia"/>
          <w:color w:val="auto"/>
          <w:sz w:val="28"/>
          <w:szCs w:val="28"/>
        </w:rPr>
        <w:t>供暖空调系统能耗节能率分析报告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25</w:t>
      </w:r>
      <w:r>
        <w:rPr>
          <w:rFonts w:hint="eastAsia"/>
          <w:color w:val="auto"/>
          <w:sz w:val="28"/>
          <w:szCs w:val="28"/>
          <w:lang w:val="en-US" w:eastAsia="zh-CN"/>
        </w:rPr>
        <w:t>、</w:t>
      </w:r>
      <w:r>
        <w:rPr>
          <w:rFonts w:hint="eastAsia"/>
          <w:color w:val="auto"/>
          <w:sz w:val="28"/>
          <w:szCs w:val="28"/>
        </w:rPr>
        <w:t>采用</w:t>
      </w:r>
      <w:r>
        <w:rPr>
          <w:rFonts w:hint="eastAsia"/>
          <w:color w:val="auto"/>
          <w:sz w:val="28"/>
          <w:szCs w:val="28"/>
          <w:lang w:val="en-US" w:eastAsia="zh-CN"/>
        </w:rPr>
        <w:t>适宜</w:t>
      </w:r>
      <w:r>
        <w:rPr>
          <w:rFonts w:hint="eastAsia"/>
          <w:color w:val="auto"/>
          <w:sz w:val="28"/>
          <w:szCs w:val="28"/>
        </w:rPr>
        <w:t>地区特色的建筑</w:t>
      </w:r>
      <w:r>
        <w:rPr>
          <w:rFonts w:hint="eastAsia"/>
          <w:color w:val="auto"/>
          <w:sz w:val="28"/>
          <w:szCs w:val="28"/>
          <w:lang w:val="en-US" w:eastAsia="zh-CN"/>
        </w:rPr>
        <w:t>风貌</w:t>
      </w:r>
      <w:r>
        <w:rPr>
          <w:rFonts w:hint="eastAsia"/>
          <w:color w:val="auto"/>
          <w:sz w:val="28"/>
          <w:szCs w:val="28"/>
        </w:rPr>
        <w:t>设计，</w:t>
      </w:r>
      <w:r>
        <w:rPr>
          <w:rFonts w:hint="eastAsia"/>
          <w:color w:val="auto"/>
          <w:sz w:val="28"/>
          <w:szCs w:val="28"/>
          <w:lang w:val="en-US" w:eastAsia="zh-CN"/>
        </w:rPr>
        <w:t>因地制宜</w:t>
      </w:r>
      <w:r>
        <w:rPr>
          <w:rFonts w:hint="eastAsia"/>
          <w:color w:val="auto"/>
          <w:sz w:val="28"/>
          <w:szCs w:val="28"/>
        </w:rPr>
        <w:t>传承地域建筑文化</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8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20</w:t>
            </w:r>
          </w:p>
        </w:tc>
        <w:tc>
          <w:tcPr>
            <w:tcW w:w="148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采用适宜地区特色的建筑风貌设计，因地制宜传承地域建筑文化，评价分值为</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说明项目设计如何</w:t>
      </w:r>
      <w:r>
        <w:rPr>
          <w:rFonts w:hint="eastAsia"/>
          <w:color w:val="auto"/>
          <w:sz w:val="21"/>
          <w:szCs w:val="21"/>
          <w:lang w:val="en-US" w:eastAsia="zh-CN"/>
        </w:rPr>
        <w:t>适宜</w:t>
      </w:r>
      <w:r>
        <w:rPr>
          <w:rFonts w:hint="eastAsia"/>
          <w:color w:val="auto"/>
          <w:sz w:val="21"/>
          <w:szCs w:val="21"/>
        </w:rPr>
        <w:t>地区特色的建筑风貌以及传承建筑文化</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方案设计及传承建筑文化</w:t>
      </w:r>
      <w:r>
        <w:rPr>
          <w:rFonts w:hint="eastAsia"/>
          <w:color w:val="auto"/>
          <w:sz w:val="28"/>
          <w:szCs w:val="28"/>
          <w:lang w:val="en-US" w:eastAsia="zh-CN"/>
        </w:rPr>
        <w:t>的</w:t>
      </w:r>
      <w:r>
        <w:rPr>
          <w:rFonts w:hint="eastAsia"/>
          <w:color w:val="auto"/>
          <w:sz w:val="28"/>
          <w:szCs w:val="28"/>
        </w:rPr>
        <w:t>专项论证报告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26</w:t>
      </w:r>
      <w:r>
        <w:rPr>
          <w:rFonts w:hint="eastAsia"/>
          <w:color w:val="auto"/>
          <w:sz w:val="28"/>
          <w:szCs w:val="28"/>
          <w:lang w:val="en-US" w:eastAsia="zh-CN"/>
        </w:rPr>
        <w:t>、</w:t>
      </w:r>
      <w:r>
        <w:rPr>
          <w:rFonts w:hint="eastAsia"/>
          <w:color w:val="auto"/>
          <w:sz w:val="28"/>
          <w:szCs w:val="28"/>
        </w:rPr>
        <w:t>合理选用</w:t>
      </w:r>
      <w:r>
        <w:rPr>
          <w:rFonts w:hint="eastAsia"/>
          <w:color w:val="auto"/>
          <w:sz w:val="28"/>
          <w:szCs w:val="28"/>
          <w:lang w:val="en-US" w:eastAsia="zh-CN"/>
        </w:rPr>
        <w:t>废弃</w:t>
      </w:r>
      <w:r>
        <w:rPr>
          <w:rFonts w:hint="eastAsia"/>
          <w:color w:val="auto"/>
          <w:sz w:val="28"/>
          <w:szCs w:val="28"/>
        </w:rPr>
        <w:t>场地进行建设，或充分利用尚可使用的</w:t>
      </w:r>
      <w:r>
        <w:rPr>
          <w:rFonts w:hint="eastAsia"/>
          <w:color w:val="auto"/>
          <w:sz w:val="28"/>
          <w:szCs w:val="28"/>
          <w:lang w:val="en-US" w:eastAsia="zh-CN"/>
        </w:rPr>
        <w:t>旧</w:t>
      </w:r>
      <w:r>
        <w:rPr>
          <w:rFonts w:hint="eastAsia"/>
          <w:color w:val="auto"/>
          <w:sz w:val="28"/>
          <w:szCs w:val="28"/>
        </w:rPr>
        <w:t>建筑</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8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8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3</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合理选用废弃场地进行建设，或充分利用尚可使用的旧建筑，评价分值为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说明项目建设选用废弃场地或尚可使用的旧建筑的</w:t>
      </w:r>
      <w:r>
        <w:rPr>
          <w:rFonts w:hint="eastAsia"/>
          <w:color w:val="auto"/>
          <w:sz w:val="21"/>
          <w:szCs w:val="21"/>
          <w:lang w:eastAsia="zh-CN"/>
        </w:rPr>
        <w:t>实施情况。）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环评报告</w:t>
      </w:r>
      <w:r>
        <w:rPr>
          <w:rFonts w:hint="eastAsia"/>
          <w:color w:val="auto"/>
          <w:sz w:val="28"/>
          <w:szCs w:val="28"/>
          <w:lang w:eastAsia="zh-CN"/>
        </w:rPr>
        <w:t>；□</w:t>
      </w:r>
      <w:r>
        <w:rPr>
          <w:rFonts w:hint="eastAsia"/>
          <w:color w:val="auto"/>
          <w:sz w:val="28"/>
          <w:szCs w:val="28"/>
        </w:rPr>
        <w:t>旧建筑利用专项报告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建筑专篇中所有控制项满足要求，评分项得分汇总如下：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建筑专业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6</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7</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6</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7</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10</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11</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w:t>
            </w:r>
            <w:r>
              <w:rPr>
                <w:rFonts w:hint="eastAsia" w:ascii="宋体" w:hAnsi="宋体" w:cs="宋体"/>
                <w:i w:val="0"/>
                <w:color w:val="auto"/>
                <w:sz w:val="20"/>
                <w:szCs w:val="20"/>
                <w:u w:val="none"/>
                <w:lang w:val="en-US" w:eastAsia="zh-CN"/>
              </w:rPr>
              <w:t xml:space="preserve"> </w:t>
            </w:r>
            <w:r>
              <w:rPr>
                <w:rFonts w:hint="eastAsia" w:ascii="宋体" w:hAnsi="宋体" w:eastAsia="宋体" w:cs="宋体"/>
                <w:i w:val="0"/>
                <w:color w:val="auto"/>
                <w:sz w:val="20"/>
                <w:szCs w:val="20"/>
                <w:u w:val="none"/>
                <w:lang w:val="en-US" w:eastAsia="zh-CN"/>
              </w:rPr>
              <w:t xml:space="preserve"> ）</w:t>
            </w:r>
          </w:p>
          <w:p>
            <w:pPr>
              <w:keepNext w:val="0"/>
              <w:keepLines w:val="0"/>
              <w:widowControl/>
              <w:suppressLineNumbers w:val="0"/>
              <w:jc w:val="both"/>
              <w:textAlignment w:val="center"/>
              <w:rPr>
                <w:rFonts w:hint="eastAsia"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14</w:t>
            </w:r>
            <w:r>
              <w:rPr>
                <w:rFonts w:hint="eastAsia" w:ascii="宋体" w:hAnsi="宋体" w:eastAsia="宋体" w:cs="宋体"/>
                <w:i w:val="0"/>
                <w:color w:val="auto"/>
                <w:sz w:val="20"/>
                <w:szCs w:val="20"/>
                <w:u w:val="none"/>
                <w:lang w:val="en-US" w:eastAsia="zh-CN"/>
              </w:rPr>
              <w:t>（ ）</w:t>
            </w:r>
          </w:p>
          <w:p>
            <w:pPr>
              <w:keepNext w:val="0"/>
              <w:keepLines w:val="0"/>
              <w:widowControl/>
              <w:suppressLineNumbers w:val="0"/>
              <w:jc w:val="both"/>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16</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17</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18</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b/>
          <w:bCs/>
          <w:color w:val="auto"/>
          <w:sz w:val="28"/>
          <w:szCs w:val="28"/>
          <w:lang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景观</w:t>
      </w:r>
    </w:p>
    <w:p>
      <w:pPr>
        <w:rPr>
          <w:rFonts w:hint="default"/>
          <w:b/>
          <w:bCs/>
          <w:color w:val="auto"/>
          <w:sz w:val="28"/>
          <w:szCs w:val="28"/>
          <w:lang w:val="en-US" w:eastAsia="zh-CN"/>
        </w:rPr>
      </w:pPr>
      <w:r>
        <w:rPr>
          <w:rFonts w:hint="eastAsia" w:ascii="宋体" w:hAnsi="宋体" w:eastAsia="宋体" w:cs="宋体"/>
          <w:b/>
          <w:bCs/>
          <w:color w:val="auto"/>
          <w:sz w:val="28"/>
          <w:szCs w:val="28"/>
          <w:lang w:val="en-US" w:eastAsia="zh-CN"/>
        </w:rPr>
        <w:t>A.必须说明内容（控制项）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建筑、室外场地、公共绿地、</w:t>
      </w:r>
      <w:r>
        <w:rPr>
          <w:rFonts w:hint="eastAsia"/>
          <w:color w:val="auto"/>
          <w:sz w:val="28"/>
          <w:szCs w:val="28"/>
          <w:lang w:val="en-US" w:eastAsia="zh-CN"/>
        </w:rPr>
        <w:t>城</w:t>
      </w:r>
      <w:r>
        <w:rPr>
          <w:rFonts w:hint="eastAsia"/>
          <w:color w:val="auto"/>
          <w:sz w:val="28"/>
          <w:szCs w:val="28"/>
        </w:rPr>
        <w:t>市道路相互之间应设置连贯的无障碍步行系统</w:t>
      </w:r>
      <w:r>
        <w:rPr>
          <w:rFonts w:hint="eastAsia"/>
          <w:color w:val="auto"/>
          <w:sz w:val="28"/>
          <w:szCs w:val="28"/>
          <w:lang w:eastAsia="zh-CN"/>
        </w:rPr>
        <w:t>。（</w:t>
      </w: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本项目场</w:t>
      </w:r>
      <w:r>
        <w:rPr>
          <w:rFonts w:hint="eastAsia"/>
          <w:color w:val="auto"/>
          <w:sz w:val="28"/>
          <w:szCs w:val="28"/>
          <w:u w:val="single"/>
        </w:rPr>
        <w:t>地外有无</w:t>
      </w:r>
      <w:r>
        <w:rPr>
          <w:rFonts w:hint="eastAsia"/>
          <w:color w:val="auto"/>
          <w:sz w:val="28"/>
          <w:szCs w:val="28"/>
          <w:u w:val="single"/>
          <w:lang w:val="en-US" w:eastAsia="zh-CN"/>
        </w:rPr>
        <w:t>障碍</w:t>
      </w:r>
      <w:r>
        <w:rPr>
          <w:rFonts w:hint="eastAsia"/>
          <w:color w:val="auto"/>
          <w:sz w:val="28"/>
          <w:szCs w:val="28"/>
          <w:u w:val="single"/>
        </w:rPr>
        <w:t>通道，场地内无</w:t>
      </w:r>
      <w:r>
        <w:rPr>
          <w:rFonts w:hint="eastAsia"/>
          <w:color w:val="auto"/>
          <w:sz w:val="28"/>
          <w:szCs w:val="28"/>
          <w:u w:val="single"/>
          <w:lang w:val="en-US" w:eastAsia="zh-CN"/>
        </w:rPr>
        <w:t>障碍</w:t>
      </w:r>
      <w:r>
        <w:rPr>
          <w:rFonts w:hint="eastAsia"/>
          <w:color w:val="auto"/>
          <w:sz w:val="28"/>
          <w:szCs w:val="28"/>
          <w:u w:val="single"/>
        </w:rPr>
        <w:t>通道与场地外</w:t>
      </w:r>
      <w:r>
        <w:rPr>
          <w:rFonts w:hint="eastAsia"/>
          <w:color w:val="auto"/>
          <w:sz w:val="28"/>
          <w:szCs w:val="28"/>
          <w:u w:val="single"/>
          <w:lang w:val="en-US" w:eastAsia="zh-CN"/>
        </w:rPr>
        <w:t>相连。</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室外热</w:t>
      </w:r>
      <w:r>
        <w:rPr>
          <w:rFonts w:hint="eastAsia"/>
          <w:color w:val="auto"/>
          <w:sz w:val="28"/>
          <w:szCs w:val="28"/>
          <w:lang w:val="en-US" w:eastAsia="zh-CN"/>
        </w:rPr>
        <w:t>环境</w:t>
      </w:r>
      <w:r>
        <w:rPr>
          <w:rFonts w:hint="eastAsia"/>
          <w:color w:val="auto"/>
          <w:sz w:val="28"/>
          <w:szCs w:val="28"/>
        </w:rPr>
        <w:t>应满足国家</w:t>
      </w:r>
      <w:r>
        <w:rPr>
          <w:rFonts w:hint="eastAsia"/>
          <w:color w:val="auto"/>
          <w:sz w:val="28"/>
          <w:szCs w:val="28"/>
          <w:lang w:val="en-US" w:eastAsia="zh-CN"/>
        </w:rPr>
        <w:t>现行</w:t>
      </w:r>
      <w:r>
        <w:rPr>
          <w:rFonts w:hint="eastAsia"/>
          <w:color w:val="auto"/>
          <w:sz w:val="28"/>
          <w:szCs w:val="28"/>
        </w:rPr>
        <w:t>有关标准的要求</w:t>
      </w:r>
      <w:r>
        <w:rPr>
          <w:rFonts w:hint="eastAsia"/>
          <w:color w:val="auto"/>
          <w:sz w:val="28"/>
          <w:szCs w:val="28"/>
          <w:lang w:eastAsia="zh-CN"/>
        </w:rPr>
        <w:t>。（</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说明项目降低热岛强度、提高环境舒适度的措施。）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default"/>
          <w:color w:val="auto"/>
          <w:sz w:val="28"/>
          <w:szCs w:val="28"/>
          <w:lang w:val="en-US"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b w:val="0"/>
          <w:bCs w:val="0"/>
          <w:color w:val="auto"/>
          <w:sz w:val="28"/>
          <w:szCs w:val="28"/>
          <w:lang w:eastAsia="zh-CN"/>
        </w:rPr>
        <w:t>；□</w:t>
      </w:r>
      <w:r>
        <w:rPr>
          <w:rFonts w:hint="eastAsia"/>
          <w:b w:val="0"/>
          <w:bCs w:val="0"/>
          <w:color w:val="auto"/>
          <w:sz w:val="28"/>
          <w:szCs w:val="28"/>
          <w:lang w:val="en-US" w:eastAsia="zh-CN"/>
        </w:rPr>
        <w:t>场地热环境计算报告</w:t>
      </w:r>
      <w:r>
        <w:rPr>
          <w:rFonts w:hint="eastAsia"/>
          <w:b w:val="0"/>
          <w:bCs w:val="0"/>
          <w:color w:val="auto"/>
          <w:sz w:val="21"/>
          <w:szCs w:val="21"/>
          <w:lang w:val="en-US" w:eastAsia="zh-CN"/>
        </w:rPr>
        <w:t>（仅城市居住区需提供）</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、配</w:t>
      </w:r>
      <w:r>
        <w:rPr>
          <w:rFonts w:hint="eastAsia"/>
          <w:color w:val="auto"/>
          <w:sz w:val="28"/>
          <w:szCs w:val="28"/>
        </w:rPr>
        <w:t>建的</w:t>
      </w:r>
      <w:r>
        <w:rPr>
          <w:rFonts w:hint="eastAsia"/>
          <w:color w:val="auto"/>
          <w:sz w:val="28"/>
          <w:szCs w:val="28"/>
          <w:lang w:val="en-US" w:eastAsia="zh-CN"/>
        </w:rPr>
        <w:t>绿地</w:t>
      </w:r>
      <w:r>
        <w:rPr>
          <w:rFonts w:hint="eastAsia"/>
          <w:color w:val="auto"/>
          <w:sz w:val="28"/>
          <w:szCs w:val="28"/>
        </w:rPr>
        <w:t>应符合所在地</w:t>
      </w:r>
      <w:r>
        <w:rPr>
          <w:rFonts w:hint="eastAsia"/>
          <w:color w:val="auto"/>
          <w:sz w:val="28"/>
          <w:szCs w:val="28"/>
          <w:lang w:val="en-US" w:eastAsia="zh-CN"/>
        </w:rPr>
        <w:t>城乡</w:t>
      </w:r>
      <w:r>
        <w:rPr>
          <w:rFonts w:hint="eastAsia"/>
          <w:color w:val="auto"/>
          <w:sz w:val="28"/>
          <w:szCs w:val="28"/>
        </w:rPr>
        <w:t>规划</w:t>
      </w:r>
      <w:r>
        <w:rPr>
          <w:rFonts w:hint="eastAsia"/>
          <w:color w:val="auto"/>
          <w:sz w:val="28"/>
          <w:szCs w:val="28"/>
          <w:lang w:val="en-US" w:eastAsia="zh-CN"/>
        </w:rPr>
        <w:t>的</w:t>
      </w:r>
      <w:r>
        <w:rPr>
          <w:rFonts w:hint="eastAsia"/>
          <w:color w:val="auto"/>
          <w:sz w:val="28"/>
          <w:szCs w:val="28"/>
        </w:rPr>
        <w:t>要求，应合理选择绿化方式</w:t>
      </w:r>
      <w:r>
        <w:rPr>
          <w:rFonts w:hint="eastAsia"/>
          <w:color w:val="auto"/>
          <w:sz w:val="28"/>
          <w:szCs w:val="28"/>
          <w:lang w:eastAsia="zh-CN"/>
        </w:rPr>
        <w:t>，</w:t>
      </w:r>
      <w:r>
        <w:rPr>
          <w:rFonts w:hint="eastAsia"/>
          <w:color w:val="auto"/>
          <w:sz w:val="28"/>
          <w:szCs w:val="28"/>
        </w:rPr>
        <w:t>植物种植应适应当地气候和</w:t>
      </w:r>
      <w:r>
        <w:rPr>
          <w:rFonts w:hint="eastAsia"/>
          <w:color w:val="auto"/>
          <w:sz w:val="28"/>
          <w:szCs w:val="28"/>
          <w:lang w:val="en-US" w:eastAsia="zh-CN"/>
        </w:rPr>
        <w:t>土壤</w:t>
      </w:r>
      <w:r>
        <w:rPr>
          <w:rFonts w:hint="eastAsia"/>
          <w:color w:val="auto"/>
          <w:sz w:val="28"/>
          <w:szCs w:val="28"/>
        </w:rPr>
        <w:t>，且应无</w:t>
      </w:r>
      <w:r>
        <w:rPr>
          <w:rFonts w:hint="eastAsia"/>
          <w:color w:val="auto"/>
          <w:sz w:val="28"/>
          <w:szCs w:val="28"/>
          <w:lang w:val="en-US" w:eastAsia="zh-CN"/>
        </w:rPr>
        <w:t>毒害</w:t>
      </w:r>
      <w:r>
        <w:rPr>
          <w:rFonts w:hint="eastAsia"/>
          <w:color w:val="auto"/>
          <w:sz w:val="28"/>
          <w:szCs w:val="28"/>
        </w:rPr>
        <w:t>、易</w:t>
      </w:r>
      <w:r>
        <w:rPr>
          <w:rFonts w:hint="eastAsia"/>
          <w:color w:val="auto"/>
          <w:sz w:val="28"/>
          <w:szCs w:val="28"/>
          <w:lang w:val="en-US" w:eastAsia="zh-CN"/>
        </w:rPr>
        <w:t>维护</w:t>
      </w:r>
      <w:r>
        <w:rPr>
          <w:rFonts w:hint="eastAsia"/>
          <w:color w:val="auto"/>
          <w:sz w:val="28"/>
          <w:szCs w:val="28"/>
        </w:rPr>
        <w:t>、种植区域</w:t>
      </w:r>
      <w:r>
        <w:rPr>
          <w:rFonts w:hint="eastAsia"/>
          <w:color w:val="auto"/>
          <w:sz w:val="28"/>
          <w:szCs w:val="28"/>
          <w:lang w:val="en-US" w:eastAsia="zh-CN"/>
        </w:rPr>
        <w:t>覆</w:t>
      </w:r>
      <w:r>
        <w:rPr>
          <w:rFonts w:hint="eastAsia"/>
          <w:color w:val="auto"/>
          <w:sz w:val="28"/>
          <w:szCs w:val="28"/>
        </w:rPr>
        <w:t>土深度和排水能力应满足植物生长需求，并应采用复层绿化方式</w:t>
      </w:r>
      <w:r>
        <w:rPr>
          <w:rFonts w:hint="eastAsia"/>
          <w:color w:val="auto"/>
          <w:sz w:val="28"/>
          <w:szCs w:val="28"/>
          <w:lang w:eastAsia="zh-CN"/>
        </w:rPr>
        <w:t>。（</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说明项目选择的绿化方式、植物类型。）</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生活</w:t>
      </w:r>
      <w:r>
        <w:rPr>
          <w:rFonts w:hint="eastAsia"/>
          <w:color w:val="auto"/>
          <w:sz w:val="28"/>
          <w:szCs w:val="28"/>
          <w:lang w:val="en-US" w:eastAsia="zh-CN"/>
        </w:rPr>
        <w:t>垃圾</w:t>
      </w:r>
      <w:r>
        <w:rPr>
          <w:rFonts w:hint="eastAsia"/>
          <w:color w:val="auto"/>
          <w:sz w:val="28"/>
          <w:szCs w:val="28"/>
        </w:rPr>
        <w:t>应分类</w:t>
      </w:r>
      <w:r>
        <w:rPr>
          <w:rFonts w:hint="eastAsia"/>
          <w:color w:val="auto"/>
          <w:sz w:val="28"/>
          <w:szCs w:val="28"/>
          <w:lang w:val="en-US" w:eastAsia="zh-CN"/>
        </w:rPr>
        <w:t>收集</w:t>
      </w:r>
      <w:r>
        <w:rPr>
          <w:rFonts w:hint="eastAsia"/>
          <w:color w:val="auto"/>
          <w:sz w:val="28"/>
          <w:szCs w:val="28"/>
        </w:rPr>
        <w:t>，垃扱</w:t>
      </w:r>
      <w:r>
        <w:rPr>
          <w:rFonts w:hint="eastAsia"/>
          <w:color w:val="auto"/>
          <w:sz w:val="28"/>
          <w:szCs w:val="28"/>
          <w:lang w:val="en-US" w:eastAsia="zh-CN"/>
        </w:rPr>
        <w:t>容器</w:t>
      </w:r>
      <w:r>
        <w:rPr>
          <w:rFonts w:hint="eastAsia"/>
          <w:color w:val="auto"/>
          <w:sz w:val="28"/>
          <w:szCs w:val="28"/>
        </w:rPr>
        <w:t>和收集点的设置应合理并应与周围景观协调</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lang w:val="en-US" w:eastAsia="zh-CN"/>
        </w:rPr>
        <w:t>7</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说明项目垃圾管理制度的相关内容。）</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、室</w:t>
      </w:r>
      <w:r>
        <w:rPr>
          <w:rFonts w:hint="eastAsia"/>
          <w:color w:val="auto"/>
          <w:sz w:val="28"/>
          <w:szCs w:val="28"/>
        </w:rPr>
        <w:t>内外地面或路面设置防滑</w:t>
      </w:r>
      <w:r>
        <w:rPr>
          <w:rFonts w:hint="eastAsia"/>
          <w:color w:val="auto"/>
          <w:sz w:val="28"/>
          <w:szCs w:val="28"/>
          <w:lang w:val="en-US" w:eastAsia="zh-CN"/>
        </w:rPr>
        <w:t>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color w:val="FF0000"/>
          <w:sz w:val="24"/>
          <w:szCs w:val="24"/>
          <w:lang w:val="en-US" w:eastAsia="zh-CN"/>
        </w:rPr>
        <w:t>：</w:t>
      </w:r>
      <w:r>
        <w:rPr>
          <w:rFonts w:hint="eastAsia" w:eastAsia="Times New Roman"/>
          <w:i/>
          <w:iCs/>
          <w:color w:val="FF0000"/>
          <w:sz w:val="24"/>
          <w:szCs w:val="24"/>
        </w:rPr>
        <w:t>4</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室内外地面或路面设置防滑措施，评价总分值为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 xml:space="preserve">建筑岀入口及平台、公共走廊、电梯门厅、厨房、浴室、卫生间等设置防滑措施，防滑等级不低于现行行业标准《建筑地面工程防滑技术规程》JGJ/T </w:t>
      </w:r>
      <w:r>
        <w:rPr>
          <w:rFonts w:hint="eastAsia" w:ascii="宋体" w:hAnsi="宋体" w:eastAsia="Times New Roman" w:cs="宋体"/>
          <w:i/>
          <w:iCs/>
          <w:color w:val="FF0000"/>
          <w:sz w:val="24"/>
          <w:szCs w:val="24"/>
          <w:lang w:val="en-US" w:eastAsia="zh-CN"/>
        </w:rPr>
        <w:t>331</w:t>
      </w:r>
      <w:r>
        <w:rPr>
          <w:rFonts w:hint="eastAsia" w:ascii="宋体" w:hAnsi="宋体" w:eastAsia="宋体" w:cs="宋体"/>
          <w:i/>
          <w:iCs/>
          <w:color w:val="FF0000"/>
          <w:sz w:val="24"/>
          <w:szCs w:val="24"/>
          <w:lang w:val="en-US" w:eastAsia="zh-CN"/>
        </w:rPr>
        <w:t>规定的B</w:t>
      </w:r>
      <w:r>
        <w:rPr>
          <w:rFonts w:hint="eastAsia" w:ascii="宋体" w:hAnsi="宋体" w:eastAsia="宋体" w:cs="宋体"/>
          <w:i/>
          <w:iCs/>
          <w:color w:val="FF0000"/>
          <w:sz w:val="24"/>
          <w:szCs w:val="24"/>
          <w:vertAlign w:val="subscript"/>
          <w:lang w:val="en-US" w:eastAsia="zh-CN"/>
        </w:rPr>
        <w:t>d</w:t>
      </w:r>
      <w:r>
        <w:rPr>
          <w:rFonts w:hint="eastAsia" w:ascii="宋体" w:hAnsi="宋体" w:eastAsia="宋体" w:cs="宋体"/>
          <w:i/>
          <w:iCs/>
          <w:color w:val="FF0000"/>
          <w:sz w:val="24"/>
          <w:szCs w:val="24"/>
          <w:lang w:val="en-US" w:eastAsia="zh-CN"/>
        </w:rPr>
        <w:t>、B</w:t>
      </w:r>
      <w:r>
        <w:rPr>
          <w:rFonts w:hint="eastAsia" w:ascii="宋体" w:hAnsi="宋体" w:eastAsia="宋体" w:cs="宋体"/>
          <w:i/>
          <w:iCs/>
          <w:color w:val="FF0000"/>
          <w:sz w:val="24"/>
          <w:szCs w:val="24"/>
          <w:vertAlign w:val="subscript"/>
          <w:lang w:val="en-US" w:eastAsia="zh-CN"/>
        </w:rPr>
        <w:t>w</w:t>
      </w:r>
      <w:r>
        <w:rPr>
          <w:rFonts w:hint="eastAsia" w:ascii="宋体" w:hAnsi="宋体" w:eastAsia="宋体" w:cs="宋体"/>
          <w:i/>
          <w:iCs/>
          <w:color w:val="FF0000"/>
          <w:sz w:val="24"/>
          <w:szCs w:val="24"/>
          <w:lang w:val="en-US" w:eastAsia="zh-CN"/>
        </w:rPr>
        <w:t>级，得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建筑室内外活动场所采用防滑地面，防滑等级达到现行行业标准《建筑地面工程防滑技术规程》JGJ/T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331</w:t>
      </w:r>
      <w:r>
        <w:rPr>
          <w:rFonts w:hint="eastAsia" w:ascii="宋体" w:hAnsi="宋体" w:eastAsia="宋体" w:cs="宋体"/>
          <w:i/>
          <w:iCs/>
          <w:color w:val="FF0000"/>
          <w:sz w:val="24"/>
          <w:szCs w:val="24"/>
          <w:lang w:val="en-US" w:eastAsia="zh-CN"/>
        </w:rPr>
        <w:t>规定的A</w:t>
      </w:r>
      <w:r>
        <w:rPr>
          <w:rFonts w:hint="eastAsia" w:ascii="宋体" w:hAnsi="宋体" w:eastAsia="宋体" w:cs="宋体"/>
          <w:i/>
          <w:iCs/>
          <w:color w:val="FF0000"/>
          <w:sz w:val="24"/>
          <w:szCs w:val="24"/>
          <w:vertAlign w:val="subscript"/>
          <w:lang w:val="en-US" w:eastAsia="zh-CN"/>
        </w:rPr>
        <w:t>d</w:t>
      </w:r>
      <w:r>
        <w:rPr>
          <w:rFonts w:hint="eastAsia" w:ascii="宋体" w:hAnsi="宋体" w:eastAsia="宋体" w:cs="宋体"/>
          <w:i/>
          <w:iCs/>
          <w:color w:val="FF0000"/>
          <w:sz w:val="24"/>
          <w:szCs w:val="24"/>
          <w:lang w:val="en-US" w:eastAsia="zh-CN"/>
        </w:rPr>
        <w:t>、A</w:t>
      </w:r>
      <w:r>
        <w:rPr>
          <w:rFonts w:hint="eastAsia" w:ascii="宋体" w:hAnsi="宋体" w:eastAsia="宋体" w:cs="宋体"/>
          <w:i/>
          <w:iCs/>
          <w:color w:val="FF0000"/>
          <w:sz w:val="24"/>
          <w:szCs w:val="24"/>
          <w:vertAlign w:val="subscript"/>
          <w:lang w:val="en-US" w:eastAsia="zh-CN"/>
        </w:rPr>
        <w:t>w</w:t>
      </w:r>
      <w:r>
        <w:rPr>
          <w:rFonts w:hint="eastAsia" w:ascii="宋体" w:hAnsi="宋体" w:eastAsia="宋体" w:cs="宋体"/>
          <w:i/>
          <w:iCs/>
          <w:color w:val="FF0000"/>
          <w:sz w:val="24"/>
          <w:szCs w:val="24"/>
          <w:lang w:val="en-US" w:eastAsia="zh-CN"/>
        </w:rPr>
        <w:t>级，得</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建筑坡道、楼梯踏步防滑等级达到现行行业标准《建筑地面工程防滑技术规程》JGJ/T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331</w:t>
      </w:r>
      <w:r>
        <w:rPr>
          <w:rFonts w:hint="eastAsia" w:ascii="宋体" w:hAnsi="宋体" w:eastAsia="宋体" w:cs="宋体"/>
          <w:i/>
          <w:iCs/>
          <w:color w:val="FF0000"/>
          <w:sz w:val="24"/>
          <w:szCs w:val="24"/>
          <w:lang w:val="en-US" w:eastAsia="zh-CN"/>
        </w:rPr>
        <w:t>规定的A</w:t>
      </w:r>
      <w:r>
        <w:rPr>
          <w:rFonts w:hint="eastAsia" w:ascii="宋体" w:hAnsi="宋体" w:eastAsia="宋体" w:cs="宋体"/>
          <w:i/>
          <w:iCs/>
          <w:color w:val="FF0000"/>
          <w:sz w:val="24"/>
          <w:szCs w:val="24"/>
          <w:vertAlign w:val="subscript"/>
          <w:lang w:val="en-US" w:eastAsia="zh-CN"/>
        </w:rPr>
        <w:t>d</w:t>
      </w:r>
      <w:r>
        <w:rPr>
          <w:rFonts w:hint="eastAsia" w:ascii="宋体" w:hAnsi="宋体" w:eastAsia="宋体" w:cs="宋体"/>
          <w:i/>
          <w:iCs/>
          <w:color w:val="FF0000"/>
          <w:sz w:val="24"/>
          <w:szCs w:val="24"/>
          <w:lang w:val="en-US" w:eastAsia="zh-CN"/>
        </w:rPr>
        <w:t>、A</w:t>
      </w:r>
      <w:r>
        <w:rPr>
          <w:rFonts w:hint="eastAsia" w:ascii="宋体" w:hAnsi="宋体" w:eastAsia="宋体" w:cs="宋体"/>
          <w:i/>
          <w:iCs/>
          <w:color w:val="FF0000"/>
          <w:sz w:val="24"/>
          <w:szCs w:val="24"/>
          <w:vertAlign w:val="subscript"/>
          <w:lang w:val="en-US" w:eastAsia="zh-CN"/>
        </w:rPr>
        <w:t>w</w:t>
      </w:r>
      <w:r>
        <w:rPr>
          <w:rFonts w:hint="eastAsia" w:ascii="宋体" w:hAnsi="宋体" w:eastAsia="宋体" w:cs="宋体"/>
          <w:i/>
          <w:iCs/>
          <w:color w:val="FF0000"/>
          <w:sz w:val="24"/>
          <w:szCs w:val="24"/>
          <w:lang w:val="en-US" w:eastAsia="zh-CN"/>
        </w:rPr>
        <w:t>级或按水平地面等级提高一级，并采用防滑条等防滑构造技术措施，得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说明室内外防滑</w:t>
      </w:r>
      <w:r>
        <w:rPr>
          <w:rFonts w:hint="eastAsia"/>
          <w:color w:val="auto"/>
          <w:sz w:val="21"/>
          <w:szCs w:val="21"/>
          <w:lang w:val="en-US" w:eastAsia="zh-CN"/>
        </w:rPr>
        <w:t>措施</w:t>
      </w:r>
      <w:r>
        <w:rPr>
          <w:rFonts w:hint="eastAsia"/>
          <w:color w:val="auto"/>
          <w:sz w:val="21"/>
          <w:szCs w:val="21"/>
        </w:rPr>
        <w:t>的设置情况</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、绿</w:t>
      </w:r>
      <w:r>
        <w:rPr>
          <w:rFonts w:hint="eastAsia"/>
          <w:color w:val="auto"/>
          <w:sz w:val="28"/>
          <w:szCs w:val="28"/>
        </w:rPr>
        <w:t>化</w:t>
      </w:r>
      <w:r>
        <w:rPr>
          <w:rFonts w:hint="eastAsia"/>
          <w:color w:val="auto"/>
          <w:sz w:val="28"/>
          <w:szCs w:val="28"/>
          <w:lang w:val="en-US" w:eastAsia="zh-CN"/>
        </w:rPr>
        <w:t>灌溉</w:t>
      </w:r>
      <w:r>
        <w:rPr>
          <w:rFonts w:hint="eastAsia"/>
          <w:color w:val="auto"/>
          <w:sz w:val="28"/>
          <w:szCs w:val="28"/>
        </w:rPr>
        <w:t>采用节水设备或技术</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6</w:t>
            </w:r>
          </w:p>
        </w:tc>
        <w:tc>
          <w:tcPr>
            <w:tcW w:w="132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11</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绿化灌溉及空调冷却水系统采用节水设备或技术，评价总分值为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绿化灌溉采用节水设备或技术，并按下列规则评分：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采用节水灌溉系统，得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在采用节水灌溉系统的基础上</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lang w:eastAsia="zh-CN"/>
        </w:rPr>
        <w:t>设置土壤湿度感应器、雨天自动关闭装置等节水控制措施</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lang w:eastAsia="zh-CN"/>
        </w:rPr>
        <w:t>或种植无须永久灌溉植物，得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spacing w:line="360" w:lineRule="auto"/>
        <w:ind w:firstLine="480" w:firstLineChars="200"/>
        <w:rPr>
          <w:rFonts w:hint="default"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w:t>
      </w:r>
      <w:r>
        <w:rPr>
          <w:rFonts w:hint="eastAsia"/>
          <w:color w:val="auto"/>
          <w:sz w:val="21"/>
          <w:szCs w:val="21"/>
          <w:lang w:val="en-US" w:eastAsia="zh-CN"/>
        </w:rPr>
        <w:t>节</w:t>
      </w:r>
      <w:r>
        <w:rPr>
          <w:rFonts w:hint="eastAsia"/>
          <w:color w:val="auto"/>
          <w:sz w:val="21"/>
          <w:szCs w:val="21"/>
        </w:rPr>
        <w:t>水灌溉方式和节水</w:t>
      </w:r>
      <w:r>
        <w:rPr>
          <w:rFonts w:hint="eastAsia"/>
          <w:color w:val="auto"/>
          <w:sz w:val="21"/>
          <w:szCs w:val="21"/>
          <w:lang w:val="en-US" w:eastAsia="zh-CN"/>
        </w:rPr>
        <w:t>控制</w:t>
      </w:r>
      <w:r>
        <w:rPr>
          <w:rFonts w:hint="eastAsia"/>
          <w:color w:val="auto"/>
          <w:sz w:val="21"/>
          <w:szCs w:val="21"/>
        </w:rPr>
        <w:t>措施及其应用效果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lang w:eastAsia="zh-CN"/>
        </w:rPr>
        <w:t>证明材料：□设计图纸（名称、图号）；□</w:t>
      </w:r>
      <w:r>
        <w:rPr>
          <w:rFonts w:hint="eastAsia"/>
          <w:color w:val="auto"/>
          <w:sz w:val="28"/>
          <w:szCs w:val="28"/>
          <w:lang w:val="en-US" w:eastAsia="zh-CN"/>
        </w:rPr>
        <w:t>二</w:t>
      </w:r>
      <w:r>
        <w:rPr>
          <w:rFonts w:hint="eastAsia"/>
          <w:color w:val="auto"/>
          <w:sz w:val="28"/>
          <w:szCs w:val="28"/>
        </w:rPr>
        <w:t>次设计达标承诺函</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、结合</w:t>
      </w:r>
      <w:r>
        <w:rPr>
          <w:rFonts w:hint="eastAsia"/>
          <w:color w:val="auto"/>
          <w:sz w:val="28"/>
          <w:szCs w:val="28"/>
        </w:rPr>
        <w:t>雨水</w:t>
      </w:r>
      <w:r>
        <w:rPr>
          <w:rFonts w:hint="eastAsia"/>
          <w:color w:val="auto"/>
          <w:sz w:val="28"/>
          <w:szCs w:val="28"/>
          <w:lang w:val="en-US" w:eastAsia="zh-CN"/>
        </w:rPr>
        <w:t>综合</w:t>
      </w:r>
      <w:r>
        <w:rPr>
          <w:rFonts w:hint="eastAsia"/>
          <w:color w:val="auto"/>
          <w:sz w:val="28"/>
          <w:szCs w:val="28"/>
        </w:rPr>
        <w:t>利用设施营造室外景观水体，室外景观水体利用雨水的补水量大于水体</w:t>
      </w:r>
      <w:r>
        <w:rPr>
          <w:rFonts w:hint="eastAsia"/>
          <w:color w:val="auto"/>
          <w:sz w:val="28"/>
          <w:szCs w:val="28"/>
          <w:lang w:val="en-US" w:eastAsia="zh-CN"/>
        </w:rPr>
        <w:t>蒸发量</w:t>
      </w:r>
      <w:r>
        <w:rPr>
          <w:rFonts w:hint="eastAsia"/>
          <w:color w:val="auto"/>
          <w:sz w:val="28"/>
          <w:szCs w:val="28"/>
        </w:rPr>
        <w:t>的</w:t>
      </w:r>
      <w:r>
        <w:rPr>
          <w:rFonts w:hint="eastAsia" w:eastAsia="Times New Roman"/>
          <w:color w:val="auto"/>
          <w:sz w:val="28"/>
          <w:szCs w:val="28"/>
        </w:rPr>
        <w:t>6</w:t>
      </w:r>
      <w:r>
        <w:rPr>
          <w:rFonts w:hint="eastAsia" w:eastAsia="Times New Roman"/>
          <w:color w:val="auto"/>
          <w:sz w:val="28"/>
          <w:szCs w:val="28"/>
          <w:lang w:val="en-US" w:eastAsia="zh-CN"/>
        </w:rPr>
        <w:t>0</w:t>
      </w:r>
      <w:r>
        <w:rPr>
          <w:rFonts w:hint="eastAsia"/>
          <w:color w:val="auto"/>
          <w:sz w:val="28"/>
          <w:szCs w:val="28"/>
          <w:lang w:val="en-US" w:eastAsia="zh-CN"/>
        </w:rPr>
        <w:t>%，</w:t>
      </w:r>
      <w:r>
        <w:rPr>
          <w:rFonts w:hint="eastAsia"/>
          <w:color w:val="auto"/>
          <w:sz w:val="28"/>
          <w:szCs w:val="28"/>
        </w:rPr>
        <w:t>且采用保障水体水质</w:t>
      </w:r>
      <w:r>
        <w:rPr>
          <w:rFonts w:hint="eastAsia"/>
          <w:color w:val="auto"/>
          <w:sz w:val="28"/>
          <w:szCs w:val="28"/>
          <w:lang w:val="en-US" w:eastAsia="zh-CN"/>
        </w:rPr>
        <w:t>的</w:t>
      </w:r>
      <w:r>
        <w:rPr>
          <w:rFonts w:hint="eastAsia"/>
          <w:color w:val="auto"/>
          <w:sz w:val="28"/>
          <w:szCs w:val="28"/>
        </w:rPr>
        <w:t>生态水</w:t>
      </w:r>
      <w:r>
        <w:rPr>
          <w:rFonts w:hint="eastAsia"/>
          <w:color w:val="auto"/>
          <w:sz w:val="28"/>
          <w:szCs w:val="28"/>
          <w:lang w:val="en-US" w:eastAsia="zh-CN"/>
        </w:rPr>
        <w:t>处理</w:t>
      </w:r>
      <w:r>
        <w:rPr>
          <w:rFonts w:hint="eastAsia"/>
          <w:color w:val="auto"/>
          <w:sz w:val="28"/>
          <w:szCs w:val="28"/>
        </w:rPr>
        <w:t>技术</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12</w:t>
      </w:r>
      <w:r>
        <w:rPr>
          <w:rFonts w:hint="eastAsia"/>
          <w:i/>
          <w:iCs/>
          <w:color w:val="FF0000"/>
          <w:sz w:val="24"/>
          <w:szCs w:val="24"/>
          <w:lang w:val="en-US" w:eastAsia="zh-CN"/>
        </w:rPr>
        <w:t xml:space="preserve">  </w:t>
      </w:r>
      <w:r>
        <w:rPr>
          <w:rFonts w:hint="eastAsia"/>
          <w:i/>
          <w:iCs/>
          <w:color w:val="FF0000"/>
          <w:sz w:val="24"/>
          <w:szCs w:val="24"/>
          <w:lang w:eastAsia="zh-CN"/>
        </w:rPr>
        <w:t>结合雨水综合利用设施营造室外景观水体，室外景观水体利用雨水的补水量大于水体蒸发量的</w:t>
      </w:r>
      <w:r>
        <w:rPr>
          <w:rFonts w:hint="eastAsia" w:eastAsia="Times New Roman"/>
          <w:i/>
          <w:iCs/>
          <w:color w:val="FF0000"/>
          <w:sz w:val="24"/>
          <w:szCs w:val="24"/>
          <w:lang w:eastAsia="zh-CN"/>
        </w:rPr>
        <w:t>60</w:t>
      </w:r>
      <w:r>
        <w:rPr>
          <w:rFonts w:hint="eastAsia"/>
          <w:i/>
          <w:iCs/>
          <w:color w:val="FF0000"/>
          <w:sz w:val="24"/>
          <w:szCs w:val="24"/>
          <w:lang w:val="en-US" w:eastAsia="zh-CN"/>
        </w:rPr>
        <w:t>%</w:t>
      </w:r>
      <w:r>
        <w:rPr>
          <w:rFonts w:hint="eastAsia"/>
          <w:i/>
          <w:iCs/>
          <w:color w:val="FF0000"/>
          <w:sz w:val="24"/>
          <w:szCs w:val="24"/>
          <w:lang w:eastAsia="zh-CN"/>
        </w:rPr>
        <w:t>，且采用保障水体水质的生态水处理技术，评价总分值为</w:t>
      </w:r>
      <w:r>
        <w:rPr>
          <w:rFonts w:hint="eastAsia" w:eastAsia="Times New Roman"/>
          <w:i/>
          <w:iCs/>
          <w:color w:val="FF0000"/>
          <w:sz w:val="24"/>
          <w:szCs w:val="24"/>
          <w:lang w:eastAsia="zh-CN"/>
        </w:rPr>
        <w:t>8</w:t>
      </w:r>
      <w:r>
        <w:rPr>
          <w:rFonts w:hint="eastAsia"/>
          <w:i/>
          <w:iCs/>
          <w:color w:val="FF0000"/>
          <w:sz w:val="24"/>
          <w:szCs w:val="24"/>
          <w:lang w:eastAsia="zh-CN"/>
        </w:rPr>
        <w:t>分，并按下列规则分别评分并累计：</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对进入室外景观水体的雨水，利用生态设施削减径流污染，得</w:t>
      </w:r>
      <w:r>
        <w:rPr>
          <w:rFonts w:hint="eastAsia" w:eastAsia="Times New Roman"/>
          <w:i/>
          <w:iCs/>
          <w:color w:val="FF0000"/>
          <w:sz w:val="24"/>
          <w:szCs w:val="24"/>
          <w:lang w:eastAsia="zh-CN"/>
        </w:rPr>
        <w:t>4</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利用水生动、植物保障室外景观水体水质，得</w:t>
      </w:r>
      <w:r>
        <w:rPr>
          <w:rFonts w:hint="eastAsia" w:eastAsia="Times New Roman"/>
          <w:i/>
          <w:iCs/>
          <w:color w:val="FF0000"/>
          <w:sz w:val="24"/>
          <w:szCs w:val="24"/>
          <w:lang w:eastAsia="zh-CN"/>
        </w:rPr>
        <w:t>4</w:t>
      </w:r>
      <w:r>
        <w:rPr>
          <w:rFonts w:hint="eastAsia"/>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说明景观水体的径流污染削减</w:t>
      </w:r>
      <w:r>
        <w:rPr>
          <w:rFonts w:hint="eastAsia"/>
          <w:color w:val="auto"/>
          <w:sz w:val="21"/>
          <w:szCs w:val="21"/>
          <w:lang w:eastAsia="zh-CN"/>
        </w:rPr>
        <w:t>措施</w:t>
      </w:r>
      <w:r>
        <w:rPr>
          <w:rFonts w:hint="eastAsia"/>
          <w:color w:val="auto"/>
          <w:sz w:val="21"/>
          <w:szCs w:val="21"/>
        </w:rPr>
        <w:t>、水质控制</w:t>
      </w:r>
      <w:r>
        <w:rPr>
          <w:rFonts w:hint="eastAsia"/>
          <w:color w:val="auto"/>
          <w:sz w:val="21"/>
          <w:szCs w:val="21"/>
          <w:lang w:val="en-US" w:eastAsia="zh-CN"/>
        </w:rPr>
        <w:t>措施</w:t>
      </w:r>
      <w:r>
        <w:rPr>
          <w:rFonts w:hint="eastAsia"/>
          <w:color w:val="auto"/>
          <w:sz w:val="21"/>
          <w:szCs w:val="21"/>
        </w:rPr>
        <w:t>及其实际效果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r>
        <w:rPr>
          <w:rFonts w:hint="eastAsia"/>
          <w:color w:val="auto"/>
          <w:sz w:val="21"/>
          <w:szCs w:val="21"/>
          <w:u w:val="single"/>
          <w:lang w:val="en-US" w:eastAsia="zh-CN"/>
        </w:rPr>
        <w:t xml:space="preserve">    </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室外吸烟区位置布局合理</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室外吸烟区位置布局合理，评价总分值为</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室外吸烟区布置在建筑主岀入口的主导风的下风向，与所有建筑岀入口</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新风进气口和可开启窗扇的距离不少于</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m，且距离儿童和老人活动场地不少于</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m，得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室外吸烟区与绿植结合布置，并合理配置座椅和带烟头收集的垃圾筒，从建筑主岀入口至室外吸烟区的导向标识完整、定位标识醒目，吸烟区设置吸烟有害健康的警示标识，得</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分。</w:t>
      </w:r>
    </w:p>
    <w:p>
      <w:pPr>
        <w:rPr>
          <w:rFonts w:hint="eastAsia"/>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val="en-US"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采取</w:t>
      </w:r>
      <w:r>
        <w:rPr>
          <w:rFonts w:hint="eastAsia"/>
          <w:color w:val="auto"/>
          <w:sz w:val="28"/>
          <w:szCs w:val="28"/>
          <w:lang w:val="en-US" w:eastAsia="zh-CN"/>
        </w:rPr>
        <w:t>措施</w:t>
      </w:r>
      <w:r>
        <w:rPr>
          <w:rFonts w:hint="eastAsia"/>
          <w:color w:val="auto"/>
          <w:sz w:val="28"/>
          <w:szCs w:val="28"/>
        </w:rPr>
        <w:t>降低热岛强</w:t>
      </w:r>
      <w:r>
        <w:rPr>
          <w:rFonts w:hint="eastAsia"/>
          <w:color w:val="auto"/>
          <w:sz w:val="28"/>
          <w:szCs w:val="28"/>
          <w:lang w:val="en-US" w:eastAsia="zh-CN"/>
        </w:rPr>
        <w:t>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采取措施降低热岛强度，评价总分值为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场地中处于建筑阴影区外的步道、游憩场、庭院、广场等室外活动场地设有乔木、花架等遮阴措施的面积比例，住宅建筑达到</w:t>
      </w:r>
      <w:r>
        <w:rPr>
          <w:rFonts w:hint="eastAsia" w:ascii="宋体" w:hAnsi="宋体" w:eastAsia="Times New Roman" w:cs="宋体"/>
          <w:i/>
          <w:iCs/>
          <w:color w:val="FF0000"/>
          <w:sz w:val="24"/>
          <w:szCs w:val="24"/>
          <w:lang w:val="en-US" w:eastAsia="zh-CN"/>
        </w:rPr>
        <w:t>30</w:t>
      </w:r>
      <w:r>
        <w:rPr>
          <w:rFonts w:hint="eastAsia" w:ascii="宋体" w:hAnsi="宋体" w:eastAsia="宋体" w:cs="宋体"/>
          <w:i/>
          <w:iCs/>
          <w:color w:val="FF0000"/>
          <w:sz w:val="24"/>
          <w:szCs w:val="24"/>
          <w:lang w:val="en-US" w:eastAsia="zh-CN"/>
        </w:rPr>
        <w:t>%，公共建筑达到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分；住宅建筑达到</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%，公共建筑达到</w:t>
      </w:r>
      <w:r>
        <w:rPr>
          <w:rFonts w:hint="eastAsia" w:ascii="宋体" w:hAnsi="宋体" w:eastAsia="Times New Roman" w:cs="宋体"/>
          <w:i/>
          <w:iCs/>
          <w:color w:val="FF0000"/>
          <w:sz w:val="24"/>
          <w:szCs w:val="24"/>
          <w:lang w:val="en-US" w:eastAsia="zh-CN"/>
        </w:rPr>
        <w:t>20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场地中处于建筑阴影区外的机动车道，路面太阳辐射反射系数不小于</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或设有遮阴面积较大的行道树的路段长度超过</w:t>
      </w:r>
      <w:r>
        <w:rPr>
          <w:rFonts w:hint="eastAsia" w:ascii="宋体" w:hAnsi="宋体" w:eastAsia="Times New Roman" w:cs="宋体"/>
          <w:i/>
          <w:iCs/>
          <w:color w:val="FF0000"/>
          <w:sz w:val="24"/>
          <w:szCs w:val="24"/>
          <w:lang w:val="en-US" w:eastAsia="zh-CN"/>
        </w:rPr>
        <w:t>70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屋顶的绿化面积</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太阳能板水平投影面积以及太阳辐射反射系数不小于</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的屋面面积合计达到</w:t>
      </w:r>
      <w:r>
        <w:rPr>
          <w:rFonts w:hint="eastAsia" w:ascii="宋体" w:hAnsi="宋体" w:eastAsia="Times New Roman" w:cs="宋体"/>
          <w:i/>
          <w:iCs/>
          <w:color w:val="FF0000"/>
          <w:sz w:val="24"/>
          <w:szCs w:val="24"/>
          <w:lang w:val="en-US" w:eastAsia="zh-CN"/>
        </w:rPr>
        <w:t>75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分。</w:t>
      </w:r>
    </w:p>
    <w:p>
      <w:pPr>
        <w:rPr>
          <w:rFonts w:hint="default" w:eastAsia="宋体"/>
          <w:color w:val="auto"/>
          <w:sz w:val="21"/>
          <w:szCs w:val="21"/>
          <w:u w:val="single"/>
          <w:lang w:val="en-US" w:eastAsia="zh-CN"/>
        </w:rPr>
      </w:pPr>
      <w:r>
        <w:rPr>
          <w:rFonts w:hint="eastAsia"/>
          <w:color w:val="auto"/>
          <w:sz w:val="28"/>
          <w:szCs w:val="28"/>
          <w:lang w:val="en-US" w:eastAsia="zh-CN"/>
        </w:rPr>
        <w:t>技术措施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说明项目降低热岛强度的具体</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活动场地</w:t>
      </w:r>
      <w:r>
        <w:rPr>
          <w:rFonts w:hint="eastAsia"/>
          <w:color w:val="auto"/>
          <w:sz w:val="28"/>
          <w:szCs w:val="28"/>
          <w:lang w:val="en-US" w:eastAsia="zh-CN"/>
        </w:rPr>
        <w:t>遮</w:t>
      </w:r>
      <w:r>
        <w:rPr>
          <w:rFonts w:hint="eastAsia"/>
          <w:color w:val="auto"/>
          <w:sz w:val="28"/>
          <w:szCs w:val="28"/>
        </w:rPr>
        <w:t>阴比例计算书</w:t>
      </w:r>
      <w:r>
        <w:rPr>
          <w:rFonts w:hint="eastAsia"/>
          <w:color w:val="auto"/>
          <w:sz w:val="28"/>
          <w:szCs w:val="28"/>
          <w:lang w:eastAsia="zh-CN"/>
        </w:rPr>
        <w:t>；□</w:t>
      </w:r>
      <w:r>
        <w:rPr>
          <w:rFonts w:hint="eastAsia"/>
          <w:color w:val="auto"/>
          <w:sz w:val="28"/>
          <w:szCs w:val="28"/>
        </w:rPr>
        <w:t>机动车道、屋面</w:t>
      </w:r>
      <w:r>
        <w:rPr>
          <w:rFonts w:hint="eastAsia"/>
          <w:color w:val="auto"/>
          <w:sz w:val="28"/>
          <w:szCs w:val="28"/>
          <w:lang w:val="en-US" w:eastAsia="zh-CN"/>
        </w:rPr>
        <w:t>遮</w:t>
      </w:r>
      <w:r>
        <w:rPr>
          <w:rFonts w:hint="eastAsia"/>
          <w:color w:val="auto"/>
          <w:sz w:val="28"/>
          <w:szCs w:val="28"/>
        </w:rPr>
        <w:t>阴及高反射面积比例计算书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热岛分析计算书</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场地绿容率不低于</w:t>
      </w:r>
      <w:r>
        <w:rPr>
          <w:rFonts w:hint="eastAsia" w:eastAsia="Times New Roman"/>
          <w:color w:val="auto"/>
          <w:sz w:val="28"/>
          <w:szCs w:val="28"/>
        </w:rPr>
        <w:t>3</w:t>
      </w:r>
      <w:r>
        <w:rPr>
          <w:rFonts w:hint="eastAsia"/>
          <w:color w:val="auto"/>
          <w:sz w:val="28"/>
          <w:szCs w:val="28"/>
        </w:rPr>
        <w:t>.</w:t>
      </w:r>
      <w:r>
        <w:rPr>
          <w:rFonts w:hint="eastAsia" w:eastAsia="Times New Roman"/>
          <w:color w:val="auto"/>
          <w:sz w:val="28"/>
          <w:szCs w:val="28"/>
        </w:rPr>
        <w:t>0</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场地绿容率不低于</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w:t>
      </w:r>
      <w:r>
        <w:rPr>
          <w:rFonts w:hint="eastAsia" w:ascii="宋体" w:hAnsi="宋体" w:eastAsia="Times New Roman" w:cs="宋体"/>
          <w:i/>
          <w:iCs/>
          <w:color w:val="FF0000"/>
          <w:sz w:val="24"/>
          <w:szCs w:val="24"/>
          <w:lang w:eastAsia="zh-CN"/>
        </w:rPr>
        <w:t>0</w:t>
      </w:r>
      <w:r>
        <w:rPr>
          <w:rFonts w:hint="eastAsia" w:ascii="宋体" w:hAnsi="宋体" w:eastAsia="宋体" w:cs="宋体"/>
          <w:i/>
          <w:iCs/>
          <w:color w:val="FF0000"/>
          <w:sz w:val="24"/>
          <w:szCs w:val="24"/>
          <w:lang w:eastAsia="zh-CN"/>
        </w:rPr>
        <w:t>，评价总分值为</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场地绿容率计算值不低于</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i/>
          <w:iCs/>
          <w:color w:val="FF0000"/>
          <w:sz w:val="28"/>
          <w:szCs w:val="28"/>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场地绿容率实测值不低于</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说明场地绿容</w:t>
      </w:r>
      <w:r>
        <w:rPr>
          <w:rFonts w:hint="eastAsia"/>
          <w:color w:val="auto"/>
          <w:sz w:val="21"/>
          <w:szCs w:val="21"/>
          <w:lang w:val="en-US" w:eastAsia="zh-CN"/>
        </w:rPr>
        <w:t>率</w:t>
      </w:r>
      <w:r>
        <w:rPr>
          <w:rFonts w:hint="eastAsia"/>
          <w:color w:val="auto"/>
          <w:sz w:val="21"/>
          <w:szCs w:val="21"/>
        </w:rPr>
        <w:t>的计算过程</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绿容率计算书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lang w:val="en-US" w:eastAsia="zh-CN"/>
        </w:rPr>
        <w:t>二</w:t>
      </w:r>
      <w:r>
        <w:rPr>
          <w:rFonts w:hint="eastAsia"/>
          <w:color w:val="auto"/>
          <w:sz w:val="28"/>
          <w:szCs w:val="28"/>
        </w:rPr>
        <w:t>次设计达标承诺函</w:t>
      </w:r>
    </w:p>
    <w:p>
      <w:p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：景观专篇中控制项全部满足要求，评分项得分汇总如下：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009"/>
        <w:gridCol w:w="1010"/>
        <w:gridCol w:w="1356"/>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景观专业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00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35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 ）</w:t>
            </w:r>
          </w:p>
        </w:tc>
        <w:tc>
          <w:tcPr>
            <w:tcW w:w="100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kern w:val="0"/>
                <w:sz w:val="20"/>
                <w:szCs w:val="20"/>
                <w:u w:val="none"/>
                <w:lang w:val="en-US" w:eastAsia="zh-CN" w:bidi="ar"/>
              </w:rPr>
              <w:t>—</w:t>
            </w:r>
          </w:p>
        </w:tc>
        <w:tc>
          <w:tcPr>
            <w:tcW w:w="1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kern w:val="0"/>
                <w:sz w:val="20"/>
                <w:szCs w:val="20"/>
                <w:u w:val="none"/>
                <w:lang w:val="en-US" w:eastAsia="zh-CN" w:bidi="ar"/>
              </w:rPr>
              <w:t>—</w:t>
            </w:r>
          </w:p>
        </w:tc>
        <w:tc>
          <w:tcPr>
            <w:tcW w:w="1356"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11</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cs="宋体"/>
                <w:i w:val="0"/>
                <w:color w:val="auto"/>
                <w:sz w:val="20"/>
                <w:szCs w:val="20"/>
                <w:u w:val="none"/>
                <w:lang w:val="en-US" w:eastAsia="zh-CN"/>
              </w:rPr>
              <w:t>（ ）</w:t>
            </w:r>
          </w:p>
          <w:p>
            <w:pPr>
              <w:keepNext w:val="0"/>
              <w:keepLines w:val="0"/>
              <w:widowControl/>
              <w:suppressLineNumbers w:val="0"/>
              <w:jc w:val="both"/>
              <w:textAlignment w:val="center"/>
              <w:rPr>
                <w:rFonts w:hint="default" w:ascii="宋体" w:hAnsi="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12</w:t>
            </w:r>
            <w:r>
              <w:rPr>
                <w:rFonts w:hint="eastAsia" w:ascii="宋体" w:hAnsi="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00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35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b/>
          <w:bCs/>
          <w:color w:val="auto"/>
          <w:sz w:val="28"/>
          <w:szCs w:val="28"/>
          <w:lang w:val="en-US" w:eastAsia="zh-CN"/>
        </w:rPr>
      </w:pPr>
    </w:p>
    <w:p>
      <w:pPr>
        <w:pStyle w:val="2"/>
        <w:rPr>
          <w:rFonts w:hint="eastAsia"/>
          <w:lang w:val="en-US" w:eastAsia="zh-CN"/>
        </w:rPr>
      </w:pPr>
    </w:p>
    <w:p>
      <w:pPr>
        <w:spacing w:line="360" w:lineRule="auto"/>
        <w:rPr>
          <w:rFonts w:hint="eastAsia"/>
          <w:b/>
          <w:bCs/>
          <w:color w:val="auto"/>
          <w:sz w:val="28"/>
          <w:szCs w:val="28"/>
          <w:lang w:val="en-US" w:eastAsia="zh-CN"/>
        </w:rPr>
      </w:pPr>
    </w:p>
    <w:p>
      <w:pPr>
        <w:pStyle w:val="2"/>
        <w:rPr>
          <w:rFonts w:hint="eastAsia"/>
          <w:b/>
          <w:bCs/>
          <w:color w:val="auto"/>
          <w:sz w:val="28"/>
          <w:szCs w:val="28"/>
          <w:lang w:val="en-US" w:eastAsia="zh-CN"/>
        </w:rPr>
      </w:pPr>
    </w:p>
    <w:p>
      <w:pPr>
        <w:rPr>
          <w:rFonts w:hint="eastAsia"/>
          <w:lang w:val="en-US" w:eastAsia="zh-CN"/>
        </w:rPr>
      </w:pPr>
    </w:p>
    <w:p>
      <w:pPr>
        <w:pStyle w:val="4"/>
        <w:spacing w:line="360" w:lineRule="auto"/>
        <w:rPr>
          <w:rFonts w:hint="default" w:ascii="Times New Roman" w:hAnsi="Times New Roman" w:eastAsia="宋体" w:cs="Times New Roman"/>
          <w:b/>
          <w:bCs/>
          <w:color w:val="auto"/>
          <w:sz w:val="28"/>
          <w:szCs w:val="24"/>
          <w:lang w:val="en-US" w:eastAsia="zh-CN"/>
        </w:rPr>
      </w:pPr>
      <w:bookmarkStart w:id="253" w:name="_Toc4834"/>
      <w:bookmarkStart w:id="254" w:name="_Toc28394"/>
      <w:bookmarkStart w:id="255" w:name="_Toc6245"/>
      <w:bookmarkStart w:id="256" w:name="_Toc1924"/>
      <w:bookmarkStart w:id="257" w:name="_Toc6806"/>
      <w:bookmarkStart w:id="258" w:name="_Toc7838"/>
      <w:bookmarkStart w:id="259" w:name="_Toc29007"/>
      <w:bookmarkStart w:id="260" w:name="_Toc17475"/>
      <w:bookmarkStart w:id="261" w:name="_Toc16966"/>
      <w:bookmarkStart w:id="262" w:name="_Toc11551"/>
      <w:bookmarkStart w:id="263" w:name="_Toc30511"/>
      <w:bookmarkStart w:id="264" w:name="_Toc20169"/>
      <w:bookmarkStart w:id="265" w:name="_Toc31054"/>
      <w:bookmarkStart w:id="266" w:name="_Toc22642"/>
      <w:bookmarkStart w:id="267" w:name="_Toc3660"/>
      <w:bookmarkStart w:id="268" w:name="_Toc16436"/>
      <w:bookmarkStart w:id="269" w:name="_Toc30540"/>
      <w:bookmarkStart w:id="270" w:name="_Toc15180"/>
      <w:r>
        <w:rPr>
          <w:rFonts w:hint="default" w:ascii="Times New Roman" w:hAnsi="Times New Roman" w:eastAsia="Times New Roman" w:cs="Times New Roman"/>
          <w:bCs/>
          <w:color w:val="auto"/>
          <w:sz w:val="30"/>
          <w:szCs w:val="24"/>
          <w:lang w:val="en-US" w:eastAsia="zh-CN"/>
        </w:rPr>
        <w:t>4</w:t>
      </w:r>
      <w:r>
        <w:rPr>
          <w:rFonts w:hint="default" w:ascii="Times New Roman" w:hAnsi="Times New Roman" w:eastAsia="宋体" w:cs="Times New Roman"/>
          <w:bCs/>
          <w:color w:val="auto"/>
          <w:sz w:val="30"/>
          <w:szCs w:val="24"/>
          <w:lang w:val="en-US" w:eastAsia="zh-CN"/>
        </w:rPr>
        <w:t>.</w:t>
      </w:r>
      <w:r>
        <w:rPr>
          <w:rFonts w:hint="default" w:ascii="Times New Roman" w:hAnsi="Times New Roman" w:eastAsia="Times New Roman" w:cs="Times New Roman"/>
          <w:bCs/>
          <w:color w:val="auto"/>
          <w:sz w:val="30"/>
          <w:szCs w:val="24"/>
          <w:lang w:val="en-US" w:eastAsia="zh-CN"/>
        </w:rPr>
        <w:t>3</w:t>
      </w:r>
      <w:r>
        <w:rPr>
          <w:rFonts w:hint="eastAsia"/>
          <w:bCs/>
          <w:lang w:val="en-US" w:eastAsia="zh-CN"/>
        </w:rPr>
        <w:t xml:space="preserve">  </w:t>
      </w:r>
      <w:r>
        <w:rPr>
          <w:rFonts w:hint="default" w:ascii="Times New Roman" w:hAnsi="Times New Roman" w:eastAsia="宋体" w:cs="Times New Roman"/>
          <w:b/>
          <w:bCs/>
          <w:color w:val="auto"/>
          <w:sz w:val="30"/>
          <w:szCs w:val="24"/>
          <w:lang w:val="en-US" w:eastAsia="zh-CN"/>
        </w:rPr>
        <w:t>中山市绿色建筑设计说明专篇-结构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360" w:lineRule="auto"/>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中山市绿色建筑设计说明专篇-结构</w:t>
      </w:r>
    </w:p>
    <w:p>
      <w:pPr>
        <w:rPr>
          <w:rFonts w:hint="eastAsia"/>
          <w:b/>
          <w:bCs/>
          <w:color w:val="auto"/>
          <w:sz w:val="28"/>
          <w:szCs w:val="28"/>
          <w:lang w:val="en-US" w:eastAsia="zh-CN"/>
        </w:rPr>
      </w:pPr>
      <w:r>
        <w:rPr>
          <w:rFonts w:hint="eastAsia"/>
          <w:b/>
          <w:bCs/>
          <w:color w:val="auto"/>
          <w:sz w:val="28"/>
          <w:szCs w:val="28"/>
          <w:lang w:val="en-US" w:eastAsia="zh-CN"/>
        </w:rPr>
        <w:t>A.必须说明内容（控制项）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建筑结构应满足承载力和建筑使用功能要求</w:t>
      </w:r>
      <w:r>
        <w:rPr>
          <w:rFonts w:hint="eastAsia"/>
          <w:color w:val="auto"/>
          <w:sz w:val="28"/>
          <w:szCs w:val="28"/>
          <w:lang w:eastAsia="zh-CN"/>
        </w:rPr>
        <w:t>。</w:t>
      </w:r>
      <w:r>
        <w:rPr>
          <w:rFonts w:hint="eastAsia"/>
          <w:color w:val="auto"/>
          <w:sz w:val="28"/>
          <w:szCs w:val="28"/>
        </w:rPr>
        <w:t>建筑外墙、屋面、门窗、幕墙及外保温等围护结构应满足安全、</w:t>
      </w:r>
      <w:r>
        <w:rPr>
          <w:rFonts w:hint="eastAsia"/>
          <w:color w:val="auto"/>
          <w:sz w:val="28"/>
          <w:szCs w:val="28"/>
          <w:lang w:val="en-US" w:eastAsia="zh-CN"/>
        </w:rPr>
        <w:t>耐</w:t>
      </w:r>
      <w:r>
        <w:rPr>
          <w:rFonts w:hint="eastAsia"/>
          <w:color w:val="auto"/>
          <w:sz w:val="28"/>
          <w:szCs w:val="28"/>
        </w:rPr>
        <w:t>久和防护的要求</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rPr>
        <w:t>.</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建筑外</w:t>
      </w:r>
      <w:r>
        <w:rPr>
          <w:rFonts w:hint="eastAsia"/>
          <w:color w:val="auto"/>
          <w:sz w:val="21"/>
          <w:szCs w:val="21"/>
          <w:lang w:val="en-US" w:eastAsia="zh-CN"/>
        </w:rPr>
        <w:t>墙</w:t>
      </w:r>
      <w:r>
        <w:rPr>
          <w:rFonts w:hint="eastAsia"/>
          <w:color w:val="auto"/>
          <w:sz w:val="21"/>
          <w:szCs w:val="21"/>
        </w:rPr>
        <w:t>、屋面、门</w:t>
      </w:r>
      <w:r>
        <w:rPr>
          <w:rFonts w:hint="eastAsia"/>
          <w:color w:val="auto"/>
          <w:sz w:val="21"/>
          <w:szCs w:val="21"/>
          <w:lang w:val="en-US" w:eastAsia="zh-CN"/>
        </w:rPr>
        <w:t>窗</w:t>
      </w:r>
      <w:r>
        <w:rPr>
          <w:rFonts w:hint="eastAsia"/>
          <w:color w:val="auto"/>
          <w:sz w:val="21"/>
          <w:szCs w:val="21"/>
        </w:rPr>
        <w:t>、幕墙及外保温等围护结构应满足安全、</w:t>
      </w:r>
      <w:r>
        <w:rPr>
          <w:rFonts w:hint="eastAsia"/>
          <w:color w:val="auto"/>
          <w:sz w:val="21"/>
          <w:szCs w:val="21"/>
          <w:lang w:val="en-US" w:eastAsia="zh-CN"/>
        </w:rPr>
        <w:t>耐</w:t>
      </w:r>
      <w:r>
        <w:rPr>
          <w:rFonts w:hint="eastAsia"/>
          <w:color w:val="auto"/>
          <w:sz w:val="21"/>
          <w:szCs w:val="21"/>
        </w:rPr>
        <w:t>久和防护的要求</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外</w:t>
      </w:r>
      <w:r>
        <w:rPr>
          <w:rFonts w:hint="eastAsia"/>
          <w:color w:val="auto"/>
          <w:sz w:val="28"/>
          <w:szCs w:val="28"/>
          <w:lang w:val="en-US" w:eastAsia="zh-CN"/>
        </w:rPr>
        <w:t>遮阳</w:t>
      </w:r>
      <w:r>
        <w:rPr>
          <w:rFonts w:hint="eastAsia"/>
          <w:color w:val="auto"/>
          <w:sz w:val="28"/>
          <w:szCs w:val="28"/>
        </w:rPr>
        <w:t>、</w:t>
      </w:r>
      <w:r>
        <w:rPr>
          <w:rFonts w:hint="eastAsia"/>
          <w:color w:val="auto"/>
          <w:sz w:val="28"/>
          <w:szCs w:val="28"/>
          <w:lang w:val="en-US" w:eastAsia="zh-CN"/>
        </w:rPr>
        <w:t>太阳能设施</w:t>
      </w:r>
      <w:r>
        <w:rPr>
          <w:rFonts w:hint="eastAsia"/>
          <w:color w:val="auto"/>
          <w:sz w:val="28"/>
          <w:szCs w:val="28"/>
        </w:rPr>
        <w:t>、空调室外机位、</w:t>
      </w:r>
      <w:r>
        <w:rPr>
          <w:rFonts w:hint="eastAsia"/>
          <w:color w:val="auto"/>
          <w:sz w:val="28"/>
          <w:szCs w:val="28"/>
          <w:lang w:val="en-US" w:eastAsia="zh-CN"/>
        </w:rPr>
        <w:t>外墙花池</w:t>
      </w:r>
      <w:r>
        <w:rPr>
          <w:rFonts w:hint="eastAsia"/>
          <w:color w:val="auto"/>
          <w:sz w:val="28"/>
          <w:szCs w:val="28"/>
        </w:rPr>
        <w:t>等</w:t>
      </w:r>
      <w:r>
        <w:rPr>
          <w:rFonts w:hint="eastAsia"/>
          <w:color w:val="auto"/>
          <w:sz w:val="28"/>
          <w:szCs w:val="28"/>
          <w:lang w:val="en-US" w:eastAsia="zh-CN"/>
        </w:rPr>
        <w:t>外部设施</w:t>
      </w:r>
      <w:r>
        <w:rPr>
          <w:rFonts w:hint="eastAsia"/>
          <w:color w:val="auto"/>
          <w:sz w:val="28"/>
          <w:szCs w:val="28"/>
        </w:rPr>
        <w:t>应与</w:t>
      </w:r>
      <w:r>
        <w:rPr>
          <w:rFonts w:hint="eastAsia"/>
          <w:color w:val="auto"/>
          <w:sz w:val="28"/>
          <w:szCs w:val="28"/>
          <w:lang w:eastAsia="zh-CN"/>
        </w:rPr>
        <w:t>建筑主体结构统一设计</w:t>
      </w:r>
      <w:r>
        <w:rPr>
          <w:rFonts w:hint="eastAsia"/>
          <w:color w:val="auto"/>
          <w:sz w:val="28"/>
          <w:szCs w:val="28"/>
        </w:rPr>
        <w:t>、施工，并应</w:t>
      </w:r>
      <w:r>
        <w:rPr>
          <w:rFonts w:hint="eastAsia"/>
          <w:color w:val="auto"/>
          <w:sz w:val="28"/>
          <w:szCs w:val="28"/>
          <w:lang w:val="en-US" w:eastAsia="zh-CN"/>
        </w:rPr>
        <w:t>具备安装</w:t>
      </w:r>
      <w:r>
        <w:rPr>
          <w:rFonts w:hint="eastAsia"/>
          <w:color w:val="auto"/>
          <w:sz w:val="28"/>
          <w:szCs w:val="28"/>
        </w:rPr>
        <w:t>、检修与维护条件</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rPr>
        <w:t>本</w:t>
      </w:r>
      <w:r>
        <w:rPr>
          <w:rFonts w:hint="eastAsia"/>
          <w:color w:val="auto"/>
          <w:sz w:val="28"/>
          <w:szCs w:val="28"/>
          <w:u w:val="single"/>
          <w:lang w:val="en-US" w:eastAsia="zh-CN"/>
        </w:rPr>
        <w:t>项</w:t>
      </w:r>
      <w:r>
        <w:rPr>
          <w:rFonts w:hint="eastAsia"/>
          <w:color w:val="auto"/>
          <w:sz w:val="28"/>
          <w:szCs w:val="28"/>
          <w:u w:val="single"/>
        </w:rPr>
        <w:t>目空调室外机位与</w:t>
      </w:r>
      <w:r>
        <w:rPr>
          <w:rFonts w:hint="eastAsia"/>
          <w:color w:val="auto"/>
          <w:sz w:val="28"/>
          <w:szCs w:val="28"/>
          <w:u w:val="single"/>
          <w:lang w:val="en-US" w:eastAsia="zh-CN"/>
        </w:rPr>
        <w:t>建筑</w:t>
      </w:r>
      <w:r>
        <w:rPr>
          <w:rFonts w:hint="eastAsia"/>
          <w:color w:val="auto"/>
          <w:sz w:val="28"/>
          <w:szCs w:val="28"/>
          <w:u w:val="single"/>
        </w:rPr>
        <w:t>主体</w:t>
      </w:r>
      <w:r>
        <w:rPr>
          <w:rFonts w:hint="eastAsia"/>
          <w:color w:val="auto"/>
          <w:sz w:val="28"/>
          <w:szCs w:val="28"/>
          <w:u w:val="single"/>
          <w:lang w:val="en-US" w:eastAsia="zh-CN"/>
        </w:rPr>
        <w:t>结构统一</w:t>
      </w:r>
      <w:r>
        <w:rPr>
          <w:rFonts w:hint="eastAsia"/>
          <w:color w:val="auto"/>
          <w:sz w:val="28"/>
          <w:szCs w:val="28"/>
          <w:u w:val="single"/>
        </w:rPr>
        <w:t>设计、</w:t>
      </w:r>
      <w:r>
        <w:rPr>
          <w:rFonts w:hint="eastAsia"/>
          <w:color w:val="auto"/>
          <w:sz w:val="28"/>
          <w:szCs w:val="28"/>
          <w:u w:val="single"/>
          <w:lang w:val="en-US" w:eastAsia="zh-CN"/>
        </w:rPr>
        <w:t>施工</w:t>
      </w:r>
      <w:r>
        <w:rPr>
          <w:rFonts w:hint="eastAsia"/>
          <w:color w:val="auto"/>
          <w:sz w:val="28"/>
          <w:szCs w:val="28"/>
          <w:u w:val="single"/>
          <w:lang w:eastAsia="zh-CN"/>
        </w:rPr>
        <w:t>；</w:t>
      </w:r>
      <w:r>
        <w:rPr>
          <w:rFonts w:hint="eastAsia"/>
          <w:color w:val="auto"/>
          <w:sz w:val="28"/>
          <w:szCs w:val="28"/>
          <w:u w:val="single"/>
        </w:rPr>
        <w:t>设计检</w:t>
      </w:r>
      <w:r>
        <w:rPr>
          <w:rFonts w:hint="eastAsia"/>
          <w:color w:val="auto"/>
          <w:sz w:val="28"/>
          <w:szCs w:val="28"/>
          <w:u w:val="single"/>
          <w:lang w:val="en-US" w:eastAsia="zh-CN"/>
        </w:rPr>
        <w:t>修</w:t>
      </w:r>
      <w:r>
        <w:rPr>
          <w:rFonts w:hint="eastAsia"/>
          <w:color w:val="auto"/>
          <w:sz w:val="28"/>
          <w:szCs w:val="28"/>
          <w:u w:val="single"/>
        </w:rPr>
        <w:t>通道用</w:t>
      </w:r>
      <w:r>
        <w:rPr>
          <w:rFonts w:hint="eastAsia"/>
          <w:color w:val="auto"/>
          <w:sz w:val="28"/>
          <w:szCs w:val="28"/>
          <w:u w:val="single"/>
          <w:lang w:val="en-US" w:eastAsia="zh-CN"/>
        </w:rPr>
        <w:t>于</w:t>
      </w:r>
      <w:r>
        <w:rPr>
          <w:rFonts w:hint="eastAsia"/>
          <w:color w:val="auto"/>
          <w:sz w:val="28"/>
          <w:szCs w:val="28"/>
          <w:u w:val="single"/>
        </w:rPr>
        <w:t>外部</w:t>
      </w:r>
      <w:r>
        <w:rPr>
          <w:rFonts w:hint="eastAsia"/>
          <w:color w:val="auto"/>
          <w:sz w:val="28"/>
          <w:szCs w:val="28"/>
          <w:u w:val="single"/>
          <w:lang w:val="en-US" w:eastAsia="zh-CN"/>
        </w:rPr>
        <w:t>设施</w:t>
      </w:r>
      <w:r>
        <w:rPr>
          <w:rFonts w:hint="eastAsia"/>
          <w:color w:val="auto"/>
          <w:sz w:val="28"/>
          <w:szCs w:val="28"/>
          <w:u w:val="single"/>
        </w:rPr>
        <w:t>定期</w:t>
      </w:r>
      <w:r>
        <w:rPr>
          <w:rFonts w:hint="eastAsia"/>
          <w:color w:val="auto"/>
          <w:sz w:val="28"/>
          <w:szCs w:val="28"/>
          <w:u w:val="single"/>
          <w:lang w:val="en-US" w:eastAsia="zh-CN"/>
        </w:rPr>
        <w:t>检修和维护。</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lang w:eastAsia="zh-CN"/>
        </w:rPr>
        <w:t>建筑内部的非结构构件</w:t>
      </w:r>
      <w:r>
        <w:rPr>
          <w:rFonts w:hint="eastAsia"/>
          <w:color w:val="auto"/>
          <w:sz w:val="28"/>
          <w:szCs w:val="28"/>
        </w:rPr>
        <w:t>、设备及</w:t>
      </w:r>
      <w:r>
        <w:rPr>
          <w:rFonts w:hint="eastAsia"/>
          <w:color w:val="auto"/>
          <w:sz w:val="28"/>
          <w:szCs w:val="28"/>
          <w:lang w:val="en-US" w:eastAsia="zh-CN"/>
        </w:rPr>
        <w:t>附属设施</w:t>
      </w:r>
      <w:r>
        <w:rPr>
          <w:rFonts w:hint="eastAsia"/>
          <w:color w:val="auto"/>
          <w:sz w:val="28"/>
          <w:szCs w:val="28"/>
        </w:rPr>
        <w:t>等应连接牢固并能适应主体结构变形</w:t>
      </w:r>
      <w:r>
        <w:rPr>
          <w:rFonts w:hint="eastAsia"/>
          <w:color w:val="auto"/>
          <w:sz w:val="28"/>
          <w:szCs w:val="28"/>
          <w:lang w:eastAsia="zh-CN"/>
        </w:rPr>
        <w:t>。（</w:t>
      </w:r>
      <w:r>
        <w:rPr>
          <w:rFonts w:hint="eastAsia" w:eastAsia="Times New Roman"/>
          <w:color w:val="auto"/>
          <w:sz w:val="28"/>
          <w:szCs w:val="28"/>
          <w:lang w:eastAsia="zh-CN"/>
        </w:rPr>
        <w:t>4</w:t>
      </w:r>
      <w:r>
        <w:rPr>
          <w:rFonts w:hint="eastAsia"/>
          <w:color w:val="auto"/>
          <w:sz w:val="28"/>
          <w:szCs w:val="28"/>
          <w:lang w:eastAsia="zh-CN"/>
        </w:rPr>
        <w:t>.</w:t>
      </w:r>
      <w:r>
        <w:rPr>
          <w:rFonts w:hint="eastAsia" w:eastAsia="Times New Roman"/>
          <w:color w:val="auto"/>
          <w:sz w:val="28"/>
          <w:szCs w:val="28"/>
          <w:lang w:eastAsia="zh-CN"/>
        </w:rPr>
        <w:t>1</w:t>
      </w:r>
      <w:r>
        <w:rPr>
          <w:rFonts w:hint="eastAsia"/>
          <w:color w:val="auto"/>
          <w:sz w:val="28"/>
          <w:szCs w:val="28"/>
          <w:lang w:eastAsia="zh-CN"/>
        </w:rPr>
        <w:t>.</w:t>
      </w:r>
      <w:r>
        <w:rPr>
          <w:rFonts w:hint="eastAsia" w:eastAsia="Times New Roman"/>
          <w:color w:val="auto"/>
          <w:sz w:val="28"/>
          <w:szCs w:val="28"/>
          <w:lang w:eastAsia="zh-CN"/>
        </w:rPr>
        <w:t>4</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本项目</w:t>
      </w:r>
      <w:r>
        <w:rPr>
          <w:rFonts w:hint="eastAsia"/>
          <w:color w:val="auto"/>
          <w:sz w:val="28"/>
          <w:szCs w:val="28"/>
          <w:u w:val="single"/>
        </w:rPr>
        <w:t>建筑内部的非结构</w:t>
      </w:r>
      <w:r>
        <w:rPr>
          <w:rFonts w:hint="eastAsia"/>
          <w:color w:val="auto"/>
          <w:sz w:val="28"/>
          <w:szCs w:val="28"/>
          <w:u w:val="single"/>
          <w:lang w:val="en-US" w:eastAsia="zh-CN"/>
        </w:rPr>
        <w:t>构件</w:t>
      </w:r>
      <w:r>
        <w:rPr>
          <w:rFonts w:hint="eastAsia"/>
          <w:color w:val="auto"/>
          <w:sz w:val="28"/>
          <w:szCs w:val="28"/>
          <w:u w:val="single"/>
        </w:rPr>
        <w:t>、</w:t>
      </w:r>
      <w:r>
        <w:rPr>
          <w:rFonts w:hint="eastAsia"/>
          <w:color w:val="auto"/>
          <w:sz w:val="28"/>
          <w:szCs w:val="28"/>
          <w:u w:val="single"/>
          <w:lang w:val="en-US" w:eastAsia="zh-CN"/>
        </w:rPr>
        <w:t>设备</w:t>
      </w:r>
      <w:r>
        <w:rPr>
          <w:rFonts w:hint="eastAsia"/>
          <w:color w:val="auto"/>
          <w:sz w:val="28"/>
          <w:szCs w:val="28"/>
          <w:u w:val="single"/>
        </w:rPr>
        <w:t>及附属</w:t>
      </w:r>
      <w:r>
        <w:rPr>
          <w:rFonts w:hint="eastAsia"/>
          <w:color w:val="auto"/>
          <w:sz w:val="28"/>
          <w:szCs w:val="28"/>
          <w:u w:val="single"/>
          <w:lang w:val="en-US" w:eastAsia="zh-CN"/>
        </w:rPr>
        <w:t>措施</w:t>
      </w:r>
      <w:r>
        <w:rPr>
          <w:rFonts w:hint="eastAsia"/>
          <w:color w:val="auto"/>
          <w:sz w:val="28"/>
          <w:szCs w:val="28"/>
          <w:u w:val="single"/>
        </w:rPr>
        <w:t>等采用机械固定、</w:t>
      </w:r>
      <w:r>
        <w:rPr>
          <w:rFonts w:hint="eastAsia"/>
          <w:color w:val="auto"/>
          <w:sz w:val="28"/>
          <w:szCs w:val="28"/>
          <w:u w:val="single"/>
          <w:lang w:val="en-US" w:eastAsia="zh-CN"/>
        </w:rPr>
        <w:t>焊接</w:t>
      </w:r>
      <w:r>
        <w:rPr>
          <w:rFonts w:hint="eastAsia"/>
          <w:color w:val="auto"/>
          <w:sz w:val="28"/>
          <w:szCs w:val="28"/>
          <w:u w:val="single"/>
        </w:rPr>
        <w:t>、预埋等牢固性构件</w:t>
      </w:r>
      <w:r>
        <w:rPr>
          <w:rFonts w:hint="eastAsia"/>
          <w:color w:val="auto"/>
          <w:sz w:val="28"/>
          <w:szCs w:val="28"/>
          <w:u w:val="single"/>
          <w:lang w:val="en-US" w:eastAsia="zh-CN"/>
        </w:rPr>
        <w:t>连接</w:t>
      </w:r>
      <w:r>
        <w:rPr>
          <w:rFonts w:hint="eastAsia"/>
          <w:color w:val="auto"/>
          <w:sz w:val="28"/>
          <w:szCs w:val="28"/>
          <w:u w:val="single"/>
        </w:rPr>
        <w:t>方式或一体化建造方式与建筑主体结构可靠连接</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不应采用建筑形体和布置严重不规则的建筑结构</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8</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lang w:val="en-US" w:eastAsia="zh-CN"/>
        </w:rPr>
      </w:pPr>
      <w:r>
        <w:rPr>
          <w:rFonts w:hint="eastAsia"/>
          <w:color w:val="auto"/>
          <w:sz w:val="28"/>
          <w:szCs w:val="28"/>
          <w:lang w:eastAsia="zh-CN"/>
        </w:rPr>
        <w:t>技术措施说明：</w:t>
      </w:r>
      <w:r>
        <w:rPr>
          <w:rFonts w:hint="eastAsia"/>
          <w:color w:val="auto"/>
          <w:sz w:val="28"/>
          <w:szCs w:val="28"/>
          <w:u w:val="single"/>
        </w:rPr>
        <w:t>本项目建筑形体为</w:t>
      </w:r>
      <w:r>
        <w:rPr>
          <w:rFonts w:hint="eastAsia"/>
          <w:color w:val="auto"/>
          <w:sz w:val="28"/>
          <w:szCs w:val="28"/>
          <w:u w:val="single"/>
          <w:lang w:val="en-US" w:eastAsia="zh-CN"/>
        </w:rPr>
        <w:t xml:space="preserve">     </w:t>
      </w:r>
      <w:r>
        <w:rPr>
          <w:rFonts w:hint="eastAsia"/>
          <w:color w:val="auto"/>
          <w:sz w:val="28"/>
          <w:szCs w:val="28"/>
          <w:u w:val="single"/>
        </w:rPr>
        <w:t>性建筑</w:t>
      </w:r>
      <w:r>
        <w:rPr>
          <w:rFonts w:hint="eastAsia"/>
          <w:color w:val="auto"/>
          <w:sz w:val="28"/>
          <w:szCs w:val="28"/>
          <w:lang w:eastAsia="zh-CN"/>
        </w:rPr>
        <w:t>。</w:t>
      </w:r>
    </w:p>
    <w:p>
      <w:pPr>
        <w:rPr>
          <w:rFonts w:hint="default" w:eastAsia="宋体"/>
          <w:color w:val="auto"/>
          <w:sz w:val="28"/>
          <w:szCs w:val="28"/>
          <w:lang w:val="en-US" w:eastAsia="zh-CN"/>
        </w:rPr>
      </w:pPr>
      <w:r>
        <w:rPr>
          <w:rFonts w:hint="eastAsia"/>
          <w:color w:val="auto"/>
          <w:sz w:val="28"/>
          <w:szCs w:val="28"/>
          <w:lang w:val="en-US" w:eastAsia="zh-CN"/>
        </w:rPr>
        <w:t>证明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建筑形体规则性判定报告</w:t>
      </w:r>
    </w:p>
    <w:p>
      <w:pPr>
        <w:rPr>
          <w:rFonts w:hint="default"/>
          <w:color w:val="auto"/>
          <w:sz w:val="28"/>
          <w:szCs w:val="28"/>
          <w:lang w:val="en-US" w:eastAsia="zh-CN"/>
        </w:rPr>
      </w:pPr>
      <w:r>
        <w:rPr>
          <w:rFonts w:hint="eastAsia" w:eastAsia="Times New Roman"/>
          <w:i w:val="0"/>
          <w:iCs w:val="0"/>
          <w:color w:val="auto"/>
          <w:sz w:val="28"/>
          <w:szCs w:val="28"/>
          <w:lang w:val="en-US" w:eastAsia="zh-CN"/>
        </w:rPr>
        <w:t>5</w:t>
      </w:r>
      <w:r>
        <w:rPr>
          <w:rFonts w:hint="eastAsia"/>
          <w:i w:val="0"/>
          <w:iCs w:val="0"/>
          <w:color w:val="auto"/>
          <w:sz w:val="28"/>
          <w:szCs w:val="28"/>
          <w:lang w:val="en-US" w:eastAsia="zh-CN"/>
        </w:rPr>
        <w:t>、选用的建筑材料应符合下列规定：</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 </w:t>
      </w:r>
      <w:r>
        <w:rPr>
          <w:rFonts w:hint="eastAsia" w:eastAsia="Times New Roman"/>
          <w:i w:val="0"/>
          <w:iCs w:val="0"/>
          <w:color w:val="auto"/>
          <w:sz w:val="28"/>
          <w:szCs w:val="28"/>
          <w:lang w:val="en-US" w:eastAsia="zh-CN"/>
        </w:rPr>
        <w:t>500</w:t>
      </w:r>
      <w:r>
        <w:rPr>
          <w:rFonts w:hint="eastAsia"/>
          <w:i w:val="0"/>
          <w:iCs w:val="0"/>
          <w:color w:val="auto"/>
          <w:sz w:val="28"/>
          <w:szCs w:val="28"/>
          <w:lang w:val="en-US" w:eastAsia="zh-CN"/>
        </w:rPr>
        <w:t>km以内生产的建筑材料重量占建筑材料总重量的比例应大于</w:t>
      </w:r>
      <w:r>
        <w:rPr>
          <w:rFonts w:hint="eastAsia" w:eastAsia="Times New Roman"/>
          <w:i w:val="0"/>
          <w:iCs w:val="0"/>
          <w:color w:val="auto"/>
          <w:sz w:val="28"/>
          <w:szCs w:val="28"/>
          <w:lang w:val="en-US" w:eastAsia="zh-CN"/>
        </w:rPr>
        <w:t>60</w:t>
      </w:r>
      <w:r>
        <w:rPr>
          <w:rFonts w:hint="eastAsia"/>
          <w:i w:val="0"/>
          <w:iCs w:val="0"/>
          <w:color w:val="auto"/>
          <w:sz w:val="28"/>
          <w:szCs w:val="28"/>
          <w:lang w:val="en-US" w:eastAsia="zh-CN"/>
        </w:rPr>
        <w:t>％； </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 现浇混凝土应采用预拌混凝土，建筑砂浆应采用预拌砂浆。(</w:t>
      </w:r>
      <w:r>
        <w:rPr>
          <w:rFonts w:hint="eastAsia" w:eastAsia="Times New Roman"/>
          <w:i w:val="0"/>
          <w:iCs w:val="0"/>
          <w:color w:val="auto"/>
          <w:sz w:val="28"/>
          <w:szCs w:val="28"/>
          <w:lang w:val="en-US" w:eastAsia="zh-CN"/>
        </w:rPr>
        <w:t>7</w:t>
      </w:r>
      <w:r>
        <w:rPr>
          <w:rFonts w:hint="eastAsia"/>
          <w:i w:val="0"/>
          <w:iCs w:val="0"/>
          <w:color w:val="auto"/>
          <w:sz w:val="28"/>
          <w:szCs w:val="28"/>
        </w:rPr>
        <w:t>.</w:t>
      </w:r>
      <w:r>
        <w:rPr>
          <w:rFonts w:hint="eastAsia" w:eastAsia="Times New Roman"/>
          <w:i w:val="0"/>
          <w:iCs w:val="0"/>
          <w:color w:val="auto"/>
          <w:sz w:val="28"/>
          <w:szCs w:val="28"/>
        </w:rPr>
        <w:t>1</w:t>
      </w:r>
      <w:r>
        <w:rPr>
          <w:rFonts w:hint="eastAsia"/>
          <w:i w:val="0"/>
          <w:iCs w:val="0"/>
          <w:color w:val="auto"/>
          <w:sz w:val="28"/>
          <w:szCs w:val="28"/>
        </w:rPr>
        <w:t>.</w:t>
      </w:r>
      <w:r>
        <w:rPr>
          <w:rFonts w:hint="eastAsia" w:eastAsia="Times New Roman"/>
          <w:i w:val="0"/>
          <w:iCs w:val="0"/>
          <w:color w:val="auto"/>
          <w:sz w:val="28"/>
          <w:szCs w:val="28"/>
        </w:rPr>
        <w:t>10</w:t>
      </w:r>
      <w:r>
        <w:rPr>
          <w:rFonts w:hint="eastAsia"/>
          <w:i w:val="0"/>
          <w:iCs w:val="0"/>
          <w:color w:val="auto"/>
          <w:sz w:val="28"/>
          <w:szCs w:val="28"/>
          <w:lang w:val="en-US" w:eastAsia="zh-CN"/>
        </w:rPr>
        <w:t>条）</w:t>
      </w:r>
    </w:p>
    <w:p>
      <w:pPr>
        <w:rPr>
          <w:rFonts w:hint="default"/>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（说明本项目建材的主要供应厂家、地理位置；说明预拌砂浆和预拌混凝土的使用情况。）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b/>
          <w:bCs/>
          <w:color w:val="auto"/>
          <w:sz w:val="28"/>
          <w:szCs w:val="28"/>
          <w:lang w:val="en-US" w:eastAsia="zh-CN"/>
        </w:rPr>
      </w:pPr>
      <w:r>
        <w:rPr>
          <w:rFonts w:hint="eastAsia"/>
          <w:color w:val="auto"/>
          <w:sz w:val="28"/>
          <w:szCs w:val="28"/>
          <w:lang w:val="en-US" w:eastAsia="zh-CN"/>
        </w:rPr>
        <w:t>证明材料：设计图纸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、采</w:t>
      </w:r>
      <w:r>
        <w:rPr>
          <w:rFonts w:hint="eastAsia"/>
          <w:color w:val="auto"/>
          <w:sz w:val="28"/>
          <w:szCs w:val="28"/>
        </w:rPr>
        <w:t>用基于性能的抗震设计并合理提高建筑的抗震性能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采用基于性能的抗震设计并合理提高建筑的抗震性能，评价分值为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如何基于性能进行抗震设计并提供合理提高建筑抗震性能的</w:t>
      </w:r>
      <w:r>
        <w:rPr>
          <w:rFonts w:hint="eastAsia"/>
          <w:color w:val="auto"/>
          <w:sz w:val="21"/>
          <w:szCs w:val="21"/>
          <w:lang w:val="en-US" w:eastAsia="zh-CN"/>
        </w:rPr>
        <w:t>简要</w:t>
      </w:r>
      <w:r>
        <w:rPr>
          <w:rFonts w:hint="eastAsia"/>
          <w:color w:val="auto"/>
          <w:sz w:val="21"/>
          <w:szCs w:val="21"/>
        </w:rPr>
        <w:t>说明</w:t>
      </w:r>
      <w:r>
        <w:rPr>
          <w:rFonts w:hint="eastAsia"/>
          <w:color w:val="auto"/>
          <w:sz w:val="21"/>
          <w:szCs w:val="21"/>
          <w:lang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lang w:eastAsia="zh-CN"/>
        </w:rPr>
        <w:t>：□</w:t>
      </w:r>
      <w:r>
        <w:rPr>
          <w:rFonts w:hint="eastAsia"/>
          <w:color w:val="auto"/>
          <w:sz w:val="28"/>
          <w:szCs w:val="28"/>
        </w:rPr>
        <w:t>结构计算文件</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、提高</w:t>
      </w:r>
      <w:r>
        <w:rPr>
          <w:rFonts w:hint="eastAsia"/>
          <w:color w:val="auto"/>
          <w:sz w:val="28"/>
          <w:szCs w:val="28"/>
        </w:rPr>
        <w:t>建筑结构材料的</w:t>
      </w:r>
      <w:r>
        <w:rPr>
          <w:rFonts w:hint="eastAsia"/>
          <w:color w:val="auto"/>
          <w:sz w:val="28"/>
          <w:szCs w:val="28"/>
          <w:lang w:val="en-US" w:eastAsia="zh-CN"/>
        </w:rPr>
        <w:t>耐久</w:t>
      </w:r>
      <w:r>
        <w:rPr>
          <w:rFonts w:hint="eastAsia"/>
          <w:color w:val="auto"/>
          <w:sz w:val="28"/>
          <w:szCs w:val="28"/>
        </w:rPr>
        <w:t>性</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4</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8</w:t>
      </w:r>
      <w:r>
        <w:rPr>
          <w:rFonts w:hint="default" w:ascii="Times New Roman" w:hAnsi="Times New Roman" w:cs="Times New Roman"/>
          <w:i/>
          <w:iCs/>
          <w:color w:val="FF0000"/>
          <w:sz w:val="24"/>
          <w:szCs w:val="24"/>
          <w:lang w:val="en-US" w:eastAsia="zh-CN"/>
        </w:rPr>
        <w:t xml:space="preserve"> </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提高建筑结构材料的耐久性，评价总分值为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按</w:t>
      </w:r>
      <w:r>
        <w:rPr>
          <w:rFonts w:hint="eastAsia" w:ascii="宋体" w:hAnsi="宋体" w:eastAsia="Times New Roman" w:cs="宋体"/>
          <w:i/>
          <w:iCs/>
          <w:color w:val="FF0000"/>
          <w:sz w:val="24"/>
          <w:szCs w:val="24"/>
          <w:lang w:eastAsia="zh-CN"/>
        </w:rPr>
        <w:t>100</w:t>
      </w:r>
      <w:r>
        <w:rPr>
          <w:rFonts w:hint="eastAsia" w:ascii="宋体" w:hAnsi="宋体" w:eastAsia="宋体" w:cs="宋体"/>
          <w:i/>
          <w:iCs/>
          <w:color w:val="FF0000"/>
          <w:sz w:val="24"/>
          <w:szCs w:val="24"/>
          <w:lang w:eastAsia="zh-CN"/>
        </w:rPr>
        <w:t>年进行耐久性设计，得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采用耐久性能好的建筑结构材料，满足下列条件之一，得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对于混凝土构件，提高钢筋保护层厚度或采用高耐久混凝土；</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对于钢构件，采用耐候结构钢及耐候型防腐涂料；</w:t>
      </w:r>
    </w:p>
    <w:p>
      <w:pPr>
        <w:spacing w:line="360" w:lineRule="auto"/>
        <w:ind w:firstLine="720" w:firstLineChars="300"/>
        <w:rPr>
          <w:rFonts w:hint="eastAsia"/>
          <w:color w:val="FF0000"/>
          <w:sz w:val="28"/>
          <w:szCs w:val="28"/>
          <w:lang w:eastAsia="zh-CN"/>
        </w:rPr>
      </w:pP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对于木构件，采用防腐木材，耐久木材或耐久木制品。</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提高</w:t>
      </w:r>
      <w:r>
        <w:rPr>
          <w:rFonts w:hint="eastAsia"/>
          <w:color w:val="auto"/>
          <w:sz w:val="21"/>
          <w:szCs w:val="21"/>
        </w:rPr>
        <w:t>建筑结构材料耐久性的设计内容</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合理选用建筑结构材料与构件</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7</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15</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合理选用建筑结构材料与构件，评价总分值为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混凝土结构，按下列规则分别评分并累计：</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eastAsia="zh-CN"/>
        </w:rPr>
        <w:t>400</w:t>
      </w:r>
      <w:r>
        <w:rPr>
          <w:rFonts w:hint="eastAsia" w:ascii="宋体" w:hAnsi="宋体" w:eastAsia="宋体" w:cs="宋体"/>
          <w:i/>
          <w:iCs/>
          <w:color w:val="FF0000"/>
          <w:sz w:val="24"/>
          <w:szCs w:val="24"/>
          <w:lang w:eastAsia="zh-CN"/>
        </w:rPr>
        <w:t>MPa级及以上强度等级钢筋应用比例达到</w:t>
      </w:r>
      <w:r>
        <w:rPr>
          <w:rFonts w:hint="eastAsia" w:ascii="宋体" w:hAnsi="宋体" w:eastAsia="Times New Roman" w:cs="宋体"/>
          <w:i/>
          <w:iCs/>
          <w:color w:val="FF0000"/>
          <w:sz w:val="24"/>
          <w:szCs w:val="24"/>
          <w:lang w:eastAsia="zh-CN"/>
        </w:rPr>
        <w:t>85</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混凝土竖向承重结构采用强度等级不小于</w:t>
      </w:r>
      <w:r>
        <w:rPr>
          <w:rFonts w:hint="eastAsia" w:ascii="宋体" w:hAnsi="宋体" w:eastAsia="宋体" w:cs="宋体"/>
          <w:i/>
          <w:iCs/>
          <w:color w:val="FF0000"/>
          <w:sz w:val="24"/>
          <w:szCs w:val="24"/>
          <w:lang w:val="en-US" w:eastAsia="zh-CN"/>
        </w:rPr>
        <w:t>C</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eastAsia="zh-CN"/>
        </w:rPr>
        <w:t>混凝土用量占竖向承重结构中混凝土总量的比例达到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钢结构，按下列规则分别评分并累计：</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）Q</w:t>
      </w:r>
      <w:r>
        <w:rPr>
          <w:rFonts w:hint="eastAsia" w:ascii="宋体" w:hAnsi="宋体" w:eastAsia="Times New Roman" w:cs="宋体"/>
          <w:i/>
          <w:iCs/>
          <w:color w:val="FF0000"/>
          <w:sz w:val="24"/>
          <w:szCs w:val="24"/>
          <w:lang w:eastAsia="zh-CN"/>
        </w:rPr>
        <w:t>345</w:t>
      </w:r>
      <w:r>
        <w:rPr>
          <w:rFonts w:hint="eastAsia" w:ascii="宋体" w:hAnsi="宋体" w:eastAsia="宋体" w:cs="宋体"/>
          <w:i/>
          <w:iCs/>
          <w:color w:val="FF0000"/>
          <w:sz w:val="24"/>
          <w:szCs w:val="24"/>
          <w:lang w:eastAsia="zh-CN"/>
        </w:rPr>
        <w:t>及以上高强钢材用量占钢材总量的比例达到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70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螺栓连接等非现场焊接节点占现场全部连接，拼接节点的数量比例达到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采用施工时免支撑的楼屋面板，得</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混合结构：对其混凝土结构部分、钢结构部分、分别按</w:t>
      </w:r>
      <w:r>
        <w:rPr>
          <w:rFonts w:hint="eastAsia" w:ascii="宋体" w:hAnsi="宋体" w:eastAsia="宋体" w:cs="宋体"/>
          <w:i/>
          <w:iCs/>
          <w:color w:val="FF0000"/>
          <w:sz w:val="24"/>
          <w:szCs w:val="24"/>
          <w:lang w:val="en-US" w:eastAsia="zh-CN"/>
        </w:rPr>
        <w:t>本条第</w:t>
      </w: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款、</w:t>
      </w:r>
      <w:r>
        <w:rPr>
          <w:rFonts w:hint="eastAsia" w:ascii="宋体" w:hAnsi="宋体" w:eastAsia="宋体" w:cs="宋体"/>
          <w:i/>
          <w:iCs/>
          <w:color w:val="FF0000"/>
          <w:sz w:val="24"/>
          <w:szCs w:val="24"/>
          <w:lang w:eastAsia="zh-CN"/>
        </w:rPr>
        <w:t>第</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款进行评价，得分取各项得分的平均值。</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说明建筑结构材料与构件的选用情况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证明材</w:t>
      </w:r>
      <w:r>
        <w:rPr>
          <w:rFonts w:hint="eastAsia"/>
          <w:color w:val="auto"/>
          <w:sz w:val="28"/>
          <w:szCs w:val="28"/>
        </w:rPr>
        <w:t>料</w:t>
      </w:r>
      <w:r>
        <w:rPr>
          <w:rFonts w:hint="eastAsia"/>
          <w:color w:val="auto"/>
          <w:sz w:val="28"/>
          <w:szCs w:val="28"/>
          <w:lang w:eastAsia="zh-CN"/>
        </w:rPr>
        <w:t>：□</w:t>
      </w:r>
      <w:r>
        <w:rPr>
          <w:rFonts w:hint="eastAsia"/>
          <w:color w:val="auto"/>
          <w:sz w:val="28"/>
          <w:szCs w:val="28"/>
        </w:rPr>
        <w:t>高强</w:t>
      </w:r>
      <w:r>
        <w:rPr>
          <w:rFonts w:hint="eastAsia"/>
          <w:color w:val="auto"/>
          <w:sz w:val="28"/>
          <w:szCs w:val="28"/>
          <w:lang w:val="en-US" w:eastAsia="zh-CN"/>
        </w:rPr>
        <w:t>钢筋</w:t>
      </w:r>
      <w:r>
        <w:rPr>
          <w:rFonts w:hint="eastAsia"/>
          <w:color w:val="auto"/>
          <w:sz w:val="28"/>
          <w:szCs w:val="28"/>
        </w:rPr>
        <w:t>、高强</w:t>
      </w:r>
      <w:r>
        <w:rPr>
          <w:rFonts w:hint="eastAsia"/>
          <w:color w:val="auto"/>
          <w:sz w:val="28"/>
          <w:szCs w:val="28"/>
          <w:lang w:val="en-US" w:eastAsia="zh-CN"/>
        </w:rPr>
        <w:t>混凝土</w:t>
      </w:r>
      <w:r>
        <w:rPr>
          <w:rFonts w:hint="eastAsia"/>
          <w:color w:val="auto"/>
          <w:sz w:val="28"/>
          <w:szCs w:val="28"/>
        </w:rPr>
        <w:t>、高强</w:t>
      </w:r>
      <w:r>
        <w:rPr>
          <w:rFonts w:hint="eastAsia"/>
          <w:color w:val="auto"/>
          <w:sz w:val="28"/>
          <w:szCs w:val="28"/>
          <w:lang w:val="en-US" w:eastAsia="zh-CN"/>
        </w:rPr>
        <w:t>钢材</w:t>
      </w:r>
      <w:r>
        <w:rPr>
          <w:rFonts w:hint="eastAsia"/>
          <w:color w:val="auto"/>
          <w:sz w:val="28"/>
          <w:szCs w:val="28"/>
        </w:rPr>
        <w:t>等材料用量比例计算书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采用符合工业化建造要求的结构体系与建筑</w:t>
      </w:r>
      <w:r>
        <w:rPr>
          <w:rFonts w:hint="eastAsia"/>
          <w:color w:val="auto"/>
          <w:sz w:val="28"/>
          <w:szCs w:val="28"/>
          <w:lang w:val="en-US" w:eastAsia="zh-CN"/>
        </w:rPr>
        <w:t>构件。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9</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5</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采用符合工业化建造要求的结构体系与建筑构件，评价分值为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分，并按下列规则评分：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主体结构采用钢结构、木结构，得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主体结构采用装配式混凝土结构，地上部分预制构件应用混凝土体积占混凝土总体积的比例达到</w:t>
      </w:r>
      <w:r>
        <w:rPr>
          <w:rFonts w:hint="eastAsia" w:ascii="宋体" w:hAnsi="宋体" w:eastAsia="Times New Roman" w:cs="宋体"/>
          <w:i/>
          <w:iCs/>
          <w:color w:val="FF0000"/>
          <w:sz w:val="24"/>
          <w:szCs w:val="24"/>
          <w:lang w:val="en-US" w:eastAsia="zh-CN"/>
        </w:rPr>
        <w:t>35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说明本项目选用的结构体系及实施情况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lang w:val="en-US" w:eastAsia="zh-CN"/>
        </w:rPr>
        <w:t>预制构件</w:t>
      </w:r>
      <w:r>
        <w:rPr>
          <w:rFonts w:hint="eastAsia"/>
          <w:color w:val="auto"/>
          <w:sz w:val="28"/>
          <w:szCs w:val="28"/>
        </w:rPr>
        <w:t>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b/>
          <w:bCs/>
          <w:color w:val="auto"/>
          <w:sz w:val="28"/>
          <w:szCs w:val="28"/>
          <w:lang w:val="en-US" w:eastAsia="zh-CN"/>
        </w:rPr>
        <w:t>小结</w:t>
      </w:r>
      <w:r>
        <w:rPr>
          <w:rFonts w:hint="eastAsia"/>
          <w:color w:val="auto"/>
          <w:sz w:val="28"/>
          <w:szCs w:val="28"/>
          <w:lang w:val="en-US" w:eastAsia="zh-CN"/>
        </w:rPr>
        <w:t>：本结构专篇中所有控制项满足要求，评分项得分汇总如下：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结构专业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15</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pStyle w:val="2"/>
        <w:rPr>
          <w:rFonts w:hint="eastAsia"/>
          <w:color w:val="auto"/>
          <w:sz w:val="28"/>
          <w:szCs w:val="28"/>
          <w:lang w:val="en-US" w:eastAsia="zh-CN"/>
        </w:rPr>
      </w:pPr>
    </w:p>
    <w:p>
      <w:pPr>
        <w:rPr>
          <w:rFonts w:hint="eastAsia"/>
          <w:color w:val="auto"/>
          <w:sz w:val="28"/>
          <w:szCs w:val="28"/>
          <w:lang w:val="en-US" w:eastAsia="zh-CN"/>
        </w:rPr>
      </w:pPr>
    </w:p>
    <w:p>
      <w:pPr>
        <w:pStyle w:val="4"/>
        <w:rPr>
          <w:rFonts w:hint="default" w:ascii="Times New Roman" w:hAnsi="Times New Roman" w:eastAsia="宋体" w:cs="Times New Roman"/>
          <w:b/>
          <w:bCs w:val="0"/>
          <w:color w:val="auto"/>
          <w:sz w:val="28"/>
          <w:szCs w:val="24"/>
          <w:lang w:val="en-US" w:eastAsia="zh-CN"/>
        </w:rPr>
      </w:pPr>
      <w:bookmarkStart w:id="271" w:name="_Toc14394"/>
      <w:bookmarkStart w:id="272" w:name="_Toc26408"/>
      <w:bookmarkStart w:id="273" w:name="_Toc10373"/>
      <w:bookmarkStart w:id="274" w:name="_Toc26398"/>
      <w:bookmarkStart w:id="275" w:name="_Toc28261"/>
      <w:bookmarkStart w:id="276" w:name="_Toc31246"/>
      <w:bookmarkStart w:id="277" w:name="_Toc19075"/>
      <w:bookmarkStart w:id="278" w:name="_Toc6578"/>
      <w:bookmarkStart w:id="279" w:name="_Toc21789"/>
      <w:bookmarkStart w:id="280" w:name="_Toc2590"/>
      <w:bookmarkStart w:id="281" w:name="_Toc27629"/>
      <w:bookmarkStart w:id="282" w:name="_Toc7339"/>
      <w:bookmarkStart w:id="283" w:name="_Toc8752"/>
      <w:bookmarkStart w:id="284" w:name="_Toc30841"/>
      <w:bookmarkStart w:id="285" w:name="_Toc16633"/>
      <w:bookmarkStart w:id="286" w:name="_Toc2745"/>
      <w:bookmarkStart w:id="287" w:name="_Toc12997"/>
      <w:bookmarkStart w:id="288" w:name="_Toc29070"/>
      <w:r>
        <w:rPr>
          <w:rFonts w:hint="default" w:ascii="Times New Roman" w:hAnsi="Times New Roman" w:eastAsia="Times New Roman" w:cs="Times New Roman"/>
          <w:b/>
          <w:bCs w:val="0"/>
          <w:color w:val="auto"/>
          <w:sz w:val="30"/>
          <w:szCs w:val="24"/>
          <w:lang w:val="en-US" w:eastAsia="zh-CN"/>
        </w:rPr>
        <w:t>4</w:t>
      </w:r>
      <w:r>
        <w:rPr>
          <w:rFonts w:hint="default" w:ascii="Times New Roman" w:hAnsi="Times New Roman" w:eastAsia="宋体" w:cs="Times New Roman"/>
          <w:b/>
          <w:bCs w:val="0"/>
          <w:color w:val="auto"/>
          <w:sz w:val="30"/>
          <w:szCs w:val="24"/>
          <w:lang w:val="en-US" w:eastAsia="zh-CN"/>
        </w:rPr>
        <w:t>.</w:t>
      </w:r>
      <w:r>
        <w:rPr>
          <w:rFonts w:hint="default" w:ascii="Times New Roman" w:hAnsi="Times New Roman" w:eastAsia="Times New Roman" w:cs="Times New Roman"/>
          <w:b/>
          <w:bCs w:val="0"/>
          <w:color w:val="auto"/>
          <w:sz w:val="30"/>
          <w:szCs w:val="24"/>
          <w:lang w:val="en-US" w:eastAsia="zh-CN"/>
        </w:rPr>
        <w:t>4</w:t>
      </w:r>
      <w:r>
        <w:rPr>
          <w:rFonts w:hint="default" w:ascii="Times New Roman" w:hAnsi="Times New Roman" w:eastAsia="宋体" w:cs="Times New Roman"/>
          <w:b/>
          <w:bCs w:val="0"/>
          <w:color w:val="auto"/>
          <w:sz w:val="30"/>
          <w:szCs w:val="24"/>
          <w:lang w:val="en-US" w:eastAsia="zh-CN"/>
        </w:rPr>
        <w:t xml:space="preserve">  中山市绿色建筑设计说明专篇-给排水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中山市绿色建筑设计说明专篇-给排水</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A.必须说明内容</w:t>
      </w:r>
      <w:r>
        <w:rPr>
          <w:rFonts w:hint="eastAsia" w:ascii="宋体" w:hAnsi="宋体" w:cs="宋体"/>
          <w:b/>
          <w:bCs/>
          <w:color w:val="auto"/>
          <w:sz w:val="28"/>
          <w:szCs w:val="28"/>
          <w:lang w:val="en-US" w:eastAsia="zh-CN"/>
        </w:rPr>
        <w:t>（控制项）</w:t>
      </w:r>
    </w:p>
    <w:p>
      <w:pPr>
        <w:rPr>
          <w:rFonts w:hint="default" w:ascii="宋体" w:hAnsi="宋体" w:cs="宋体"/>
          <w:i w:val="0"/>
          <w:iCs w:val="0"/>
          <w:color w:val="auto"/>
          <w:sz w:val="28"/>
          <w:szCs w:val="28"/>
          <w:lang w:val="en-US" w:eastAsia="zh-CN"/>
        </w:rPr>
      </w:pPr>
      <w:r>
        <w:rPr>
          <w:rFonts w:hint="eastAsia" w:ascii="宋体" w:hAnsi="宋体" w:eastAsia="Times New Roman" w:cs="宋体"/>
          <w:i w:val="0"/>
          <w:iCs w:val="0"/>
          <w:color w:val="auto"/>
          <w:sz w:val="28"/>
          <w:szCs w:val="28"/>
          <w:lang w:val="en-US" w:eastAsia="zh-CN"/>
        </w:rPr>
        <w:t>1</w:t>
      </w:r>
      <w:r>
        <w:rPr>
          <w:rFonts w:hint="eastAsia" w:ascii="宋体" w:hAnsi="宋体" w:cs="宋体"/>
          <w:i w:val="0"/>
          <w:iCs w:val="0"/>
          <w:color w:val="auto"/>
          <w:sz w:val="28"/>
          <w:szCs w:val="28"/>
          <w:lang w:val="en-US" w:eastAsia="zh-CN"/>
        </w:rPr>
        <w:t>、</w:t>
      </w:r>
      <w:r>
        <w:rPr>
          <w:rFonts w:hint="eastAsia" w:ascii="宋体" w:hAnsi="宋体" w:cs="宋体"/>
          <w:i w:val="0"/>
          <w:iCs w:val="0"/>
          <w:color w:val="auto"/>
          <w:sz w:val="28"/>
          <w:szCs w:val="28"/>
          <w:u w:val="none"/>
          <w:lang w:val="en-US" w:eastAsia="zh-CN"/>
        </w:rPr>
        <w:t>给水排水系统的设置应符合下列规定：1 生活饮用水水质应满足现行国家标准《生活饮用水卫生标准》GB 5749的要求；2 应制定水池、水箱等储水设施定期清洗消毒计划并实施，且生活饮用水储水设施每半年清洗消毒不应少于1次；3 应使用构造内自带水封的便器，且其水封深度不应小于50mm；4 非传统水源管道和设备应设置明确、清晰的永久性标识。（</w:t>
      </w:r>
      <w:r>
        <w:rPr>
          <w:rFonts w:hint="eastAsia" w:ascii="宋体" w:hAnsi="宋体" w:eastAsia="Times New Roman" w:cs="宋体"/>
          <w:i w:val="0"/>
          <w:iCs w:val="0"/>
          <w:color w:val="auto"/>
          <w:sz w:val="28"/>
          <w:szCs w:val="28"/>
          <w:u w:val="none"/>
          <w:lang w:val="en-US" w:eastAsia="zh-CN"/>
        </w:rPr>
        <w:t>5</w:t>
      </w:r>
      <w:r>
        <w:rPr>
          <w:rFonts w:hint="eastAsia" w:ascii="宋体" w:hAnsi="宋体" w:cs="宋体"/>
          <w:i w:val="0"/>
          <w:iCs w:val="0"/>
          <w:color w:val="auto"/>
          <w:sz w:val="28"/>
          <w:szCs w:val="28"/>
          <w:u w:val="none"/>
          <w:lang w:val="en-US" w:eastAsia="zh-CN"/>
        </w:rPr>
        <w:t>.</w:t>
      </w:r>
      <w:r>
        <w:rPr>
          <w:rFonts w:hint="eastAsia" w:ascii="宋体" w:hAnsi="宋体" w:eastAsia="Times New Roman" w:cs="宋体"/>
          <w:i w:val="0"/>
          <w:iCs w:val="0"/>
          <w:color w:val="auto"/>
          <w:sz w:val="28"/>
          <w:szCs w:val="28"/>
          <w:u w:val="none"/>
          <w:lang w:val="en-US" w:eastAsia="zh-CN"/>
        </w:rPr>
        <w:t>1</w:t>
      </w:r>
      <w:r>
        <w:rPr>
          <w:rFonts w:hint="eastAsia" w:ascii="宋体" w:hAnsi="宋体" w:cs="宋体"/>
          <w:i w:val="0"/>
          <w:iCs w:val="0"/>
          <w:color w:val="auto"/>
          <w:sz w:val="28"/>
          <w:szCs w:val="28"/>
          <w:u w:val="none"/>
          <w:lang w:val="en-US" w:eastAsia="zh-CN"/>
        </w:rPr>
        <w:t>.</w:t>
      </w:r>
      <w:r>
        <w:rPr>
          <w:rFonts w:hint="eastAsia" w:ascii="宋体" w:hAnsi="宋体" w:eastAsia="Times New Roman" w:cs="宋体"/>
          <w:i w:val="0"/>
          <w:iCs w:val="0"/>
          <w:color w:val="auto"/>
          <w:sz w:val="28"/>
          <w:szCs w:val="28"/>
          <w:u w:val="none"/>
          <w:lang w:val="en-US" w:eastAsia="zh-CN"/>
        </w:rPr>
        <w:t>3</w:t>
      </w:r>
      <w:r>
        <w:rPr>
          <w:rFonts w:hint="eastAsia" w:ascii="宋体" w:hAnsi="宋体" w:cs="宋体"/>
          <w:i w:val="0"/>
          <w:iCs w:val="0"/>
          <w:color w:val="auto"/>
          <w:sz w:val="28"/>
          <w:szCs w:val="28"/>
          <w:u w:val="none"/>
          <w:lang w:val="en-US" w:eastAsia="zh-CN"/>
        </w:rPr>
        <w:t>条）</w:t>
      </w:r>
    </w:p>
    <w:p>
      <w:pPr>
        <w:rPr>
          <w:rFonts w:hint="default" w:ascii="宋体" w:hAnsi="宋体" w:cs="宋体"/>
          <w:i/>
          <w:iCs/>
          <w:color w:val="0000FF"/>
          <w:sz w:val="24"/>
          <w:szCs w:val="24"/>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lang w:eastAsia="zh-CN"/>
        </w:rPr>
        <w:t>。</w:t>
      </w:r>
    </w:p>
    <w:p>
      <w:pPr>
        <w:rPr>
          <w:rFonts w:hint="eastAsia"/>
          <w:color w:val="auto"/>
          <w:sz w:val="28"/>
          <w:szCs w:val="28"/>
          <w:lang w:eastAsia="zh-CN"/>
        </w:rPr>
      </w:pP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i/>
          <w:iCs/>
          <w:color w:val="auto"/>
          <w:sz w:val="24"/>
          <w:szCs w:val="24"/>
          <w:lang w:val="en-US" w:eastAsia="zh-CN"/>
        </w:rPr>
      </w:pP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、应制定水资源利用方案，统筹利用各种水资源，并应符合下列规定：</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 应按使用用途、付费或管理单元，分别设置用水计量装置；</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 用水点处水压大于</w:t>
      </w:r>
      <w:r>
        <w:rPr>
          <w:rFonts w:hint="eastAsia" w:eastAsia="Times New Roman"/>
          <w:i w:val="0"/>
          <w:iCs w:val="0"/>
          <w:color w:val="auto"/>
          <w:sz w:val="28"/>
          <w:szCs w:val="28"/>
          <w:lang w:val="en-US" w:eastAsia="zh-CN"/>
        </w:rPr>
        <w:t>0</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MPa的配水支管应设置减压设施，并应满足给水配件最低工作压力的要求；</w:t>
      </w:r>
      <w:r>
        <w:rPr>
          <w:rFonts w:hint="eastAsia" w:eastAsia="Times New Roman"/>
          <w:i w:val="0"/>
          <w:iCs w:val="0"/>
          <w:color w:val="auto"/>
          <w:sz w:val="28"/>
          <w:szCs w:val="28"/>
          <w:lang w:val="en-US" w:eastAsia="zh-CN"/>
        </w:rPr>
        <w:t>3</w:t>
      </w:r>
      <w:r>
        <w:rPr>
          <w:rFonts w:hint="eastAsia"/>
          <w:i w:val="0"/>
          <w:iCs w:val="0"/>
          <w:color w:val="auto"/>
          <w:sz w:val="28"/>
          <w:szCs w:val="28"/>
          <w:lang w:val="en-US" w:eastAsia="zh-CN"/>
        </w:rPr>
        <w:t> 用水器具和设备应满足节水产品的要求。</w:t>
      </w:r>
      <w:r>
        <w:rPr>
          <w:rFonts w:hint="eastAsia"/>
          <w:i w:val="0"/>
          <w:iCs w:val="0"/>
          <w:color w:val="auto"/>
          <w:sz w:val="28"/>
          <w:szCs w:val="28"/>
          <w:lang w:eastAsia="zh-CN"/>
        </w:rPr>
        <w:t>（</w:t>
      </w:r>
      <w:r>
        <w:rPr>
          <w:rFonts w:hint="eastAsia" w:eastAsia="Times New Roman"/>
          <w:i w:val="0"/>
          <w:iCs w:val="0"/>
          <w:color w:val="auto"/>
          <w:sz w:val="28"/>
          <w:szCs w:val="28"/>
        </w:rPr>
        <w:t>7</w:t>
      </w:r>
      <w:r>
        <w:rPr>
          <w:rFonts w:hint="eastAsia"/>
          <w:i w:val="0"/>
          <w:iCs w:val="0"/>
          <w:color w:val="auto"/>
          <w:sz w:val="28"/>
          <w:szCs w:val="28"/>
          <w:lang w:eastAsia="zh-CN"/>
        </w:rPr>
        <w:t>.</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7</w:t>
      </w:r>
      <w:r>
        <w:rPr>
          <w:rFonts w:hint="eastAsia"/>
          <w:i w:val="0"/>
          <w:iCs w:val="0"/>
          <w:color w:val="auto"/>
          <w:sz w:val="28"/>
          <w:szCs w:val="28"/>
          <w:lang w:val="en-US" w:eastAsia="zh-CN"/>
        </w:rPr>
        <w:t>条</w:t>
      </w:r>
      <w:r>
        <w:rPr>
          <w:rFonts w:hint="eastAsia"/>
          <w:i w:val="0"/>
          <w:iCs w:val="0"/>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3</w:t>
      </w:r>
      <w:r>
        <w:rPr>
          <w:rFonts w:hint="eastAsia"/>
          <w:color w:val="auto"/>
          <w:sz w:val="28"/>
          <w:szCs w:val="28"/>
          <w:lang w:val="en-US" w:eastAsia="zh-CN"/>
        </w:rPr>
        <w:t>、场</w:t>
      </w:r>
      <w:r>
        <w:rPr>
          <w:rFonts w:hint="eastAsia"/>
          <w:color w:val="auto"/>
          <w:sz w:val="28"/>
          <w:szCs w:val="28"/>
        </w:rPr>
        <w:t>地的竖向设计应有利于雨水的</w:t>
      </w:r>
      <w:r>
        <w:rPr>
          <w:rFonts w:hint="eastAsia"/>
          <w:color w:val="auto"/>
          <w:sz w:val="28"/>
          <w:szCs w:val="28"/>
          <w:lang w:val="en-US" w:eastAsia="zh-CN"/>
        </w:rPr>
        <w:t>收集</w:t>
      </w:r>
      <w:r>
        <w:rPr>
          <w:rFonts w:hint="eastAsia"/>
          <w:color w:val="auto"/>
          <w:sz w:val="28"/>
          <w:szCs w:val="28"/>
        </w:rPr>
        <w:t>或排放，应有效组织雨水的下渗、滞蓄或再利用</w:t>
      </w:r>
      <w:r>
        <w:rPr>
          <w:rFonts w:hint="eastAsia"/>
          <w:color w:val="auto"/>
          <w:sz w:val="28"/>
          <w:szCs w:val="28"/>
          <w:lang w:eastAsia="zh-CN"/>
        </w:rPr>
        <w:t>；</w:t>
      </w:r>
      <w:r>
        <w:rPr>
          <w:rFonts w:hint="eastAsia"/>
          <w:color w:val="auto"/>
          <w:sz w:val="28"/>
          <w:szCs w:val="28"/>
        </w:rPr>
        <w:t>对大于</w:t>
      </w:r>
      <w:r>
        <w:rPr>
          <w:rFonts w:hint="eastAsia" w:eastAsia="Times New Roman"/>
          <w:color w:val="auto"/>
          <w:sz w:val="28"/>
          <w:szCs w:val="28"/>
          <w:lang w:val="en-US" w:eastAsia="zh-CN"/>
        </w:rPr>
        <w:t>10</w:t>
      </w:r>
      <w:r>
        <w:rPr>
          <w:rFonts w:hint="eastAsia"/>
          <w:color w:val="auto"/>
          <w:sz w:val="28"/>
          <w:szCs w:val="28"/>
          <w:lang w:val="en-US" w:eastAsia="zh-CN"/>
        </w:rPr>
        <w:t>hm²</w:t>
      </w:r>
      <w:r>
        <w:rPr>
          <w:rFonts w:hint="eastAsia"/>
          <w:color w:val="auto"/>
          <w:sz w:val="28"/>
          <w:szCs w:val="28"/>
        </w:rPr>
        <w:t>的场地应进行</w:t>
      </w:r>
      <w:r>
        <w:rPr>
          <w:rFonts w:hint="eastAsia"/>
          <w:color w:val="auto"/>
          <w:sz w:val="28"/>
          <w:szCs w:val="28"/>
          <w:lang w:val="en-US" w:eastAsia="zh-CN"/>
        </w:rPr>
        <w:t>雨水</w:t>
      </w:r>
      <w:r>
        <w:rPr>
          <w:rFonts w:hint="eastAsia"/>
          <w:color w:val="auto"/>
          <w:sz w:val="28"/>
          <w:szCs w:val="28"/>
        </w:rPr>
        <w:t>控制利用专项设计</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4</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说明项目竖向雨水设计情况。）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lang w:eastAsia="zh-CN"/>
        </w:rPr>
      </w:pPr>
      <w:r>
        <w:rPr>
          <w:rFonts w:hint="eastAsia"/>
          <w:color w:val="auto"/>
          <w:sz w:val="28"/>
          <w:szCs w:val="28"/>
          <w:lang w:val="en-US" w:eastAsia="zh-CN"/>
        </w:rPr>
        <w:t>证明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、建筑面积在</w:t>
      </w:r>
      <w:r>
        <w:rPr>
          <w:rFonts w:hint="eastAsia" w:eastAsia="Times New Roman"/>
          <w:color w:val="auto"/>
          <w:sz w:val="28"/>
          <w:szCs w:val="28"/>
          <w:lang w:val="en-US" w:eastAsia="zh-CN"/>
        </w:rPr>
        <w:t>10000</w:t>
      </w:r>
      <w:r>
        <w:rPr>
          <w:rFonts w:hint="eastAsia"/>
          <w:color w:val="auto"/>
          <w:sz w:val="28"/>
          <w:szCs w:val="28"/>
          <w:lang w:val="en-US" w:eastAsia="zh-CN"/>
        </w:rPr>
        <w:t xml:space="preserve">㎡以上的（新建、改建、扩建）公共建筑，采用集中空调系统，且有稳定热水需求，应配套设计和建设空调余热回收利用装置作为热水系统热源。（《广东省绿色建筑设计规范》DBJ/T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第</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8</w:t>
      </w:r>
      <w:r>
        <w:rPr>
          <w:rFonts w:hint="eastAsia"/>
          <w:color w:val="auto"/>
          <w:sz w:val="28"/>
          <w:szCs w:val="28"/>
          <w:lang w:val="en-US" w:eastAsia="zh-CN"/>
        </w:rPr>
        <w:t>条）</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b/>
          <w:bCs/>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直饮水、集中生活热水、游泳池水、采暖空调系统用水、景观水体等的水质符合国家现行有关标准的规</w:t>
      </w:r>
      <w:r>
        <w:rPr>
          <w:rFonts w:hint="eastAsia"/>
          <w:color w:val="auto"/>
          <w:sz w:val="28"/>
          <w:szCs w:val="28"/>
          <w:lang w:val="en-US" w:eastAsia="zh-CN"/>
        </w:rPr>
        <w:t>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3</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val="en-US" w:eastAsia="zh-CN"/>
        </w:rPr>
        <w:t>直饮水、集中生活热水、游泳池水、采暖空调系统用水、景观水体等的水质满足国家现行有关标准的要求</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评价分值为</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分。</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对项目用水符合国家有关标准要求的情况进行说明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生活饮用水水池、水箱等</w:t>
      </w:r>
      <w:r>
        <w:rPr>
          <w:rFonts w:hint="eastAsia"/>
          <w:color w:val="auto"/>
          <w:sz w:val="28"/>
          <w:szCs w:val="28"/>
          <w:lang w:val="en-US" w:eastAsia="zh-CN"/>
        </w:rPr>
        <w:t>储</w:t>
      </w:r>
      <w:r>
        <w:rPr>
          <w:rFonts w:hint="eastAsia"/>
          <w:color w:val="auto"/>
          <w:sz w:val="28"/>
          <w:szCs w:val="28"/>
        </w:rPr>
        <w:t>水设施采取</w:t>
      </w:r>
      <w:r>
        <w:rPr>
          <w:rFonts w:hint="eastAsia"/>
          <w:color w:val="auto"/>
          <w:sz w:val="28"/>
          <w:szCs w:val="28"/>
          <w:lang w:eastAsia="zh-CN"/>
        </w:rPr>
        <w:t>措施</w:t>
      </w:r>
      <w:r>
        <w:rPr>
          <w:rFonts w:hint="eastAsia"/>
          <w:color w:val="auto"/>
          <w:sz w:val="28"/>
          <w:szCs w:val="28"/>
        </w:rPr>
        <w:t>满足卫生要求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4</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eastAsia="zh-CN"/>
        </w:rPr>
        <w:t>生活饮用水水池，水箱等储水设施采取措施满足卫生要求，评价总分值为</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使用符合国家现行有关标准要求的成品水箱，得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采取保证储水不变质的措施，得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对保证</w:t>
      </w:r>
      <w:r>
        <w:rPr>
          <w:rFonts w:hint="eastAsia"/>
          <w:color w:val="auto"/>
          <w:sz w:val="21"/>
          <w:szCs w:val="21"/>
          <w:lang w:val="en-US" w:eastAsia="zh-CN"/>
        </w:rPr>
        <w:t>储</w:t>
      </w:r>
      <w:r>
        <w:rPr>
          <w:rFonts w:hint="eastAsia"/>
          <w:color w:val="auto"/>
          <w:sz w:val="21"/>
          <w:szCs w:val="21"/>
        </w:rPr>
        <w:t>水不变质的</w:t>
      </w:r>
      <w:r>
        <w:rPr>
          <w:rFonts w:hint="eastAsia"/>
          <w:color w:val="auto"/>
          <w:sz w:val="21"/>
          <w:szCs w:val="21"/>
          <w:lang w:val="en-US" w:eastAsia="zh-CN"/>
        </w:rPr>
        <w:t>措施</w:t>
      </w:r>
      <w:r>
        <w:rPr>
          <w:rFonts w:hint="eastAsia"/>
          <w:color w:val="auto"/>
          <w:sz w:val="21"/>
          <w:szCs w:val="21"/>
        </w:rPr>
        <w:t>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所有给水排水管道、设备、</w:t>
      </w:r>
      <w:r>
        <w:rPr>
          <w:rFonts w:hint="eastAsia"/>
          <w:color w:val="auto"/>
          <w:sz w:val="28"/>
          <w:szCs w:val="28"/>
          <w:lang w:val="en-US" w:eastAsia="zh-CN"/>
        </w:rPr>
        <w:t>设施</w:t>
      </w:r>
      <w:r>
        <w:rPr>
          <w:rFonts w:hint="eastAsia"/>
          <w:color w:val="auto"/>
          <w:sz w:val="28"/>
          <w:szCs w:val="28"/>
        </w:rPr>
        <w:t>设置明确、</w:t>
      </w:r>
      <w:r>
        <w:rPr>
          <w:rFonts w:hint="eastAsia"/>
          <w:color w:val="auto"/>
          <w:sz w:val="28"/>
          <w:szCs w:val="28"/>
          <w:lang w:eastAsia="zh-CN"/>
        </w:rPr>
        <w:t>清晰的永久性标识。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327" w:type="dxa"/>
            <w:noWrap w:val="0"/>
            <w:vAlign w:val="top"/>
          </w:tcPr>
          <w:p>
            <w:pPr>
              <w:numPr>
                <w:ilvl w:val="0"/>
                <w:numId w:val="0"/>
              </w:numPr>
              <w:rPr>
                <w:rFonts w:hint="default"/>
                <w:b w:val="0"/>
                <w:bCs w:val="0"/>
                <w:color w:val="auto"/>
                <w:vertAlign w:val="baseline"/>
                <w:lang w:val="en-US" w:eastAsia="zh-CN"/>
              </w:rPr>
            </w:pPr>
          </w:p>
        </w:tc>
      </w:tr>
    </w:tbl>
    <w:p>
      <w:pPr>
        <w:rPr>
          <w:rFonts w:hint="eastAsia"/>
          <w:color w:val="FF0000"/>
          <w:sz w:val="28"/>
          <w:szCs w:val="28"/>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5</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所有给水排水管道、设备、设施设置明确、清晰的永久性标识，评价分值为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对永久性标识的设置情况进行说明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、用水计量及水质监测。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6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7</w:t>
            </w:r>
          </w:p>
        </w:tc>
        <w:tc>
          <w:tcPr>
            <w:tcW w:w="1365"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8</w:t>
      </w:r>
      <w:r>
        <w:rPr>
          <w:rFonts w:hint="eastAsia"/>
          <w:i/>
          <w:iCs/>
          <w:color w:val="FF0000"/>
          <w:sz w:val="24"/>
          <w:szCs w:val="24"/>
          <w:lang w:val="en-US" w:eastAsia="zh-CN"/>
        </w:rPr>
        <w:t xml:space="preserve">  设置用水远传计量系统、水质在线监测系统，评价总分值为</w:t>
      </w:r>
      <w:r>
        <w:rPr>
          <w:rFonts w:hint="eastAsia" w:eastAsia="Times New Roman"/>
          <w:i/>
          <w:iCs/>
          <w:color w:val="FF0000"/>
          <w:sz w:val="24"/>
          <w:szCs w:val="24"/>
          <w:lang w:val="en-US" w:eastAsia="zh-CN"/>
        </w:rPr>
        <w:t>7</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设置用水量远传计量系统，能分类、分级记录、统计分析各种用水情况，得</w:t>
      </w:r>
      <w:r>
        <w:rPr>
          <w:rFonts w:hint="eastAsia" w:eastAsia="Times New Roman"/>
          <w:i/>
          <w:iCs/>
          <w:color w:val="FF0000"/>
          <w:sz w:val="24"/>
          <w:szCs w:val="24"/>
          <w:lang w:val="en-US" w:eastAsia="zh-CN"/>
        </w:rPr>
        <w:t>3</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利用计量数据进行管网漏损自动检测、分析与整改，管道漏损率低于</w:t>
      </w:r>
      <w:r>
        <w:rPr>
          <w:rFonts w:hint="eastAsia" w:eastAsia="Times New Roman"/>
          <w:i/>
          <w:iCs/>
          <w:color w:val="FF0000"/>
          <w:sz w:val="24"/>
          <w:szCs w:val="24"/>
          <w:lang w:val="en-US" w:eastAsia="zh-CN"/>
        </w:rPr>
        <w:t>5</w:t>
      </w:r>
      <w:r>
        <w:rPr>
          <w:rFonts w:hint="eastAsia"/>
          <w:i/>
          <w:iCs/>
          <w:color w:val="FF0000"/>
          <w:sz w:val="24"/>
          <w:szCs w:val="24"/>
          <w:lang w:val="en-US" w:eastAsia="zh-CN"/>
        </w:rPr>
        <w:t>%，得</w:t>
      </w:r>
      <w:r>
        <w:rPr>
          <w:rFonts w:hint="eastAsia" w:eastAsia="Times New Roman"/>
          <w:i/>
          <w:iCs/>
          <w:color w:val="FF0000"/>
          <w:sz w:val="24"/>
          <w:szCs w:val="24"/>
          <w:lang w:val="en-US" w:eastAsia="zh-CN"/>
        </w:rPr>
        <w:t>2</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   设置水质在线监测系统，监测生活饮用水、管道直饮水、游泳池水、非传统水源、空调冷却水的水质指标，记录并保存水质监测结果，且能随时供用户查询，得</w:t>
      </w:r>
      <w:r>
        <w:rPr>
          <w:rFonts w:hint="eastAsia" w:eastAsia="Times New Roman"/>
          <w:i/>
          <w:iCs/>
          <w:color w:val="FF0000"/>
          <w:sz w:val="24"/>
          <w:szCs w:val="24"/>
          <w:lang w:val="en-US" w:eastAsia="zh-CN"/>
        </w:rPr>
        <w:t>2</w:t>
      </w:r>
      <w:r>
        <w:rPr>
          <w:rFonts w:hint="eastAsia"/>
          <w:i/>
          <w:iCs/>
          <w:color w:val="FF0000"/>
          <w:sz w:val="24"/>
          <w:szCs w:val="24"/>
          <w:lang w:val="en-US" w:eastAsia="zh-CN"/>
        </w:rPr>
        <w:t>分。</w:t>
      </w:r>
    </w:p>
    <w:p>
      <w:pPr>
        <w:rPr>
          <w:rFonts w:hint="default"/>
          <w:i w:val="0"/>
          <w:iCs w:val="0"/>
          <w:color w:val="auto"/>
          <w:sz w:val="21"/>
          <w:szCs w:val="21"/>
          <w:u w:val="single"/>
          <w:lang w:val="en-US" w:eastAsia="zh-CN"/>
        </w:rPr>
      </w:pPr>
      <w:r>
        <w:rPr>
          <w:rFonts w:hint="eastAsia"/>
          <w:i w:val="0"/>
          <w:iCs w:val="0"/>
          <w:color w:val="auto"/>
          <w:sz w:val="28"/>
          <w:szCs w:val="28"/>
          <w:lang w:val="en-US" w:eastAsia="zh-CN"/>
        </w:rPr>
        <w:t>技术措施说明：</w:t>
      </w:r>
      <w:r>
        <w:rPr>
          <w:rFonts w:hint="eastAsia"/>
          <w:i w:val="0"/>
          <w:iCs w:val="0"/>
          <w:color w:val="auto"/>
          <w:sz w:val="21"/>
          <w:szCs w:val="21"/>
          <w:lang w:val="en-US" w:eastAsia="zh-CN"/>
        </w:rPr>
        <w:t>（说明用水计量系统、分级水表安装位置及水质在线系统的设置。）</w:t>
      </w:r>
      <w:r>
        <w:rPr>
          <w:rFonts w:hint="eastAsia"/>
          <w:i w:val="0"/>
          <w:iCs w:val="0"/>
          <w:color w:val="auto"/>
          <w:sz w:val="28"/>
          <w:szCs w:val="28"/>
          <w:u w:val="single"/>
          <w:lang w:val="en-US" w:eastAsia="zh-CN"/>
        </w:rPr>
        <w:t xml:space="preserve">  </w:t>
      </w:r>
      <w:r>
        <w:rPr>
          <w:rFonts w:hint="eastAsia"/>
          <w:i w:val="0"/>
          <w:iCs w:val="0"/>
          <w:color w:val="auto"/>
          <w:sz w:val="28"/>
          <w:szCs w:val="28"/>
          <w:u w:val="none"/>
          <w:lang w:val="en-US" w:eastAsia="zh-CN"/>
        </w:rPr>
        <w:t>。</w:t>
      </w:r>
      <w:r>
        <w:rPr>
          <w:rFonts w:hint="eastAsia"/>
          <w:i w:val="0"/>
          <w:iCs w:val="0"/>
          <w:color w:val="auto"/>
          <w:sz w:val="28"/>
          <w:szCs w:val="28"/>
          <w:u w:val="single"/>
          <w:lang w:val="en-US" w:eastAsia="zh-CN"/>
        </w:rPr>
        <w:t xml:space="preserve">    </w:t>
      </w:r>
      <w:r>
        <w:rPr>
          <w:rFonts w:hint="eastAsia"/>
          <w:i w:val="0"/>
          <w:iCs w:val="0"/>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结合当地气候和自然资源条件合理利用可再生能源</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仅</w:t>
      </w:r>
      <w:r>
        <w:rPr>
          <w:rFonts w:hint="eastAsia"/>
          <w:color w:val="auto"/>
          <w:sz w:val="21"/>
          <w:szCs w:val="21"/>
        </w:rPr>
        <w:t>针对可再生能源</w:t>
      </w:r>
      <w:r>
        <w:rPr>
          <w:rFonts w:hint="eastAsia"/>
          <w:color w:val="auto"/>
          <w:sz w:val="21"/>
          <w:szCs w:val="21"/>
          <w:lang w:val="en-US" w:eastAsia="zh-CN"/>
        </w:rPr>
        <w:t>提供的生活用</w:t>
      </w:r>
      <w:r>
        <w:rPr>
          <w:rFonts w:hint="eastAsia"/>
          <w:color w:val="auto"/>
          <w:sz w:val="21"/>
          <w:szCs w:val="21"/>
        </w:rPr>
        <w:t>热水</w:t>
      </w:r>
      <w:r>
        <w:rPr>
          <w:rFonts w:hint="eastAsia"/>
          <w:color w:val="auto"/>
          <w:sz w:val="21"/>
          <w:szCs w:val="21"/>
          <w:lang w:val="en-US" w:eastAsia="zh-CN"/>
        </w:rPr>
        <w:t>比例R</w:t>
      </w:r>
      <w:r>
        <w:rPr>
          <w:rFonts w:hint="eastAsia"/>
          <w:color w:val="auto"/>
          <w:sz w:val="21"/>
          <w:szCs w:val="21"/>
          <w:vertAlign w:val="subscript"/>
          <w:lang w:val="en-US" w:eastAsia="zh-CN"/>
        </w:rPr>
        <w:t>hw</w:t>
      </w:r>
      <w:r>
        <w:rPr>
          <w:rFonts w:hint="eastAsia"/>
          <w:color w:val="auto"/>
          <w:sz w:val="21"/>
          <w:szCs w:val="21"/>
          <w:lang w:eastAsia="zh-CN"/>
        </w:rPr>
        <w:t>，</w:t>
      </w:r>
      <w:r>
        <w:rPr>
          <w:rFonts w:hint="eastAsia"/>
          <w:color w:val="auto"/>
          <w:sz w:val="21"/>
          <w:szCs w:val="21"/>
          <w:lang w:val="en-US" w:eastAsia="zh-CN"/>
        </w:rPr>
        <w:t>应与电气、空凋专业协调，三个专业累计得分不得大于</w:t>
      </w:r>
      <w:r>
        <w:rPr>
          <w:rFonts w:hint="eastAsia" w:eastAsia="Times New Roman"/>
          <w:color w:val="auto"/>
          <w:sz w:val="21"/>
          <w:szCs w:val="21"/>
          <w:lang w:val="en-US" w:eastAsia="zh-CN"/>
        </w:rPr>
        <w:t>10</w:t>
      </w:r>
      <w:r>
        <w:rPr>
          <w:rFonts w:hint="eastAsia"/>
          <w:color w:val="auto"/>
          <w:sz w:val="21"/>
          <w:szCs w:val="21"/>
          <w:lang w:val="en-US" w:eastAsia="zh-CN"/>
        </w:rPr>
        <w:t>分。</w:t>
      </w:r>
      <w:r>
        <w:rPr>
          <w:rFonts w:hint="eastAsia"/>
          <w:color w:val="auto"/>
          <w:sz w:val="21"/>
          <w:szCs w:val="21"/>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6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6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结合当地气候和自然资源条件合理利用可再生能源，评价总分值为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lang w:eastAsia="zh-CN"/>
        </w:rPr>
        <w:t>的规则评分。</w:t>
      </w:r>
    </w:p>
    <w:p>
      <w:pPr>
        <w:jc w:val="center"/>
        <w:rPr>
          <w:rFonts w:hint="eastAsia"/>
          <w:b/>
          <w:bCs/>
          <w:i/>
          <w:iCs/>
          <w:color w:val="FF0000"/>
        </w:rPr>
      </w:pPr>
    </w:p>
    <w:p>
      <w:pPr>
        <w:jc w:val="center"/>
        <w:rPr>
          <w:rFonts w:hint="eastAsia"/>
          <w:i/>
          <w:iCs/>
          <w:color w:val="FF0000"/>
          <w:sz w:val="21"/>
          <w:szCs w:val="21"/>
          <w:lang w:val="en-US" w:eastAsia="zh-CN"/>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r>
        <w:rPr>
          <w:rFonts w:hint="eastAsia"/>
          <w:b/>
          <w:bCs/>
          <w:i/>
          <w:iCs/>
          <w:color w:val="FF0000"/>
        </w:rPr>
        <w:t>可再生能源利用评分规则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2"/>
        <w:gridCol w:w="4"/>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3"/>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由可再生能源提供的生活用热水比例</w:t>
            </w:r>
          </w:p>
          <w:p>
            <w:pPr>
              <w:jc w:val="center"/>
              <w:rPr>
                <w:rFonts w:hint="eastAsia"/>
                <w:i/>
                <w:iCs/>
                <w:color w:val="FF0000"/>
              </w:rPr>
            </w:pPr>
            <w:r>
              <w:rPr>
                <w:rFonts w:hint="eastAsia"/>
                <w:i/>
                <w:iCs/>
                <w:color w:val="FF0000"/>
              </w:rPr>
              <w:t>R</w:t>
            </w:r>
            <w:r>
              <w:rPr>
                <w:rFonts w:hint="eastAsia"/>
                <w:i/>
                <w:iCs/>
                <w:color w:val="FF0000"/>
                <w:vertAlign w:val="subscript"/>
              </w:rPr>
              <w:t>hw</w:t>
            </w: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由可再生能源提供的空调用冷量和热量比例</w:t>
            </w:r>
          </w:p>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gridSpan w:val="2"/>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由可再生能源提供电量比例R</w:t>
            </w:r>
            <w:r>
              <w:rPr>
                <w:rFonts w:hint="eastAsia"/>
                <w:i/>
                <w:iCs/>
                <w:color w:val="FF0000"/>
                <w:vertAlign w:val="subscript"/>
              </w:rPr>
              <w:t>e</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4</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lang w:val="en-US" w:eastAsia="zh-CN"/>
              </w:rPr>
              <w:t>4</w:t>
            </w:r>
            <w:r>
              <w:rPr>
                <w:rFonts w:hint="eastAsia"/>
                <w:i/>
                <w:iCs/>
                <w:color w:val="FF0000"/>
                <w:lang w:val="en-US" w:eastAsia="zh-CN"/>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rPr>
          <w:rFonts w:hint="default"/>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说明可再生能源利用条件、应用形式、用途及用量</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可再生能源应</w:t>
      </w:r>
      <w:r>
        <w:rPr>
          <w:rFonts w:hint="eastAsia"/>
          <w:color w:val="auto"/>
          <w:sz w:val="28"/>
          <w:szCs w:val="28"/>
          <w:lang w:val="en-US" w:eastAsia="zh-CN"/>
        </w:rPr>
        <w:t>用</w:t>
      </w:r>
      <w:r>
        <w:rPr>
          <w:rFonts w:hint="eastAsia"/>
          <w:color w:val="auto"/>
          <w:sz w:val="28"/>
          <w:szCs w:val="28"/>
        </w:rPr>
        <w:t>计算分析报告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eastAsia="宋体"/>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使用较高用水效率等级的卫生器具</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10</w:t>
      </w:r>
      <w:r>
        <w:rPr>
          <w:rFonts w:hint="eastAsia"/>
          <w:i/>
          <w:iCs/>
          <w:color w:val="FF0000"/>
          <w:sz w:val="24"/>
          <w:szCs w:val="24"/>
          <w:lang w:val="en-US" w:eastAsia="zh-CN"/>
        </w:rPr>
        <w:t xml:space="preserve">  </w:t>
      </w:r>
      <w:r>
        <w:rPr>
          <w:rFonts w:hint="eastAsia" w:ascii="宋体" w:hAnsi="宋体" w:eastAsia="宋体" w:cs="宋体"/>
          <w:i/>
          <w:iCs/>
          <w:color w:val="FF0000"/>
          <w:sz w:val="24"/>
          <w:szCs w:val="24"/>
        </w:rPr>
        <w:t>使用较高用水效率等级的卫生器具，评价总分值为</w:t>
      </w:r>
      <w:r>
        <w:rPr>
          <w:rFonts w:hint="eastAsia" w:ascii="宋体" w:hAnsi="宋体" w:eastAsia="Times New Roman" w:cs="宋体"/>
          <w:i/>
          <w:iCs/>
          <w:color w:val="FF0000"/>
          <w:sz w:val="24"/>
          <w:szCs w:val="24"/>
        </w:rPr>
        <w:t>15</w:t>
      </w:r>
      <w:r>
        <w:rPr>
          <w:rFonts w:hint="eastAsia" w:ascii="宋体" w:hAnsi="宋体" w:eastAsia="宋体" w:cs="宋体"/>
          <w:i/>
          <w:iCs/>
          <w:color w:val="FF0000"/>
          <w:sz w:val="24"/>
          <w:szCs w:val="24"/>
        </w:rPr>
        <w:t>分，并按下列规则评分：</w:t>
      </w:r>
    </w:p>
    <w:p>
      <w:pPr>
        <w:spacing w:line="360" w:lineRule="auto"/>
        <w:ind w:firstLine="480" w:firstLineChars="200"/>
        <w:rPr>
          <w:rFonts w:hint="eastAsia" w:ascii="宋体" w:hAnsi="宋体" w:eastAsia="宋体" w:cs="宋体"/>
          <w:i/>
          <w:iCs/>
          <w:color w:val="FF0000"/>
          <w:sz w:val="24"/>
          <w:szCs w:val="24"/>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rPr>
        <w:t>全部卫生器具的用水效率等级达到</w:t>
      </w:r>
      <w:r>
        <w:rPr>
          <w:rFonts w:hint="eastAsia" w:ascii="宋体" w:hAnsi="宋体" w:eastAsia="Times New Roman" w:cs="宋体"/>
          <w:i/>
          <w:iCs/>
          <w:color w:val="FF0000"/>
          <w:sz w:val="24"/>
          <w:szCs w:val="24"/>
        </w:rPr>
        <w:t>2</w:t>
      </w:r>
      <w:r>
        <w:rPr>
          <w:rFonts w:hint="eastAsia" w:ascii="宋体" w:hAnsi="宋体" w:eastAsia="宋体" w:cs="宋体"/>
          <w:i/>
          <w:iCs/>
          <w:color w:val="FF0000"/>
          <w:sz w:val="24"/>
          <w:szCs w:val="24"/>
        </w:rPr>
        <w:t>级，得</w:t>
      </w:r>
      <w:r>
        <w:rPr>
          <w:rFonts w:hint="eastAsia" w:ascii="宋体" w:hAnsi="宋体" w:eastAsia="Times New Roman" w:cs="宋体"/>
          <w:i/>
          <w:iCs/>
          <w:color w:val="FF0000"/>
          <w:sz w:val="24"/>
          <w:szCs w:val="24"/>
        </w:rPr>
        <w:t>8</w:t>
      </w:r>
      <w:r>
        <w:rPr>
          <w:rFonts w:hint="eastAsia" w:ascii="宋体" w:hAnsi="宋体" w:eastAsia="宋体" w:cs="宋体"/>
          <w:i/>
          <w:iCs/>
          <w:color w:val="FF0000"/>
          <w:sz w:val="24"/>
          <w:szCs w:val="24"/>
        </w:rPr>
        <w:t>分。</w:t>
      </w:r>
    </w:p>
    <w:p>
      <w:pPr>
        <w:spacing w:line="360" w:lineRule="auto"/>
        <w:ind w:firstLine="480" w:firstLineChars="200"/>
        <w:rPr>
          <w:rFonts w:hint="eastAsia" w:ascii="宋体" w:hAnsi="宋体" w:eastAsia="宋体" w:cs="宋体"/>
          <w:i/>
          <w:iCs/>
          <w:color w:val="FF0000"/>
          <w:sz w:val="24"/>
          <w:szCs w:val="24"/>
        </w:rPr>
      </w:pPr>
      <w:r>
        <w:rPr>
          <w:rFonts w:hint="eastAsia" w:ascii="宋体" w:hAnsi="宋体" w:eastAsia="Times New Roman" w:cs="宋体"/>
          <w:i/>
          <w:iCs/>
          <w:color w:val="FF0000"/>
          <w:sz w:val="24"/>
          <w:szCs w:val="24"/>
        </w:rPr>
        <w:t>2</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rPr>
        <w:t>50</w:t>
      </w:r>
      <w:r>
        <w:rPr>
          <w:rFonts w:hint="eastAsia" w:ascii="宋体" w:hAnsi="宋体" w:eastAsia="宋体" w:cs="宋体"/>
          <w:i/>
          <w:iCs/>
          <w:color w:val="FF0000"/>
          <w:sz w:val="24"/>
          <w:szCs w:val="24"/>
        </w:rPr>
        <w:t>%以上卫生器具的用水效率等级达到</w:t>
      </w:r>
      <w:r>
        <w:rPr>
          <w:rFonts w:hint="eastAsia" w:ascii="宋体" w:hAnsi="宋体" w:eastAsia="Times New Roman" w:cs="宋体"/>
          <w:i/>
          <w:iCs/>
          <w:color w:val="FF0000"/>
          <w:sz w:val="24"/>
          <w:szCs w:val="24"/>
        </w:rPr>
        <w:t>1</w:t>
      </w:r>
      <w:r>
        <w:rPr>
          <w:rFonts w:hint="eastAsia" w:ascii="宋体" w:hAnsi="宋体" w:eastAsia="宋体" w:cs="宋体"/>
          <w:i/>
          <w:iCs/>
          <w:color w:val="FF0000"/>
          <w:sz w:val="24"/>
          <w:szCs w:val="24"/>
        </w:rPr>
        <w:t>级且其他达到</w:t>
      </w:r>
      <w:r>
        <w:rPr>
          <w:rFonts w:hint="eastAsia" w:ascii="宋体" w:hAnsi="宋体" w:eastAsia="Times New Roman" w:cs="宋体"/>
          <w:i/>
          <w:iCs/>
          <w:color w:val="FF0000"/>
          <w:sz w:val="24"/>
          <w:szCs w:val="24"/>
        </w:rPr>
        <w:t>2</w:t>
      </w:r>
      <w:r>
        <w:rPr>
          <w:rFonts w:hint="eastAsia" w:ascii="宋体" w:hAnsi="宋体" w:eastAsia="宋体" w:cs="宋体"/>
          <w:i/>
          <w:iCs/>
          <w:color w:val="FF0000"/>
          <w:sz w:val="24"/>
          <w:szCs w:val="24"/>
        </w:rPr>
        <w:t>级，得</w:t>
      </w:r>
      <w:r>
        <w:rPr>
          <w:rFonts w:hint="eastAsia" w:ascii="宋体" w:hAnsi="宋体" w:eastAsia="Times New Roman" w:cs="宋体"/>
          <w:i/>
          <w:iCs/>
          <w:color w:val="FF0000"/>
          <w:sz w:val="24"/>
          <w:szCs w:val="24"/>
        </w:rPr>
        <w:t>12</w:t>
      </w:r>
      <w:r>
        <w:rPr>
          <w:rFonts w:hint="eastAsia" w:ascii="宋体" w:hAnsi="宋体" w:eastAsia="宋体" w:cs="宋体"/>
          <w:i/>
          <w:iCs/>
          <w:color w:val="FF0000"/>
          <w:sz w:val="24"/>
          <w:szCs w:val="24"/>
        </w:rPr>
        <w:t>分。</w:t>
      </w:r>
    </w:p>
    <w:p>
      <w:pPr>
        <w:spacing w:line="360" w:lineRule="auto"/>
        <w:ind w:firstLine="480" w:firstLineChars="200"/>
        <w:rPr>
          <w:rFonts w:hint="eastAsia" w:ascii="宋体" w:hAnsi="宋体" w:eastAsia="宋体" w:cs="宋体"/>
          <w:i/>
          <w:iCs/>
          <w:color w:val="FF0000"/>
          <w:sz w:val="24"/>
          <w:szCs w:val="24"/>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rPr>
        <w:t>全部卫生器具的用水效率等级达到</w:t>
      </w:r>
      <w:r>
        <w:rPr>
          <w:rFonts w:hint="eastAsia" w:ascii="宋体" w:hAnsi="宋体" w:eastAsia="Times New Roman" w:cs="宋体"/>
          <w:i/>
          <w:iCs/>
          <w:color w:val="FF0000"/>
          <w:sz w:val="24"/>
          <w:szCs w:val="24"/>
        </w:rPr>
        <w:t>1</w:t>
      </w:r>
      <w:r>
        <w:rPr>
          <w:rFonts w:hint="eastAsia" w:ascii="宋体" w:hAnsi="宋体" w:eastAsia="宋体" w:cs="宋体"/>
          <w:i/>
          <w:iCs/>
          <w:color w:val="FF0000"/>
          <w:sz w:val="24"/>
          <w:szCs w:val="24"/>
        </w:rPr>
        <w:t>级，得</w:t>
      </w:r>
      <w:r>
        <w:rPr>
          <w:rFonts w:hint="eastAsia" w:ascii="宋体" w:hAnsi="宋体" w:eastAsia="Times New Roman" w:cs="宋体"/>
          <w:i/>
          <w:iCs/>
          <w:color w:val="FF0000"/>
          <w:sz w:val="24"/>
          <w:szCs w:val="24"/>
        </w:rPr>
        <w:t>15</w:t>
      </w:r>
      <w:r>
        <w:rPr>
          <w:rFonts w:hint="eastAsia" w:ascii="宋体" w:hAnsi="宋体" w:eastAsia="宋体" w:cs="宋体"/>
          <w:i/>
          <w:iCs/>
          <w:color w:val="FF0000"/>
          <w:sz w:val="24"/>
          <w:szCs w:val="24"/>
        </w:rPr>
        <w:t>分。</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说明卫生器具的具体参数</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eastAsia="宋体"/>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使用非传统水源</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5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5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13</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使用非传统水源，评价总分值为</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绿化灌溉，车库及道路冲洗，洗车用水采用非传统水源的用水量占其总用水量的比例不低于</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冲厕采用非传统水源的用水量占其总用水量的比例不低于</w:t>
      </w:r>
      <w:r>
        <w:rPr>
          <w:rFonts w:hint="eastAsia" w:ascii="宋体" w:hAnsi="宋体" w:eastAsia="Times New Roman" w:cs="宋体"/>
          <w:i/>
          <w:iCs/>
          <w:color w:val="FF0000"/>
          <w:sz w:val="24"/>
          <w:szCs w:val="24"/>
          <w:lang w:eastAsia="zh-CN"/>
        </w:rPr>
        <w:t>30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冷却水补水采用非传统水源的用水量占其总用水量的比例不低于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default" w:ascii="宋体" w:hAnsi="宋体" w:eastAsia="宋体" w:cs="宋体"/>
          <w:i w:val="0"/>
          <w:iCs w:val="0"/>
          <w:color w:val="auto"/>
          <w:sz w:val="28"/>
          <w:szCs w:val="28"/>
          <w:u w:val="single"/>
          <w:lang w:val="en-US" w:eastAsia="zh-CN"/>
        </w:rPr>
      </w:pPr>
      <w:r>
        <w:rPr>
          <w:rFonts w:hint="eastAsia" w:ascii="宋体" w:hAnsi="宋体" w:eastAsia="宋体" w:cs="宋体"/>
          <w:i w:val="0"/>
          <w:iCs w:val="0"/>
          <w:color w:val="auto"/>
          <w:sz w:val="28"/>
          <w:szCs w:val="28"/>
          <w:lang w:eastAsia="zh-CN"/>
        </w:rPr>
        <w:t>技术措施说明：</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具体说明非传统水源的利用情况、用量及其所占比例</w:t>
      </w:r>
      <w:r>
        <w:rPr>
          <w:rFonts w:hint="eastAsia" w:ascii="宋体" w:hAnsi="宋体" w:cs="宋体"/>
          <w:i w:val="0"/>
          <w:iCs w:val="0"/>
          <w:color w:val="auto"/>
          <w:sz w:val="21"/>
          <w:szCs w:val="21"/>
          <w:lang w:eastAsia="zh-CN"/>
        </w:rPr>
        <w:t>。</w:t>
      </w:r>
      <w:r>
        <w:rPr>
          <w:rFonts w:hint="eastAsia" w:ascii="宋体" w:hAnsi="宋体" w:eastAsia="宋体" w:cs="宋体"/>
          <w:i w:val="0"/>
          <w:iCs w:val="0"/>
          <w:color w:val="auto"/>
          <w:sz w:val="21"/>
          <w:szCs w:val="21"/>
          <w:lang w:eastAsia="zh-CN"/>
        </w:rPr>
        <w:t>）</w:t>
      </w:r>
      <w:r>
        <w:rPr>
          <w:rFonts w:hint="eastAsia" w:ascii="宋体" w:hAnsi="宋体" w:cs="宋体"/>
          <w:i w:val="0"/>
          <w:iCs w:val="0"/>
          <w:color w:val="auto"/>
          <w:sz w:val="21"/>
          <w:szCs w:val="21"/>
          <w:u w:val="single"/>
          <w:lang w:val="en-US" w:eastAsia="zh-CN"/>
        </w:rPr>
        <w:t xml:space="preserve">            </w:t>
      </w:r>
      <w:r>
        <w:rPr>
          <w:rFonts w:hint="eastAsia" w:ascii="宋体" w:hAnsi="宋体" w:cs="宋体"/>
          <w:i w:val="0"/>
          <w:iCs w:val="0"/>
          <w:color w:val="auto"/>
          <w:sz w:val="21"/>
          <w:szCs w:val="21"/>
          <w:u w:val="none"/>
          <w:lang w:val="en-US" w:eastAsia="zh-CN"/>
        </w:rPr>
        <w:t>。</w:t>
      </w:r>
      <w:r>
        <w:rPr>
          <w:rFonts w:hint="eastAsia" w:ascii="宋体" w:hAnsi="宋体" w:cs="宋体"/>
          <w:i w:val="0"/>
          <w:iCs w:val="0"/>
          <w:color w:val="auto"/>
          <w:sz w:val="21"/>
          <w:szCs w:val="21"/>
          <w:u w:val="single"/>
          <w:lang w:val="en-US" w:eastAsia="zh-CN"/>
        </w:rPr>
        <w:t xml:space="preserve">  </w:t>
      </w:r>
    </w:p>
    <w:p>
      <w:pPr>
        <w:rPr>
          <w:rFonts w:hint="eastAsia" w:ascii="宋体" w:hAnsi="宋体" w:eastAsia="宋体" w:cs="宋体"/>
          <w:i w:val="0"/>
          <w:iCs w:val="0"/>
          <w:color w:val="auto"/>
          <w:sz w:val="28"/>
          <w:szCs w:val="28"/>
          <w:lang w:eastAsia="zh-CN"/>
        </w:rPr>
      </w:pPr>
      <w:r>
        <w:rPr>
          <w:rFonts w:hint="eastAsia" w:ascii="宋体" w:hAnsi="宋体" w:eastAsia="宋体" w:cs="宋体"/>
          <w:i w:val="0"/>
          <w:iCs w:val="0"/>
          <w:color w:val="auto"/>
          <w:sz w:val="28"/>
          <w:szCs w:val="28"/>
          <w:lang w:val="en-US" w:eastAsia="zh-CN"/>
        </w:rPr>
        <w:t>证</w:t>
      </w:r>
      <w:r>
        <w:rPr>
          <w:rFonts w:hint="eastAsia" w:ascii="宋体" w:hAnsi="宋体" w:eastAsia="宋体" w:cs="宋体"/>
          <w:i w:val="0"/>
          <w:iCs w:val="0"/>
          <w:color w:val="auto"/>
          <w:sz w:val="28"/>
          <w:szCs w:val="28"/>
        </w:rPr>
        <w:t>明材料</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非传统水源利用率计算书</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设计图纸</w:t>
      </w:r>
      <w:r>
        <w:rPr>
          <w:rFonts w:hint="eastAsia" w:ascii="宋体" w:hAnsi="宋体" w:eastAsia="宋体" w:cs="宋体"/>
          <w:i w:val="0"/>
          <w:iCs w:val="0"/>
          <w:color w:val="auto"/>
          <w:sz w:val="28"/>
          <w:szCs w:val="28"/>
          <w:lang w:eastAsia="zh-CN"/>
        </w:rPr>
        <w:t>（名称、图号）</w:t>
      </w:r>
    </w:p>
    <w:p>
      <w:pPr>
        <w:rPr>
          <w:rFonts w:hint="eastAsia" w:ascii="宋体" w:hAnsi="宋体" w:eastAsia="宋体" w:cs="宋体"/>
          <w:i/>
          <w:iCs/>
          <w:color w:val="auto"/>
          <w:sz w:val="24"/>
          <w:szCs w:val="24"/>
          <w:lang w:eastAsia="zh-CN"/>
        </w:rPr>
      </w:pPr>
      <w:r>
        <w:rPr>
          <w:rFonts w:hint="eastAsia" w:ascii="宋体" w:hAnsi="宋体" w:eastAsia="Times New Roman" w:cs="宋体"/>
          <w:i w:val="0"/>
          <w:iCs w:val="0"/>
          <w:color w:val="auto"/>
          <w:sz w:val="28"/>
          <w:szCs w:val="28"/>
          <w:lang w:val="en-US" w:eastAsia="zh-CN"/>
        </w:rPr>
        <w:t>8</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rPr>
        <w:t>规划场地地表和屋面雨水径流，对场地雨水实施外排总量控制</w:t>
      </w:r>
      <w:r>
        <w:rPr>
          <w:rFonts w:hint="eastAsia" w:ascii="宋体" w:hAnsi="宋体" w:eastAsia="宋体" w:cs="宋体"/>
          <w:i w:val="0"/>
          <w:iCs w:val="0"/>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rPr>
        <w:t>8</w:t>
      </w:r>
      <w:r>
        <w:rPr>
          <w:rFonts w:hint="default" w:ascii="Times New Roman" w:hAnsi="Times New Roman" w:eastAsia="宋体" w:cs="Times New Roman"/>
          <w:i/>
          <w:iCs/>
          <w:color w:val="FF0000"/>
          <w:sz w:val="24"/>
          <w:szCs w:val="24"/>
        </w:rPr>
        <w:t>.</w:t>
      </w:r>
      <w:r>
        <w:rPr>
          <w:rFonts w:hint="default" w:ascii="Times New Roman" w:hAnsi="Times New Roman" w:eastAsia="Times New Roman" w:cs="Times New Roman"/>
          <w:i/>
          <w:iCs/>
          <w:color w:val="FF0000"/>
          <w:sz w:val="24"/>
          <w:szCs w:val="24"/>
        </w:rPr>
        <w:t>2</w:t>
      </w:r>
      <w:r>
        <w:rPr>
          <w:rFonts w:hint="default" w:ascii="Times New Roman" w:hAnsi="Times New Roman" w:eastAsia="宋体" w:cs="Times New Roman"/>
          <w:i/>
          <w:iCs/>
          <w:color w:val="FF0000"/>
          <w:sz w:val="24"/>
          <w:szCs w:val="24"/>
        </w:rPr>
        <w:t>.</w:t>
      </w:r>
      <w:r>
        <w:rPr>
          <w:rFonts w:hint="default" w:ascii="Times New Roman" w:hAnsi="Times New Roman" w:eastAsia="Times New Roman" w:cs="Times New Roman"/>
          <w:i/>
          <w:iCs/>
          <w:color w:val="FF0000"/>
          <w:sz w:val="24"/>
          <w:szCs w:val="24"/>
        </w:rPr>
        <w:t>2</w:t>
      </w:r>
      <w:r>
        <w:rPr>
          <w:rFonts w:hint="default" w:ascii="Times New Roman" w:hAnsi="Times New Roman" w:cs="Times New Roman"/>
          <w:i/>
          <w:iCs/>
          <w:color w:val="FF0000"/>
          <w:sz w:val="24"/>
          <w:szCs w:val="24"/>
          <w:lang w:val="en-US" w:eastAsia="zh-CN"/>
        </w:rPr>
        <w:t xml:space="preserve"> </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规划场地地表和屋面雨水径流，对场地雨水实施外排总量控制，评价总分值为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分。场地年径流总量控制率达到</w:t>
      </w:r>
      <w:r>
        <w:rPr>
          <w:rFonts w:hint="eastAsia" w:ascii="宋体" w:hAnsi="宋体" w:eastAsia="Times New Roman" w:cs="宋体"/>
          <w:i/>
          <w:iCs/>
          <w:color w:val="FF0000"/>
          <w:sz w:val="24"/>
          <w:szCs w:val="24"/>
          <w:lang w:eastAsia="zh-CN"/>
        </w:rPr>
        <w:t>55</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70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说明雨水外排控制</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雨水</w:t>
      </w:r>
      <w:r>
        <w:rPr>
          <w:rFonts w:hint="eastAsia"/>
          <w:color w:val="auto"/>
          <w:sz w:val="28"/>
          <w:szCs w:val="28"/>
          <w:lang w:val="en-US" w:eastAsia="zh-CN"/>
        </w:rPr>
        <w:t>外排</w:t>
      </w:r>
      <w:r>
        <w:rPr>
          <w:rFonts w:hint="eastAsia"/>
          <w:color w:val="auto"/>
          <w:sz w:val="28"/>
          <w:szCs w:val="28"/>
        </w:rPr>
        <w:t>控制专项规划设计文件</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海绵城市专篇</w:t>
      </w:r>
    </w:p>
    <w:p>
      <w:pPr>
        <w:rPr>
          <w:rFonts w:hint="eastAsia"/>
          <w:color w:val="auto"/>
          <w:sz w:val="28"/>
          <w:szCs w:val="28"/>
          <w:lang w:eastAsia="zh-CN"/>
        </w:rPr>
      </w:pP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color w:val="auto"/>
          <w:sz w:val="28"/>
          <w:szCs w:val="28"/>
        </w:rPr>
        <w:t>利用场地空间设置</w:t>
      </w:r>
      <w:r>
        <w:rPr>
          <w:rFonts w:hint="eastAsia"/>
          <w:color w:val="auto"/>
          <w:sz w:val="28"/>
          <w:szCs w:val="28"/>
          <w:lang w:val="en-US" w:eastAsia="zh-CN"/>
        </w:rPr>
        <w:t>绿色</w:t>
      </w:r>
      <w:r>
        <w:rPr>
          <w:rFonts w:hint="eastAsia"/>
          <w:color w:val="auto"/>
          <w:sz w:val="28"/>
          <w:szCs w:val="28"/>
        </w:rPr>
        <w:t>雨水</w:t>
      </w:r>
      <w:r>
        <w:rPr>
          <w:rFonts w:hint="eastAsia"/>
          <w:color w:val="auto"/>
          <w:sz w:val="28"/>
          <w:szCs w:val="28"/>
          <w:lang w:val="en-US" w:eastAsia="zh-CN"/>
        </w:rPr>
        <w:t>基础</w:t>
      </w:r>
      <w:r>
        <w:rPr>
          <w:rFonts w:hint="eastAsia"/>
          <w:color w:val="auto"/>
          <w:sz w:val="28"/>
          <w:szCs w:val="28"/>
        </w:rPr>
        <w:t>设施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5</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利用场地空间设置绿色雨水基础设施，评价总分值为</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下凹式绿地，雨水花园等有调蓄雨水功能的绿地和水体的面积之和占绿地面积的比例达到</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衔接和引导不少于</w:t>
      </w:r>
      <w:r>
        <w:rPr>
          <w:rFonts w:hint="eastAsia" w:ascii="宋体" w:hAnsi="宋体" w:eastAsia="Times New Roman" w:cs="宋体"/>
          <w:i/>
          <w:iCs/>
          <w:color w:val="FF0000"/>
          <w:sz w:val="24"/>
          <w:szCs w:val="24"/>
          <w:lang w:eastAsia="zh-CN"/>
        </w:rPr>
        <w:t>80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的屋面雨水进入地面生态设施，得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衔接和引导不少于</w:t>
      </w:r>
      <w:r>
        <w:rPr>
          <w:rFonts w:hint="eastAsia" w:ascii="宋体" w:hAnsi="宋体" w:eastAsia="Times New Roman" w:cs="宋体"/>
          <w:i/>
          <w:iCs/>
          <w:color w:val="FF0000"/>
          <w:sz w:val="24"/>
          <w:szCs w:val="24"/>
          <w:lang w:eastAsia="zh-CN"/>
        </w:rPr>
        <w:t>80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的道路雨水进入地面生态设施，得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4</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硬质铺装地面中透水铺装面积的比例达到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default" w:eastAsia="宋体"/>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说明场地空间绿色雨水</w:t>
      </w:r>
      <w:r>
        <w:rPr>
          <w:rFonts w:hint="eastAsia"/>
          <w:color w:val="auto"/>
          <w:sz w:val="21"/>
          <w:szCs w:val="21"/>
          <w:lang w:val="en-US" w:eastAsia="zh-CN"/>
        </w:rPr>
        <w:t>设施</w:t>
      </w:r>
      <w:r>
        <w:rPr>
          <w:rFonts w:hint="eastAsia"/>
          <w:color w:val="auto"/>
          <w:sz w:val="21"/>
          <w:szCs w:val="21"/>
        </w:rPr>
        <w:t>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lang w:val="en-US" w:eastAsia="zh-CN"/>
        </w:rPr>
        <w:t>下凹</w:t>
      </w:r>
      <w:r>
        <w:rPr>
          <w:rFonts w:hint="eastAsia"/>
          <w:color w:val="auto"/>
          <w:sz w:val="28"/>
          <w:szCs w:val="28"/>
        </w:rPr>
        <w:t>式绿地比例计算书</w:t>
      </w:r>
      <w:r>
        <w:rPr>
          <w:rFonts w:hint="eastAsia"/>
          <w:color w:val="auto"/>
          <w:sz w:val="28"/>
          <w:szCs w:val="28"/>
          <w:lang w:eastAsia="zh-CN"/>
        </w:rPr>
        <w:t>；□</w:t>
      </w:r>
      <w:r>
        <w:rPr>
          <w:rFonts w:hint="eastAsia"/>
          <w:color w:val="auto"/>
          <w:sz w:val="28"/>
          <w:szCs w:val="28"/>
        </w:rPr>
        <w:t>透水铺装比例计算书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海绵城市专篇</w:t>
      </w:r>
    </w:p>
    <w:p>
      <w:pPr>
        <w:rPr>
          <w:rFonts w:hint="eastAsia"/>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：本给排水专篇中所有控制项满足要求，评分项得分汇总如下：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给排水</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8</w:t>
            </w:r>
            <w:r>
              <w:rPr>
                <w:rFonts w:hint="eastAsia" w:ascii="宋体" w:hAnsi="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10</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13</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color w:val="auto"/>
          <w:sz w:val="28"/>
          <w:szCs w:val="28"/>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lang w:val="en-US" w:eastAsia="zh-CN"/>
        </w:rPr>
      </w:pPr>
    </w:p>
    <w:p>
      <w:pPr>
        <w:pStyle w:val="4"/>
        <w:rPr>
          <w:rFonts w:hint="default" w:ascii="Times New Roman" w:hAnsi="Times New Roman" w:eastAsia="宋体" w:cs="Times New Roman"/>
          <w:bCs/>
          <w:color w:val="auto"/>
          <w:sz w:val="28"/>
          <w:szCs w:val="24"/>
          <w:lang w:val="en-US" w:eastAsia="zh-CN"/>
        </w:rPr>
      </w:pPr>
      <w:bookmarkStart w:id="289" w:name="_Toc25940"/>
      <w:bookmarkStart w:id="290" w:name="_Toc3384"/>
      <w:bookmarkStart w:id="291" w:name="_Toc1055"/>
      <w:bookmarkStart w:id="292" w:name="_Toc2482"/>
      <w:bookmarkStart w:id="293" w:name="_Toc6807"/>
      <w:bookmarkStart w:id="294" w:name="_Toc14388"/>
      <w:bookmarkStart w:id="295" w:name="_Toc15871"/>
      <w:bookmarkStart w:id="296" w:name="_Toc30213"/>
      <w:bookmarkStart w:id="297" w:name="_Toc24206"/>
      <w:bookmarkStart w:id="298" w:name="_Toc18204"/>
      <w:bookmarkStart w:id="299" w:name="_Toc8669"/>
      <w:bookmarkStart w:id="300" w:name="_Toc17316"/>
      <w:bookmarkStart w:id="301" w:name="_Toc24690"/>
      <w:bookmarkStart w:id="302" w:name="_Toc22297"/>
      <w:bookmarkStart w:id="303" w:name="_Toc12471"/>
      <w:bookmarkStart w:id="304" w:name="_Toc11116"/>
      <w:bookmarkStart w:id="305" w:name="_Toc17117"/>
      <w:bookmarkStart w:id="306" w:name="_Toc8646"/>
      <w:r>
        <w:rPr>
          <w:rFonts w:hint="default" w:ascii="Times New Roman" w:hAnsi="Times New Roman" w:eastAsia="Times New Roman" w:cs="Times New Roman"/>
          <w:b/>
          <w:bCs/>
          <w:color w:val="auto"/>
          <w:sz w:val="30"/>
          <w:szCs w:val="24"/>
          <w:lang w:val="en-US" w:eastAsia="zh-CN"/>
        </w:rPr>
        <w:t>4</w:t>
      </w:r>
      <w:r>
        <w:rPr>
          <w:rFonts w:hint="default" w:ascii="Times New Roman" w:hAnsi="Times New Roman" w:eastAsia="宋体" w:cs="Times New Roman"/>
          <w:b/>
          <w:bCs/>
          <w:color w:val="auto"/>
          <w:sz w:val="30"/>
          <w:szCs w:val="24"/>
          <w:lang w:val="en-US" w:eastAsia="zh-CN"/>
        </w:rPr>
        <w:t>.</w:t>
      </w:r>
      <w:r>
        <w:rPr>
          <w:rFonts w:hint="default" w:ascii="Times New Roman" w:hAnsi="Times New Roman" w:eastAsia="Times New Roman" w:cs="Times New Roman"/>
          <w:b/>
          <w:bCs/>
          <w:color w:val="auto"/>
          <w:sz w:val="30"/>
          <w:szCs w:val="24"/>
          <w:lang w:val="en-US" w:eastAsia="zh-CN"/>
        </w:rPr>
        <w:t>5</w:t>
      </w:r>
      <w:r>
        <w:rPr>
          <w:rFonts w:hint="eastAsia" w:ascii="Times New Roman" w:hAnsi="Times New Roman" w:cs="Times New Roman"/>
          <w:b/>
          <w:bCs/>
          <w:sz w:val="30"/>
          <w:szCs w:val="24"/>
          <w:lang w:val="en-US" w:eastAsia="zh-CN"/>
        </w:rPr>
        <w:t xml:space="preserve">  </w:t>
      </w:r>
      <w:r>
        <w:rPr>
          <w:rFonts w:hint="default" w:ascii="Times New Roman" w:hAnsi="Times New Roman" w:eastAsia="宋体" w:cs="Times New Roman"/>
          <w:b/>
          <w:bCs/>
          <w:color w:val="auto"/>
          <w:sz w:val="30"/>
          <w:szCs w:val="24"/>
          <w:lang w:val="en-US" w:eastAsia="zh-CN"/>
        </w:rPr>
        <w:t>中山市绿色建筑设计说明专篇-电气</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中山市绿色建筑设计说明专篇-电气</w:t>
      </w:r>
    </w:p>
    <w:p>
      <w:pPr>
        <w:rPr>
          <w:rFonts w:hint="default"/>
          <w:b/>
          <w:bCs/>
          <w:color w:val="auto"/>
          <w:sz w:val="28"/>
          <w:szCs w:val="28"/>
          <w:lang w:val="en-US" w:eastAsia="zh-CN"/>
        </w:rPr>
      </w:pPr>
      <w:r>
        <w:rPr>
          <w:rFonts w:hint="eastAsia"/>
          <w:b/>
          <w:bCs/>
          <w:color w:val="auto"/>
          <w:sz w:val="28"/>
          <w:szCs w:val="28"/>
          <w:lang w:val="en-US" w:eastAsia="zh-CN"/>
        </w:rPr>
        <w:t>A.必须说明内容（控制项）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、建筑照明应符合下列规定：</w:t>
      </w:r>
      <w:r>
        <w:rPr>
          <w:rFonts w:hint="eastAsia" w:eastAsia="Times New Roman"/>
          <w:color w:val="auto"/>
          <w:sz w:val="28"/>
          <w:szCs w:val="28"/>
          <w:lang w:val="en-US" w:eastAsia="zh-CN"/>
        </w:rPr>
        <w:t>1</w:t>
      </w:r>
      <w:r>
        <w:rPr>
          <w:rFonts w:hint="eastAsia"/>
          <w:color w:val="auto"/>
          <w:sz w:val="28"/>
          <w:szCs w:val="28"/>
          <w:lang w:val="en-US" w:eastAsia="zh-CN"/>
        </w:rPr>
        <w:t xml:space="preserve"> 照明数量和质量应符合现行国家标准《建筑照明设计标准》GB </w:t>
      </w:r>
      <w:r>
        <w:rPr>
          <w:rFonts w:hint="eastAsia" w:eastAsia="Times New Roman"/>
          <w:color w:val="auto"/>
          <w:sz w:val="28"/>
          <w:szCs w:val="28"/>
          <w:lang w:val="en-US" w:eastAsia="zh-CN"/>
        </w:rPr>
        <w:t>50034</w:t>
      </w:r>
      <w:r>
        <w:rPr>
          <w:rFonts w:hint="eastAsia"/>
          <w:color w:val="auto"/>
          <w:sz w:val="28"/>
          <w:szCs w:val="28"/>
          <w:lang w:val="en-US" w:eastAsia="zh-CN"/>
        </w:rPr>
        <w:t>的规定；</w:t>
      </w:r>
      <w:r>
        <w:rPr>
          <w:rFonts w:hint="eastAsia" w:eastAsia="Times New Roman"/>
          <w:color w:val="auto"/>
          <w:sz w:val="28"/>
          <w:szCs w:val="28"/>
          <w:lang w:val="en-US" w:eastAsia="zh-CN"/>
        </w:rPr>
        <w:t>2</w:t>
      </w:r>
      <w:r>
        <w:rPr>
          <w:rFonts w:hint="eastAsia"/>
          <w:color w:val="auto"/>
          <w:sz w:val="28"/>
          <w:szCs w:val="28"/>
          <w:lang w:val="en-US" w:eastAsia="zh-CN"/>
        </w:rPr>
        <w:t xml:space="preserve"> 人员长期停留的场所应采用符合现行国家标准《灯和灯系统的光生物安全性》GB/T </w:t>
      </w:r>
      <w:r>
        <w:rPr>
          <w:rFonts w:hint="eastAsia" w:eastAsia="Times New Roman"/>
          <w:color w:val="auto"/>
          <w:sz w:val="28"/>
          <w:szCs w:val="28"/>
          <w:lang w:val="en-US" w:eastAsia="zh-CN"/>
        </w:rPr>
        <w:t>20145</w:t>
      </w:r>
      <w:r>
        <w:rPr>
          <w:rFonts w:hint="eastAsia"/>
          <w:color w:val="auto"/>
          <w:sz w:val="28"/>
          <w:szCs w:val="28"/>
          <w:lang w:val="en-US" w:eastAsia="zh-CN"/>
        </w:rPr>
        <w:t>规定的无危险类照明产品；</w:t>
      </w:r>
      <w:r>
        <w:rPr>
          <w:rFonts w:hint="eastAsia" w:eastAsia="Times New Roman"/>
          <w:color w:val="auto"/>
          <w:sz w:val="28"/>
          <w:szCs w:val="28"/>
          <w:lang w:val="en-US" w:eastAsia="zh-CN"/>
        </w:rPr>
        <w:t>3</w:t>
      </w:r>
      <w:r>
        <w:rPr>
          <w:rFonts w:hint="eastAsia"/>
          <w:color w:val="auto"/>
          <w:sz w:val="28"/>
          <w:szCs w:val="28"/>
          <w:lang w:val="en-US" w:eastAsia="zh-CN"/>
        </w:rPr>
        <w:t xml:space="preserve"> 选用LED照明产品的光输出波形的波动深度应满足现行国家标准《LED室内照明应用技术要求》GB/T </w:t>
      </w:r>
      <w:r>
        <w:rPr>
          <w:rFonts w:hint="eastAsia" w:eastAsia="Times New Roman"/>
          <w:color w:val="auto"/>
          <w:sz w:val="28"/>
          <w:szCs w:val="28"/>
          <w:lang w:val="en-US" w:eastAsia="zh-CN"/>
        </w:rPr>
        <w:t>31831</w:t>
      </w:r>
      <w:r>
        <w:rPr>
          <w:rFonts w:hint="eastAsia"/>
          <w:color w:val="auto"/>
          <w:sz w:val="28"/>
          <w:szCs w:val="28"/>
          <w:lang w:val="en-US" w:eastAsia="zh-CN"/>
        </w:rPr>
        <w:t>的规定。（</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5</w:t>
      </w:r>
      <w:r>
        <w:rPr>
          <w:rFonts w:hint="eastAsia"/>
          <w:color w:val="auto"/>
          <w:sz w:val="28"/>
          <w:szCs w:val="28"/>
          <w:lang w:val="en-US" w:eastAsia="zh-CN"/>
        </w:rPr>
        <w:t>条）</w:t>
      </w:r>
    </w:p>
    <w:p>
      <w:pPr>
        <w:rPr>
          <w:rFonts w:hint="eastAsia"/>
          <w:color w:val="auto"/>
          <w:sz w:val="28"/>
          <w:szCs w:val="28"/>
          <w:lang w:val="en-US" w:eastAsia="zh-CN"/>
        </w:rPr>
      </w:pPr>
      <w:r>
        <w:rPr>
          <w:rFonts w:hint="eastAsia"/>
          <w:color w:val="auto"/>
          <w:sz w:val="28"/>
          <w:szCs w:val="28"/>
          <w:lang w:val="en-US" w:eastAsia="zh-CN"/>
        </w:rPr>
        <w:t>技术措施说明：</w:t>
      </w:r>
      <w:r>
        <w:rPr>
          <w:rFonts w:hint="eastAsia"/>
          <w:color w:val="auto"/>
          <w:sz w:val="28"/>
          <w:szCs w:val="28"/>
          <w:u w:val="single"/>
        </w:rPr>
        <w:t>项目室内照度、统一</w:t>
      </w:r>
      <w:r>
        <w:rPr>
          <w:rFonts w:hint="eastAsia"/>
          <w:color w:val="auto"/>
          <w:sz w:val="28"/>
          <w:szCs w:val="28"/>
          <w:u w:val="single"/>
          <w:lang w:val="en-US" w:eastAsia="zh-CN"/>
        </w:rPr>
        <w:t>眩</w:t>
      </w:r>
      <w:r>
        <w:rPr>
          <w:rFonts w:hint="eastAsia"/>
          <w:color w:val="auto"/>
          <w:sz w:val="28"/>
          <w:szCs w:val="28"/>
          <w:u w:val="single"/>
        </w:rPr>
        <w:t>光值、一般显色指数等指标满足现行国家标准《建筑照明设计标准》</w:t>
      </w:r>
      <w:r>
        <w:rPr>
          <w:rFonts w:hint="eastAsia"/>
          <w:color w:val="auto"/>
          <w:sz w:val="28"/>
          <w:szCs w:val="28"/>
          <w:u w:val="single"/>
          <w:lang w:val="en-US" w:eastAsia="zh-CN"/>
        </w:rPr>
        <w:t xml:space="preserve">GB </w:t>
      </w:r>
      <w:r>
        <w:rPr>
          <w:rFonts w:hint="eastAsia" w:eastAsia="Times New Roman"/>
          <w:color w:val="auto"/>
          <w:sz w:val="28"/>
          <w:szCs w:val="28"/>
          <w:u w:val="single"/>
          <w:lang w:val="en-US" w:eastAsia="zh-CN"/>
        </w:rPr>
        <w:t>50034</w:t>
      </w:r>
      <w:r>
        <w:rPr>
          <w:rFonts w:hint="eastAsia"/>
          <w:color w:val="auto"/>
          <w:sz w:val="28"/>
          <w:szCs w:val="28"/>
          <w:u w:val="single"/>
          <w:lang w:val="en-US" w:eastAsia="zh-CN"/>
        </w:rPr>
        <w:t>-</w:t>
      </w:r>
      <w:r>
        <w:rPr>
          <w:rFonts w:hint="eastAsia" w:eastAsia="Times New Roman"/>
          <w:color w:val="auto"/>
          <w:sz w:val="28"/>
          <w:szCs w:val="28"/>
          <w:u w:val="single"/>
          <w:lang w:val="en-US" w:eastAsia="zh-CN"/>
        </w:rPr>
        <w:t>2013</w:t>
      </w:r>
      <w:r>
        <w:rPr>
          <w:rFonts w:hint="eastAsia"/>
          <w:color w:val="auto"/>
          <w:sz w:val="28"/>
          <w:szCs w:val="28"/>
          <w:u w:val="single"/>
        </w:rPr>
        <w:t>中的有关要求</w:t>
      </w:r>
      <w:r>
        <w:rPr>
          <w:rFonts w:hint="eastAsia"/>
          <w:color w:val="auto"/>
          <w:sz w:val="28"/>
          <w:szCs w:val="28"/>
          <w:u w:val="single"/>
          <w:lang w:eastAsia="zh-CN"/>
        </w:rPr>
        <w:t>，</w:t>
      </w:r>
      <w:r>
        <w:rPr>
          <w:rFonts w:hint="eastAsia"/>
          <w:color w:val="auto"/>
          <w:sz w:val="28"/>
          <w:szCs w:val="28"/>
          <w:u w:val="single"/>
          <w:lang w:val="en-US" w:eastAsia="zh-CN"/>
        </w:rPr>
        <w:t>详见下表。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主要场所名称</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对应照度值（</w:t>
            </w:r>
            <w:r>
              <w:rPr>
                <w:rFonts w:hint="eastAsia" w:eastAsia="Times New Roman"/>
                <w:color w:val="auto"/>
                <w:sz w:val="21"/>
                <w:szCs w:val="21"/>
                <w:vertAlign w:val="baseline"/>
                <w:lang w:val="en-US" w:eastAsia="zh-CN"/>
              </w:rPr>
              <w:t>1</w:t>
            </w:r>
            <w:r>
              <w:rPr>
                <w:rFonts w:hint="eastAsia"/>
                <w:color w:val="auto"/>
                <w:sz w:val="21"/>
                <w:szCs w:val="21"/>
                <w:vertAlign w:val="baseline"/>
                <w:lang w:val="en-US" w:eastAsia="zh-CN"/>
              </w:rPr>
              <w:t>x）</w:t>
            </w: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统一眩光值</w:t>
            </w:r>
          </w:p>
        </w:tc>
        <w:tc>
          <w:tcPr>
            <w:tcW w:w="2131" w:type="dxa"/>
            <w:tcBorders>
              <w:tl2br w:val="nil"/>
              <w:tr2bl w:val="nil"/>
            </w:tcBorders>
            <w:noWrap w:val="0"/>
            <w:vAlign w:val="top"/>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一般显色指数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风机房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弱电机房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消防水泵房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发电机房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合用前室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消防控制室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大堂</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起居室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卧室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color w:val="auto"/>
                <w:sz w:val="21"/>
                <w:szCs w:val="21"/>
                <w:vertAlign w:val="baseline"/>
                <w:lang w:val="en-US" w:eastAsia="zh-CN"/>
              </w:rPr>
            </w:pP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color w:val="auto"/>
                <w:sz w:val="21"/>
                <w:szCs w:val="21"/>
                <w:vertAlign w:val="baseline"/>
                <w:lang w:val="en-US" w:eastAsia="zh-CN"/>
              </w:rPr>
            </w:pP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bl>
    <w:p>
      <w:pPr>
        <w:rPr>
          <w:rFonts w:hint="eastAsia"/>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照度计算书</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停车场应具有电动汽车充电设施或具备充电设施的安装条件</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3</w:t>
      </w:r>
      <w:r>
        <w:rPr>
          <w:rFonts w:hint="eastAsia"/>
          <w:color w:val="auto"/>
          <w:sz w:val="28"/>
          <w:szCs w:val="28"/>
          <w:lang w:val="en-US" w:eastAsia="zh-CN"/>
        </w:rPr>
        <w:t>条电气部分</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就是否具有</w:t>
      </w:r>
      <w:r>
        <w:rPr>
          <w:rFonts w:hint="eastAsia"/>
          <w:color w:val="auto"/>
          <w:sz w:val="21"/>
          <w:szCs w:val="21"/>
        </w:rPr>
        <w:t>电动汽车充电设施或具备充电设施的安装条件</w:t>
      </w:r>
      <w:r>
        <w:rPr>
          <w:rFonts w:hint="eastAsia"/>
          <w:color w:val="auto"/>
          <w:sz w:val="21"/>
          <w:szCs w:val="21"/>
          <w:lang w:val="en-US" w:eastAsia="zh-CN"/>
        </w:rPr>
        <w:t>简答</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eastAsia="zh-CN"/>
        </w:rPr>
        <w:t>。</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建筑设备管理系统应具有自动监控管理功能</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5</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注：未设置</w:t>
      </w:r>
      <w:r>
        <w:rPr>
          <w:rFonts w:hint="eastAsia"/>
          <w:color w:val="auto"/>
          <w:sz w:val="21"/>
          <w:szCs w:val="21"/>
        </w:rPr>
        <w:t>建筑设备管理系统</w:t>
      </w:r>
      <w:r>
        <w:rPr>
          <w:rFonts w:hint="eastAsia"/>
          <w:color w:val="auto"/>
          <w:sz w:val="21"/>
          <w:szCs w:val="21"/>
          <w:lang w:val="en-US" w:eastAsia="zh-CN"/>
        </w:rPr>
        <w:t>直接通过。</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建筑应设置信息网络系统</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6</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lang w:eastAsia="zh-CN"/>
        </w:rPr>
      </w:pPr>
      <w:r>
        <w:rPr>
          <w:rFonts w:hint="eastAsia"/>
          <w:color w:val="auto"/>
          <w:sz w:val="28"/>
          <w:szCs w:val="28"/>
          <w:lang w:eastAsia="zh-CN"/>
        </w:rPr>
        <w:t>技术措施说明</w:t>
      </w:r>
      <w:r>
        <w:rPr>
          <w:rFonts w:hint="eastAsia"/>
          <w:color w:val="auto"/>
          <w:sz w:val="28"/>
          <w:szCs w:val="28"/>
          <w:u w:val="none"/>
          <w:lang w:eastAsia="zh-CN"/>
        </w:rPr>
        <w:t>：</w:t>
      </w:r>
      <w:r>
        <w:rPr>
          <w:rFonts w:hint="eastAsia"/>
          <w:color w:val="auto"/>
          <w:sz w:val="28"/>
          <w:szCs w:val="28"/>
          <w:u w:val="single"/>
        </w:rPr>
        <w:t>本项目设置物理</w:t>
      </w:r>
      <w:r>
        <w:rPr>
          <w:rFonts w:hint="eastAsia"/>
          <w:color w:val="auto"/>
          <w:sz w:val="28"/>
          <w:szCs w:val="28"/>
          <w:u w:val="single"/>
          <w:lang w:val="en-US" w:eastAsia="zh-CN"/>
        </w:rPr>
        <w:t>线缆</w:t>
      </w:r>
      <w:r>
        <w:rPr>
          <w:rFonts w:hint="eastAsia"/>
          <w:color w:val="auto"/>
          <w:sz w:val="28"/>
          <w:szCs w:val="28"/>
          <w:u w:val="single"/>
        </w:rPr>
        <w:t>层</w:t>
      </w:r>
      <w:r>
        <w:rPr>
          <w:rFonts w:hint="eastAsia"/>
          <w:color w:val="auto"/>
          <w:sz w:val="28"/>
          <w:szCs w:val="28"/>
          <w:u w:val="single"/>
          <w:lang w:eastAsia="zh-CN"/>
        </w:rPr>
        <w:t>、</w:t>
      </w:r>
      <w:r>
        <w:rPr>
          <w:rFonts w:hint="eastAsia"/>
          <w:color w:val="auto"/>
          <w:sz w:val="28"/>
          <w:szCs w:val="28"/>
          <w:u w:val="single"/>
        </w:rPr>
        <w:t>网络交换层</w:t>
      </w:r>
      <w:r>
        <w:rPr>
          <w:rFonts w:hint="eastAsia"/>
          <w:color w:val="auto"/>
          <w:sz w:val="28"/>
          <w:szCs w:val="28"/>
          <w:u w:val="single"/>
          <w:lang w:eastAsia="zh-CN"/>
        </w:rPr>
        <w:t>、</w:t>
      </w:r>
      <w:r>
        <w:rPr>
          <w:rFonts w:hint="eastAsia"/>
          <w:color w:val="auto"/>
          <w:sz w:val="28"/>
          <w:szCs w:val="28"/>
          <w:u w:val="single"/>
        </w:rPr>
        <w:t>安全及安全管理系统、运行维护管理系统等信息网络系统</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主要功能房间的</w:t>
      </w:r>
      <w:r>
        <w:rPr>
          <w:rFonts w:hint="eastAsia"/>
          <w:color w:val="auto"/>
          <w:sz w:val="28"/>
          <w:szCs w:val="28"/>
          <w:lang w:val="en-US" w:eastAsia="zh-CN"/>
        </w:rPr>
        <w:t>照</w:t>
      </w:r>
      <w:r>
        <w:rPr>
          <w:rFonts w:hint="eastAsia"/>
          <w:color w:val="auto"/>
          <w:sz w:val="28"/>
          <w:szCs w:val="28"/>
        </w:rPr>
        <w:t>明功率密度值不应高于现行国家标准《建筑照明设计标准》GB</w:t>
      </w:r>
      <w:r>
        <w:rPr>
          <w:rFonts w:hint="eastAsia"/>
          <w:color w:val="auto"/>
          <w:sz w:val="28"/>
          <w:szCs w:val="28"/>
          <w:lang w:val="en-US" w:eastAsia="zh-CN"/>
        </w:rPr>
        <w:t xml:space="preserve"> </w:t>
      </w:r>
      <w:r>
        <w:rPr>
          <w:rFonts w:hint="eastAsia" w:eastAsia="Times New Roman"/>
          <w:color w:val="auto"/>
          <w:sz w:val="28"/>
          <w:szCs w:val="28"/>
        </w:rPr>
        <w:t>500</w:t>
      </w:r>
      <w:r>
        <w:rPr>
          <w:rFonts w:hint="eastAsia" w:eastAsia="Times New Roman"/>
          <w:color w:val="auto"/>
          <w:sz w:val="28"/>
          <w:szCs w:val="28"/>
          <w:lang w:val="en-US" w:eastAsia="zh-CN"/>
        </w:rPr>
        <w:t>3</w:t>
      </w:r>
      <w:r>
        <w:rPr>
          <w:rFonts w:hint="eastAsia" w:eastAsia="Times New Roman"/>
          <w:color w:val="auto"/>
          <w:sz w:val="28"/>
          <w:szCs w:val="28"/>
        </w:rPr>
        <w:t>4</w:t>
      </w:r>
      <w:r>
        <w:rPr>
          <w:rFonts w:hint="eastAsia"/>
          <w:color w:val="auto"/>
          <w:sz w:val="28"/>
          <w:szCs w:val="28"/>
        </w:rPr>
        <w:t>规定的现行值</w:t>
      </w:r>
      <w:r>
        <w:rPr>
          <w:rFonts w:hint="eastAsia"/>
          <w:color w:val="auto"/>
          <w:sz w:val="28"/>
          <w:szCs w:val="28"/>
          <w:lang w:eastAsia="zh-CN"/>
        </w:rPr>
        <w:t>；</w:t>
      </w:r>
      <w:r>
        <w:rPr>
          <w:rFonts w:hint="eastAsia"/>
          <w:color w:val="auto"/>
          <w:sz w:val="28"/>
          <w:szCs w:val="28"/>
        </w:rPr>
        <w:t>公共</w:t>
      </w:r>
      <w:r>
        <w:rPr>
          <w:rFonts w:hint="eastAsia"/>
          <w:color w:val="auto"/>
          <w:sz w:val="28"/>
          <w:szCs w:val="28"/>
          <w:lang w:val="en-US" w:eastAsia="zh-CN"/>
        </w:rPr>
        <w:t>区域</w:t>
      </w:r>
      <w:r>
        <w:rPr>
          <w:rFonts w:hint="eastAsia"/>
          <w:color w:val="auto"/>
          <w:sz w:val="28"/>
          <w:szCs w:val="28"/>
        </w:rPr>
        <w:t>的</w:t>
      </w:r>
      <w:r>
        <w:rPr>
          <w:rFonts w:hint="eastAsia"/>
          <w:color w:val="auto"/>
          <w:sz w:val="28"/>
          <w:szCs w:val="28"/>
          <w:lang w:val="en-US" w:eastAsia="zh-CN"/>
        </w:rPr>
        <w:t>照明</w:t>
      </w:r>
      <w:r>
        <w:rPr>
          <w:rFonts w:hint="eastAsia"/>
          <w:color w:val="auto"/>
          <w:sz w:val="28"/>
          <w:szCs w:val="28"/>
        </w:rPr>
        <w:t>系统应采用分区、定时、感应等节能控制</w:t>
      </w:r>
      <w:r>
        <w:rPr>
          <w:rFonts w:hint="eastAsia"/>
          <w:color w:val="auto"/>
          <w:sz w:val="28"/>
          <w:szCs w:val="28"/>
          <w:lang w:eastAsia="zh-CN"/>
        </w:rPr>
        <w:t>；</w:t>
      </w:r>
      <w:r>
        <w:rPr>
          <w:rFonts w:hint="eastAsia"/>
          <w:color w:val="auto"/>
          <w:sz w:val="28"/>
          <w:szCs w:val="28"/>
        </w:rPr>
        <w:t>采光区域的照明控制应独立于其他</w:t>
      </w:r>
      <w:r>
        <w:rPr>
          <w:rFonts w:hint="eastAsia"/>
          <w:color w:val="auto"/>
          <w:sz w:val="28"/>
          <w:szCs w:val="28"/>
          <w:lang w:val="en-US" w:eastAsia="zh-CN"/>
        </w:rPr>
        <w:t>区域</w:t>
      </w:r>
      <w:r>
        <w:rPr>
          <w:rFonts w:hint="eastAsia"/>
          <w:color w:val="auto"/>
          <w:sz w:val="28"/>
          <w:szCs w:val="28"/>
        </w:rPr>
        <w:t>的照明控制</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4</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eastAsia="zh-CN"/>
        </w:rPr>
        <w:t>（</w:t>
      </w:r>
      <w:r>
        <w:rPr>
          <w:rFonts w:hint="eastAsia"/>
          <w:color w:val="auto"/>
          <w:sz w:val="21"/>
          <w:szCs w:val="21"/>
          <w:lang w:val="en-US" w:eastAsia="zh-CN"/>
        </w:rPr>
        <w:t>说明照明系统灯具选型原则、主要灯具型号和参数及照明节能的控制措施。）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6</w:t>
      </w:r>
      <w:r>
        <w:rPr>
          <w:rFonts w:hint="eastAsia"/>
          <w:color w:val="auto"/>
          <w:sz w:val="28"/>
          <w:szCs w:val="28"/>
          <w:lang w:val="en-US" w:eastAsia="zh-CN"/>
        </w:rPr>
        <w:t>、垂直电梯</w:t>
      </w:r>
      <w:r>
        <w:rPr>
          <w:rFonts w:hint="eastAsia"/>
          <w:color w:val="auto"/>
          <w:sz w:val="28"/>
          <w:szCs w:val="28"/>
        </w:rPr>
        <w:t>应采取群控、</w:t>
      </w:r>
      <w:r>
        <w:rPr>
          <w:rFonts w:hint="eastAsia"/>
          <w:color w:val="auto"/>
          <w:sz w:val="28"/>
          <w:szCs w:val="28"/>
          <w:lang w:eastAsia="zh-CN"/>
        </w:rPr>
        <w:t>变频</w:t>
      </w:r>
      <w:r>
        <w:rPr>
          <w:rFonts w:hint="eastAsia"/>
          <w:color w:val="auto"/>
          <w:sz w:val="28"/>
          <w:szCs w:val="28"/>
          <w:lang w:val="en-US" w:eastAsia="zh-CN"/>
        </w:rPr>
        <w:t>调速</w:t>
      </w:r>
      <w:r>
        <w:rPr>
          <w:rFonts w:hint="eastAsia"/>
          <w:color w:val="auto"/>
          <w:sz w:val="28"/>
          <w:szCs w:val="28"/>
        </w:rPr>
        <w:t>或能量</w:t>
      </w:r>
      <w:r>
        <w:rPr>
          <w:rFonts w:hint="eastAsia"/>
          <w:color w:val="auto"/>
          <w:sz w:val="28"/>
          <w:szCs w:val="28"/>
          <w:lang w:val="en-US" w:eastAsia="zh-CN"/>
        </w:rPr>
        <w:t>反馈</w:t>
      </w:r>
      <w:r>
        <w:rPr>
          <w:rFonts w:hint="eastAsia"/>
          <w:color w:val="auto"/>
          <w:sz w:val="28"/>
          <w:szCs w:val="28"/>
        </w:rPr>
        <w:t>等节能措施</w:t>
      </w:r>
      <w:r>
        <w:rPr>
          <w:rFonts w:hint="eastAsia"/>
          <w:color w:val="auto"/>
          <w:sz w:val="28"/>
          <w:szCs w:val="28"/>
          <w:lang w:eastAsia="zh-CN"/>
        </w:rPr>
        <w:t>；</w:t>
      </w:r>
      <w:r>
        <w:rPr>
          <w:rFonts w:hint="eastAsia"/>
          <w:color w:val="auto"/>
          <w:sz w:val="28"/>
          <w:szCs w:val="28"/>
        </w:rPr>
        <w:t>自动扶梯应采用</w:t>
      </w:r>
      <w:r>
        <w:rPr>
          <w:rFonts w:hint="eastAsia"/>
          <w:color w:val="auto"/>
          <w:sz w:val="28"/>
          <w:szCs w:val="28"/>
          <w:lang w:val="en-US" w:eastAsia="zh-CN"/>
        </w:rPr>
        <w:t>变频</w:t>
      </w:r>
      <w:r>
        <w:rPr>
          <w:rFonts w:hint="eastAsia"/>
          <w:color w:val="auto"/>
          <w:sz w:val="28"/>
          <w:szCs w:val="28"/>
        </w:rPr>
        <w:t>感应启动等节能控制</w:t>
      </w:r>
      <w:r>
        <w:rPr>
          <w:rFonts w:hint="eastAsia"/>
          <w:color w:val="auto"/>
          <w:sz w:val="28"/>
          <w:szCs w:val="28"/>
          <w:lang w:val="en-US" w:eastAsia="zh-CN"/>
        </w:rPr>
        <w:t>措施。（</w:t>
      </w: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val="en-US" w:eastAsia="zh-CN"/>
        </w:rPr>
        <w:t>条）</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说明电梯和自动扶梯的节能控制策略。）</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冷热源、输配系统和照明等各部分能耗应进行独立分项计量</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rPr>
        <w:t>5</w:t>
      </w:r>
      <w:r>
        <w:rPr>
          <w:rFonts w:hint="eastAsia"/>
          <w:color w:val="auto"/>
          <w:sz w:val="28"/>
          <w:szCs w:val="28"/>
          <w:lang w:val="en-US" w:eastAsia="zh-CN"/>
        </w:rPr>
        <w:t>条</w:t>
      </w:r>
      <w:r>
        <w:rPr>
          <w:rFonts w:hint="eastAsia"/>
          <w:color w:val="auto"/>
          <w:sz w:val="28"/>
          <w:szCs w:val="28"/>
          <w:lang w:eastAsia="zh-CN"/>
        </w:rPr>
        <w:t>）</w:t>
      </w:r>
    </w:p>
    <w:p>
      <w:pPr>
        <w:ind w:left="560" w:hanging="560" w:hangingChars="200"/>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说明独立分项计量系统的设计、应用情况。）</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w:t>
      </w:r>
      <w:r>
        <w:rPr>
          <w:rFonts w:hint="eastAsia"/>
          <w:color w:val="auto"/>
          <w:sz w:val="28"/>
          <w:szCs w:val="28"/>
          <w:u w:val="single"/>
          <w:lang w:val="en-US" w:eastAsia="zh-CN"/>
        </w:rPr>
        <w:t xml:space="preserve"> </w:t>
      </w:r>
    </w:p>
    <w:p>
      <w:pPr>
        <w:ind w:left="560" w:hanging="560" w:hangingChars="200"/>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ind w:left="0" w:firstLine="0" w:firstLineChars="0"/>
        <w:rPr>
          <w:rFonts w:hint="eastAsia"/>
          <w:color w:val="auto"/>
          <w:sz w:val="28"/>
          <w:szCs w:val="28"/>
          <w:lang w:val="en-US" w:eastAsia="zh-CN"/>
        </w:rPr>
      </w:pPr>
      <w:r>
        <w:rPr>
          <w:rFonts w:hint="eastAsia" w:eastAsia="Times New Roman"/>
          <w:color w:val="auto"/>
          <w:sz w:val="28"/>
          <w:szCs w:val="28"/>
          <w:lang w:val="en-US" w:eastAsia="zh-CN"/>
        </w:rPr>
        <w:t>8</w:t>
      </w:r>
      <w:r>
        <w:rPr>
          <w:rFonts w:hint="eastAsia"/>
          <w:color w:val="auto"/>
          <w:sz w:val="28"/>
          <w:szCs w:val="28"/>
          <w:lang w:val="en-US" w:eastAsia="zh-CN"/>
        </w:rPr>
        <w:t xml:space="preserve">、建筑的用电指标（负荷）不应超出所在地块的用电规划要求，并符合广东省及所在城市的相关规定。（《广东省绿色建筑设计规范》DBJ/T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第</w:t>
      </w: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p>
    <w:p>
      <w:pPr>
        <w:ind w:left="0" w:firstLine="0" w:firstLineChars="0"/>
        <w:rPr>
          <w:rFonts w:hint="eastAsia"/>
          <w:color w:val="auto"/>
          <w:sz w:val="21"/>
          <w:szCs w:val="21"/>
          <w:lang w:val="en-US" w:eastAsia="zh-CN"/>
        </w:rPr>
      </w:pPr>
      <w:r>
        <w:rPr>
          <w:rFonts w:hint="eastAsia"/>
          <w:color w:val="auto"/>
          <w:sz w:val="28"/>
          <w:szCs w:val="28"/>
          <w:lang w:val="en-US" w:eastAsia="zh-CN"/>
        </w:rPr>
        <w:t>技术说明措施：</w:t>
      </w:r>
      <w:r>
        <w:rPr>
          <w:rFonts w:hint="eastAsia"/>
          <w:color w:val="auto"/>
          <w:sz w:val="21"/>
          <w:szCs w:val="21"/>
          <w:lang w:val="en-US" w:eastAsia="zh-CN"/>
        </w:rPr>
        <w:t>（广东省正在制定相关的指标限值条款，在各地指标限值出台之前，不做</w:t>
      </w:r>
    </w:p>
    <w:p>
      <w:pPr>
        <w:ind w:left="560" w:hanging="420" w:hangingChars="200"/>
        <w:rPr>
          <w:rFonts w:hint="eastAsia"/>
          <w:color w:val="auto"/>
          <w:sz w:val="28"/>
          <w:szCs w:val="28"/>
          <w:u w:val="single"/>
          <w:lang w:val="en-US" w:eastAsia="zh-CN"/>
        </w:rPr>
      </w:pPr>
      <w:r>
        <w:rPr>
          <w:rFonts w:hint="eastAsia"/>
          <w:color w:val="auto"/>
          <w:sz w:val="21"/>
          <w:szCs w:val="21"/>
          <w:lang w:val="en-US" w:eastAsia="zh-CN"/>
        </w:rPr>
        <w:t>强制性要求，但设计时需要给出具体指标值。）</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ind w:left="560" w:hanging="560" w:hangingChars="200"/>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采取人车分流措施，且步行和自行车交通系统有</w:t>
      </w:r>
      <w:r>
        <w:rPr>
          <w:rFonts w:hint="eastAsia"/>
          <w:color w:val="auto"/>
          <w:sz w:val="28"/>
          <w:szCs w:val="28"/>
          <w:lang w:val="en-US" w:eastAsia="zh-CN"/>
        </w:rPr>
        <w:t>充足</w:t>
      </w:r>
      <w:r>
        <w:rPr>
          <w:rFonts w:hint="eastAsia"/>
          <w:color w:val="auto"/>
          <w:sz w:val="28"/>
          <w:szCs w:val="28"/>
        </w:rPr>
        <w:t>照明</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5</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采取人车分流措施，且步行和自行车交通系统有充足照明，评价分值为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eastAsia="宋体"/>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说明人车分流措施、步行和自行车交通系统</w:t>
      </w:r>
      <w:r>
        <w:rPr>
          <w:rFonts w:hint="eastAsia"/>
          <w:color w:val="auto"/>
          <w:sz w:val="21"/>
          <w:szCs w:val="21"/>
          <w:lang w:val="en-US" w:eastAsia="zh-CN"/>
        </w:rPr>
        <w:t>照明</w:t>
      </w:r>
      <w:r>
        <w:rPr>
          <w:rFonts w:hint="eastAsia"/>
          <w:color w:val="auto"/>
          <w:sz w:val="21"/>
          <w:szCs w:val="21"/>
        </w:rPr>
        <w:t>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w:t>
      </w:r>
      <w:r>
        <w:rPr>
          <w:rFonts w:hint="eastAsia"/>
          <w:color w:val="auto"/>
          <w:sz w:val="28"/>
          <w:szCs w:val="28"/>
          <w:lang w:val="en-US" w:eastAsia="zh-CN"/>
        </w:rPr>
        <w:t>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设置</w:t>
      </w:r>
      <w:r>
        <w:rPr>
          <w:rFonts w:hint="eastAsia"/>
          <w:color w:val="auto"/>
          <w:sz w:val="28"/>
          <w:szCs w:val="28"/>
          <w:lang w:val="en-US" w:eastAsia="zh-CN"/>
        </w:rPr>
        <w:t>分类</w:t>
      </w:r>
      <w:r>
        <w:rPr>
          <w:rFonts w:hint="eastAsia"/>
          <w:color w:val="auto"/>
          <w:sz w:val="28"/>
          <w:szCs w:val="28"/>
        </w:rPr>
        <w:t>、分级用能自动远传计量系统，且设置能源管理系统实现对建筑能耗的监测、数据分析和管理</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ascii="宋体" w:hAnsi="宋体" w:cs="宋体"/>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rPr>
        <w:t>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设置分类、分级用能自动远传计量系统、且设置能源</w:t>
      </w:r>
      <w:r>
        <w:rPr>
          <w:rFonts w:hint="eastAsia" w:ascii="宋体" w:hAnsi="宋体" w:eastAsia="宋体" w:cs="宋体"/>
          <w:i/>
          <w:iCs/>
          <w:color w:val="FF0000"/>
          <w:sz w:val="24"/>
          <w:szCs w:val="24"/>
          <w:lang w:val="en-US" w:eastAsia="zh-CN"/>
        </w:rPr>
        <w:t>管理系统实现对建筑能耗的</w:t>
      </w:r>
      <w:r>
        <w:rPr>
          <w:rFonts w:hint="eastAsia" w:ascii="宋体" w:hAnsi="宋体" w:cs="宋体"/>
          <w:i/>
          <w:iCs/>
          <w:color w:val="FF0000"/>
          <w:sz w:val="24"/>
          <w:szCs w:val="24"/>
          <w:lang w:val="en-US" w:eastAsia="zh-CN"/>
        </w:rPr>
        <w:t>监</w:t>
      </w:r>
      <w:r>
        <w:rPr>
          <w:rFonts w:hint="eastAsia" w:ascii="宋体" w:hAnsi="宋体" w:eastAsia="宋体" w:cs="宋体"/>
          <w:i/>
          <w:iCs/>
          <w:color w:val="FF0000"/>
          <w:sz w:val="24"/>
          <w:szCs w:val="24"/>
          <w:lang w:val="en-US" w:eastAsia="zh-CN"/>
        </w:rPr>
        <w:t>测</w:t>
      </w:r>
      <w:r>
        <w:rPr>
          <w:rFonts w:hint="eastAsia" w:ascii="宋体" w:hAnsi="宋体" w:eastAsia="宋体" w:cs="宋体"/>
          <w:i/>
          <w:iCs/>
          <w:color w:val="FF0000"/>
          <w:sz w:val="24"/>
          <w:szCs w:val="24"/>
          <w:lang w:eastAsia="zh-CN"/>
        </w:rPr>
        <w:t>、数据分析和管理、评价分值为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说明自动远传计量系统以及能源管理系统的设置情况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设置</w:t>
      </w:r>
      <w:r>
        <w:rPr>
          <w:rFonts w:hint="eastAsia"/>
          <w:color w:val="auto"/>
          <w:sz w:val="28"/>
          <w:szCs w:val="28"/>
          <w:lang w:val="en-US" w:eastAsia="zh-CN"/>
        </w:rPr>
        <w:t>PM</w:t>
      </w:r>
      <w:r>
        <w:rPr>
          <w:rFonts w:hint="eastAsia" w:eastAsia="Times New Roman"/>
          <w:color w:val="auto"/>
          <w:sz w:val="28"/>
          <w:szCs w:val="28"/>
          <w:vertAlign w:val="subscript"/>
          <w:lang w:val="en-US" w:eastAsia="zh-CN"/>
        </w:rPr>
        <w:t>10</w:t>
      </w:r>
      <w:r>
        <w:rPr>
          <w:rFonts w:hint="eastAsia"/>
          <w:color w:val="auto"/>
          <w:sz w:val="28"/>
          <w:szCs w:val="28"/>
          <w:lang w:val="en-US" w:eastAsia="zh-CN"/>
        </w:rPr>
        <w:t>、PM</w:t>
      </w:r>
      <w:r>
        <w:rPr>
          <w:rFonts w:hint="eastAsia" w:eastAsia="Times New Roman"/>
          <w:color w:val="auto"/>
          <w:sz w:val="28"/>
          <w:szCs w:val="28"/>
          <w:vertAlign w:val="subscript"/>
          <w:lang w:val="en-US" w:eastAsia="zh-CN"/>
        </w:rPr>
        <w:t>2</w:t>
      </w:r>
      <w:r>
        <w:rPr>
          <w:rFonts w:hint="eastAsia"/>
          <w:color w:val="auto"/>
          <w:sz w:val="28"/>
          <w:szCs w:val="28"/>
          <w:vertAlign w:val="subscript"/>
          <w:lang w:val="en-US" w:eastAsia="zh-CN"/>
        </w:rPr>
        <w:t>.</w:t>
      </w:r>
      <w:r>
        <w:rPr>
          <w:rFonts w:hint="eastAsia" w:eastAsia="Times New Roman"/>
          <w:color w:val="auto"/>
          <w:sz w:val="28"/>
          <w:szCs w:val="28"/>
          <w:vertAlign w:val="subscript"/>
          <w:lang w:val="en-US" w:eastAsia="zh-CN"/>
        </w:rPr>
        <w:t>5</w:t>
      </w:r>
      <w:r>
        <w:rPr>
          <w:rFonts w:hint="eastAsia"/>
          <w:color w:val="auto"/>
          <w:sz w:val="28"/>
          <w:szCs w:val="28"/>
          <w:lang w:val="en-US" w:eastAsia="zh-CN"/>
        </w:rPr>
        <w:t>、CO</w:t>
      </w:r>
      <w:r>
        <w:rPr>
          <w:rFonts w:hint="eastAsia" w:eastAsia="Times New Roman"/>
          <w:color w:val="auto"/>
          <w:sz w:val="28"/>
          <w:szCs w:val="28"/>
          <w:vertAlign w:val="subscript"/>
          <w:lang w:val="en-US" w:eastAsia="zh-CN"/>
        </w:rPr>
        <w:t>2</w:t>
      </w:r>
      <w:r>
        <w:rPr>
          <w:rFonts w:hint="eastAsia"/>
          <w:color w:val="auto"/>
          <w:sz w:val="28"/>
          <w:szCs w:val="28"/>
          <w:lang w:val="en-US" w:eastAsia="zh-CN"/>
        </w:rPr>
        <w:t>浓</w:t>
      </w:r>
      <w:r>
        <w:rPr>
          <w:rFonts w:hint="eastAsia"/>
          <w:color w:val="auto"/>
          <w:sz w:val="28"/>
          <w:szCs w:val="28"/>
        </w:rPr>
        <w:t>度的空气质量检测系统，且具有</w:t>
      </w:r>
      <w:r>
        <w:rPr>
          <w:rFonts w:hint="eastAsia"/>
          <w:color w:val="auto"/>
          <w:sz w:val="28"/>
          <w:szCs w:val="28"/>
          <w:lang w:val="en-US" w:eastAsia="zh-CN"/>
        </w:rPr>
        <w:t>存储</w:t>
      </w:r>
      <w:r>
        <w:rPr>
          <w:rFonts w:hint="eastAsia"/>
          <w:color w:val="auto"/>
          <w:sz w:val="28"/>
          <w:szCs w:val="28"/>
        </w:rPr>
        <w:t>至少</w:t>
      </w:r>
      <w:r>
        <w:rPr>
          <w:rFonts w:hint="eastAsia"/>
          <w:color w:val="auto"/>
          <w:sz w:val="28"/>
          <w:szCs w:val="28"/>
          <w:lang w:val="en-US" w:eastAsia="zh-CN"/>
        </w:rPr>
        <w:t>一年的</w:t>
      </w:r>
      <w:r>
        <w:rPr>
          <w:rFonts w:hint="eastAsia"/>
          <w:color w:val="auto"/>
          <w:sz w:val="28"/>
          <w:szCs w:val="28"/>
        </w:rPr>
        <w:t>监测数据和实时显示等功能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lang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设置</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10</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2</w:t>
      </w:r>
      <w:r>
        <w:rPr>
          <w:rFonts w:hint="eastAsia" w:ascii="宋体" w:hAnsi="宋体" w:eastAsia="宋体" w:cs="宋体"/>
          <w:i/>
          <w:iCs/>
          <w:color w:val="FF0000"/>
          <w:sz w:val="24"/>
          <w:szCs w:val="24"/>
          <w:vertAlign w:val="subscript"/>
          <w:lang w:val="en-US" w:eastAsia="zh-CN"/>
        </w:rPr>
        <w:t>.</w:t>
      </w:r>
      <w:r>
        <w:rPr>
          <w:rFonts w:hint="eastAsia" w:ascii="宋体" w:hAnsi="宋体" w:eastAsia="Times New Roman" w:cs="宋体"/>
          <w:i/>
          <w:iCs/>
          <w:color w:val="FF0000"/>
          <w:sz w:val="24"/>
          <w:szCs w:val="24"/>
          <w:vertAlign w:val="subscript"/>
          <w:lang w:val="en-US" w:eastAsia="zh-CN"/>
        </w:rPr>
        <w:t>5</w:t>
      </w:r>
      <w:r>
        <w:rPr>
          <w:rFonts w:hint="eastAsia" w:ascii="宋体" w:hAnsi="宋体" w:eastAsia="宋体" w:cs="宋体"/>
          <w:i/>
          <w:iCs/>
          <w:color w:val="FF0000"/>
          <w:sz w:val="24"/>
          <w:szCs w:val="24"/>
          <w:lang w:val="en-US" w:eastAsia="zh-CN"/>
        </w:rPr>
        <w:t>、CO</w:t>
      </w:r>
      <w:r>
        <w:rPr>
          <w:rFonts w:hint="eastAsia" w:ascii="宋体" w:hAnsi="宋体" w:eastAsia="Times New Roman" w:cs="宋体"/>
          <w:i/>
          <w:iCs/>
          <w:color w:val="FF0000"/>
          <w:sz w:val="24"/>
          <w:szCs w:val="24"/>
          <w:vertAlign w:val="subscript"/>
          <w:lang w:val="en-US" w:eastAsia="zh-CN"/>
        </w:rPr>
        <w:t>2</w:t>
      </w:r>
      <w:r>
        <w:rPr>
          <w:rFonts w:hint="eastAsia" w:ascii="宋体" w:hAnsi="宋体" w:eastAsia="宋体" w:cs="宋体"/>
          <w:i/>
          <w:iCs/>
          <w:color w:val="FF0000"/>
          <w:sz w:val="24"/>
          <w:szCs w:val="24"/>
          <w:lang w:eastAsia="zh-CN"/>
        </w:rPr>
        <w:t>浓度的空气质量监测系统</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且具有存储至少一年的监测数据和实时显示等功能、评价分值为</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r>
        <w:rPr>
          <w:rFonts w:hint="eastAsia" w:ascii="宋体" w:hAnsi="宋体" w:eastAsia="宋体" w:cs="宋体"/>
          <w:i/>
          <w:iCs/>
          <w:color w:val="FF0000"/>
          <w:sz w:val="24"/>
          <w:szCs w:val="24"/>
          <w:lang w:eastAsia="zh-CN"/>
        </w:rPr>
        <w:t>。</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说明室内空气质量</w:t>
      </w:r>
      <w:r>
        <w:rPr>
          <w:rFonts w:hint="eastAsia"/>
          <w:color w:val="auto"/>
          <w:sz w:val="21"/>
          <w:szCs w:val="21"/>
          <w:lang w:val="en-US" w:eastAsia="zh-CN"/>
        </w:rPr>
        <w:t>监控</w:t>
      </w:r>
      <w:r>
        <w:rPr>
          <w:rFonts w:hint="eastAsia"/>
          <w:color w:val="auto"/>
          <w:sz w:val="21"/>
          <w:szCs w:val="21"/>
        </w:rPr>
        <w:t>系统的设置情况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具有智能化服务系统</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6</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9</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eastAsia="zh-CN"/>
        </w:rPr>
        <w:t>具有智能化服务系统，评价总分值为</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具有家电控制、照明控制、安全报警、环境监测、建筑</w:t>
      </w:r>
      <w:r>
        <w:rPr>
          <w:rFonts w:hint="eastAsia" w:ascii="宋体" w:hAnsi="宋体" w:eastAsia="宋体" w:cs="宋体"/>
          <w:i/>
          <w:iCs/>
          <w:color w:val="FF0000"/>
          <w:sz w:val="24"/>
          <w:szCs w:val="24"/>
          <w:lang w:val="en-US" w:eastAsia="zh-CN"/>
        </w:rPr>
        <w:t>设备控制</w:t>
      </w:r>
      <w:r>
        <w:rPr>
          <w:rFonts w:hint="eastAsia" w:ascii="宋体" w:hAnsi="宋体" w:eastAsia="宋体" w:cs="宋体"/>
          <w:i/>
          <w:iCs/>
          <w:color w:val="FF0000"/>
          <w:sz w:val="24"/>
          <w:szCs w:val="24"/>
          <w:lang w:eastAsia="zh-CN"/>
        </w:rPr>
        <w:t>、工作生活服务等至少</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种类型的服务功能，得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具有远程监控的功能，得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具有接入智慧城市（城区、社区）的功能、得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说明智能服务系统的功能及服务平台设置情况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采用节能型电气设备及节能控制措施</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本条与暖通专业联合作答。</w:t>
      </w:r>
      <w:r>
        <w:rPr>
          <w:rFonts w:hint="eastAsia"/>
          <w:color w:val="auto"/>
          <w:sz w:val="21"/>
          <w:szCs w:val="21"/>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采用节能型电气设备及节能控制措施，评价总分值为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主要功能房间的照明功率密度值达到现行国家标准《建筑照明设计标准》GB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50034</w:t>
      </w:r>
      <w:r>
        <w:rPr>
          <w:rFonts w:hint="eastAsia" w:ascii="宋体" w:hAnsi="宋体" w:eastAsia="宋体" w:cs="宋体"/>
          <w:i/>
          <w:iCs/>
          <w:color w:val="FF0000"/>
          <w:sz w:val="24"/>
          <w:szCs w:val="24"/>
          <w:lang w:val="en-US" w:eastAsia="zh-CN"/>
        </w:rPr>
        <w:t>规定的目标值，得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采光区域的人工照明随天然光照度变化自动调节，得</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照明产品、三相配电变压器、水泵、风机等设备满足国家现行有关标准的节能评价值的要求</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说明各主要功能房间的照明功率密度及采光区域的照明节能控制措施</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照</w:t>
      </w:r>
      <w:r>
        <w:rPr>
          <w:rFonts w:hint="eastAsia"/>
          <w:color w:val="auto"/>
          <w:sz w:val="21"/>
          <w:szCs w:val="21"/>
        </w:rPr>
        <w:t>明产品、变压器</w:t>
      </w:r>
      <w:r>
        <w:rPr>
          <w:rFonts w:hint="eastAsia"/>
          <w:color w:val="auto"/>
          <w:sz w:val="21"/>
          <w:szCs w:val="21"/>
          <w:lang w:val="en-US" w:eastAsia="zh-CN"/>
        </w:rPr>
        <w:t>能效等级和节</w:t>
      </w:r>
      <w:r>
        <w:rPr>
          <w:rFonts w:hint="eastAsia"/>
          <w:color w:val="auto"/>
          <w:sz w:val="21"/>
          <w:szCs w:val="21"/>
        </w:rPr>
        <w:t>能评价值</w:t>
      </w:r>
      <w:r>
        <w:rPr>
          <w:rFonts w:hint="eastAsia"/>
          <w:color w:val="auto"/>
          <w:sz w:val="21"/>
          <w:szCs w:val="21"/>
          <w:lang w:eastAsia="zh-CN"/>
        </w:rPr>
        <w:t>；</w:t>
      </w:r>
      <w:r>
        <w:rPr>
          <w:rFonts w:hint="eastAsia"/>
          <w:color w:val="auto"/>
          <w:sz w:val="21"/>
          <w:szCs w:val="21"/>
          <w:lang w:val="en-US" w:eastAsia="zh-CN"/>
        </w:rPr>
        <w:t>暖通专业</w:t>
      </w:r>
      <w:r>
        <w:rPr>
          <w:rFonts w:hint="eastAsia"/>
          <w:color w:val="auto"/>
          <w:sz w:val="21"/>
          <w:szCs w:val="21"/>
        </w:rPr>
        <w:t>说明设计选用</w:t>
      </w:r>
      <w:r>
        <w:rPr>
          <w:rFonts w:hint="eastAsia"/>
          <w:color w:val="auto"/>
          <w:sz w:val="21"/>
          <w:szCs w:val="21"/>
          <w:lang w:val="en-US" w:eastAsia="zh-CN"/>
        </w:rPr>
        <w:t>水泵</w:t>
      </w:r>
      <w:r>
        <w:rPr>
          <w:rFonts w:hint="eastAsia"/>
          <w:color w:val="auto"/>
          <w:sz w:val="21"/>
          <w:szCs w:val="21"/>
        </w:rPr>
        <w:t>、风机</w:t>
      </w:r>
      <w:r>
        <w:rPr>
          <w:rFonts w:hint="eastAsia"/>
          <w:color w:val="auto"/>
          <w:sz w:val="21"/>
          <w:szCs w:val="21"/>
          <w:lang w:eastAsia="zh-CN"/>
        </w:rPr>
        <w:t>（</w:t>
      </w:r>
      <w:r>
        <w:rPr>
          <w:rFonts w:hint="eastAsia"/>
          <w:color w:val="auto"/>
          <w:sz w:val="21"/>
          <w:szCs w:val="21"/>
        </w:rPr>
        <w:t>及其电机</w:t>
      </w:r>
      <w:r>
        <w:rPr>
          <w:rFonts w:hint="eastAsia"/>
          <w:color w:val="auto"/>
          <w:sz w:val="21"/>
          <w:szCs w:val="21"/>
          <w:lang w:eastAsia="zh-CN"/>
        </w:rPr>
        <w:t>）</w:t>
      </w:r>
      <w:r>
        <w:rPr>
          <w:rFonts w:hint="eastAsia"/>
          <w:color w:val="auto"/>
          <w:sz w:val="21"/>
          <w:szCs w:val="21"/>
          <w:lang w:val="en-US" w:eastAsia="zh-CN"/>
        </w:rPr>
        <w:t>的</w:t>
      </w:r>
      <w:r>
        <w:rPr>
          <w:rFonts w:hint="eastAsia"/>
          <w:color w:val="auto"/>
          <w:sz w:val="21"/>
          <w:szCs w:val="21"/>
        </w:rPr>
        <w:t>能效等级</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lang w:eastAsia="zh-CN"/>
        </w:rPr>
        <w:t>证明材料：□设计图纸（名称、图号）</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结合当地气候和自然资源条件合理利用可再生能源</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1"/>
          <w:szCs w:val="21"/>
          <w:lang w:eastAsia="zh-CN"/>
        </w:rPr>
        <w:t>（</w:t>
      </w:r>
      <w:r>
        <w:rPr>
          <w:rFonts w:hint="eastAsia"/>
          <w:color w:val="auto"/>
          <w:sz w:val="21"/>
          <w:szCs w:val="21"/>
          <w:lang w:val="en-US" w:eastAsia="zh-CN"/>
        </w:rPr>
        <w:t>仅</w:t>
      </w:r>
      <w:r>
        <w:rPr>
          <w:rFonts w:hint="eastAsia"/>
          <w:color w:val="auto"/>
          <w:sz w:val="21"/>
          <w:szCs w:val="21"/>
        </w:rPr>
        <w:t>针对可再生能源</w:t>
      </w:r>
      <w:r>
        <w:rPr>
          <w:rFonts w:hint="eastAsia"/>
          <w:color w:val="auto"/>
          <w:sz w:val="21"/>
          <w:szCs w:val="21"/>
          <w:lang w:val="en-US" w:eastAsia="zh-CN"/>
        </w:rPr>
        <w:t>提供</w:t>
      </w:r>
      <w:r>
        <w:rPr>
          <w:rFonts w:hint="eastAsia"/>
          <w:color w:val="auto"/>
          <w:sz w:val="21"/>
          <w:szCs w:val="21"/>
        </w:rPr>
        <w:t>电量</w:t>
      </w:r>
      <w:r>
        <w:rPr>
          <w:rFonts w:hint="eastAsia"/>
          <w:color w:val="auto"/>
          <w:sz w:val="21"/>
          <w:szCs w:val="21"/>
          <w:lang w:val="en-US" w:eastAsia="zh-CN"/>
        </w:rPr>
        <w:t>比例</w:t>
      </w:r>
      <w:r>
        <w:rPr>
          <w:rFonts w:hint="eastAsia"/>
          <w:i/>
          <w:iCs/>
          <w:color w:val="auto"/>
          <w:sz w:val="21"/>
          <w:szCs w:val="21"/>
          <w:lang w:val="en-US" w:eastAsia="zh-CN"/>
        </w:rPr>
        <w:t>Re</w:t>
      </w:r>
      <w:r>
        <w:rPr>
          <w:rFonts w:hint="eastAsia"/>
          <w:color w:val="auto"/>
          <w:sz w:val="21"/>
          <w:szCs w:val="21"/>
          <w:lang w:val="en-US" w:eastAsia="zh-CN"/>
        </w:rPr>
        <w:t>作答</w:t>
      </w:r>
      <w:r>
        <w:rPr>
          <w:rFonts w:hint="eastAsia"/>
          <w:color w:val="auto"/>
          <w:sz w:val="21"/>
          <w:szCs w:val="21"/>
          <w:lang w:eastAsia="zh-CN"/>
        </w:rPr>
        <w:t>，</w:t>
      </w:r>
      <w:r>
        <w:rPr>
          <w:rFonts w:hint="eastAsia"/>
          <w:color w:val="auto"/>
          <w:sz w:val="21"/>
          <w:szCs w:val="21"/>
          <w:lang w:val="en-US" w:eastAsia="zh-CN"/>
        </w:rPr>
        <w:t>应与给排水、空凋专业协调，三个专业累计得分不得大于</w:t>
      </w:r>
      <w:r>
        <w:rPr>
          <w:rFonts w:hint="eastAsia" w:eastAsia="Times New Roman"/>
          <w:color w:val="auto"/>
          <w:sz w:val="21"/>
          <w:szCs w:val="21"/>
          <w:lang w:val="en-US" w:eastAsia="zh-CN"/>
        </w:rPr>
        <w:t>10</w:t>
      </w:r>
      <w:r>
        <w:rPr>
          <w:rFonts w:hint="eastAsia"/>
          <w:color w:val="auto"/>
          <w:sz w:val="21"/>
          <w:szCs w:val="21"/>
          <w:lang w:val="en-US" w:eastAsia="zh-CN"/>
        </w:rPr>
        <w:t>分。</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rPr>
        <w:t>结合当地气候和自然资源条件合理利用可再生能源，评价总分值为</w:t>
      </w:r>
      <w:r>
        <w:rPr>
          <w:rFonts w:hint="eastAsia" w:ascii="宋体" w:hAnsi="宋体" w:eastAsia="Times New Roman" w:cs="宋体"/>
          <w:i/>
          <w:iCs/>
          <w:color w:val="FF0000"/>
          <w:sz w:val="24"/>
          <w:szCs w:val="24"/>
        </w:rPr>
        <w:t>10</w:t>
      </w:r>
      <w:r>
        <w:rPr>
          <w:rFonts w:hint="eastAsia" w:ascii="宋体" w:hAnsi="宋体" w:eastAsia="宋体" w:cs="宋体"/>
          <w:i/>
          <w:iCs/>
          <w:color w:val="FF0000"/>
          <w:sz w:val="24"/>
          <w:szCs w:val="24"/>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rPr>
        <w:t>的规则评分。</w:t>
      </w:r>
    </w:p>
    <w:p>
      <w:pPr>
        <w:rPr>
          <w:rFonts w:hint="default"/>
          <w:color w:val="auto"/>
          <w:sz w:val="21"/>
          <w:szCs w:val="21"/>
          <w:u w:val="single"/>
          <w:lang w:val="en-US" w:eastAsia="zh-CN"/>
        </w:rPr>
      </w:pPr>
      <w:r>
        <w:rPr>
          <w:rFonts w:hint="eastAsia"/>
          <w:color w:val="auto"/>
          <w:sz w:val="28"/>
          <w:szCs w:val="28"/>
          <w:lang w:val="en-US" w:eastAsia="zh-CN"/>
        </w:rPr>
        <w:t>技术措施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说明可再生能源利用条件、应用形式、安装位置、用途及用量</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rPr>
      </w:pPr>
      <w:r>
        <w:rPr>
          <w:rFonts w:hint="eastAsia"/>
          <w:color w:val="auto"/>
          <w:sz w:val="28"/>
          <w:szCs w:val="28"/>
          <w:lang w:eastAsia="zh-CN"/>
        </w:rPr>
        <w:t>证明材料：□</w:t>
      </w:r>
      <w:r>
        <w:rPr>
          <w:rFonts w:hint="eastAsia"/>
          <w:color w:val="auto"/>
          <w:sz w:val="28"/>
          <w:szCs w:val="28"/>
        </w:rPr>
        <w:t>可再生能源应用计算分析</w:t>
      </w:r>
      <w:r>
        <w:rPr>
          <w:rFonts w:hint="eastAsia"/>
          <w:color w:val="auto"/>
          <w:sz w:val="28"/>
          <w:szCs w:val="28"/>
          <w:lang w:val="en-US" w:eastAsia="zh-CN"/>
        </w:rPr>
        <w:t>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rPr>
      </w:pPr>
    </w:p>
    <w:p>
      <w:pPr>
        <w:jc w:val="center"/>
        <w:rPr>
          <w:rFonts w:hint="eastAsia"/>
          <w:b/>
          <w:bCs/>
          <w:i/>
          <w:iCs/>
          <w:color w:val="FF0000"/>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r>
        <w:rPr>
          <w:rFonts w:hint="eastAsia"/>
          <w:b/>
          <w:bCs/>
          <w:i/>
          <w:iCs/>
          <w:color w:val="FF0000"/>
        </w:rPr>
        <w:t>可再生能源利用评分规则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6"/>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2"/>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由可再生能源提供的生活用热水比例</w:t>
            </w:r>
          </w:p>
          <w:p>
            <w:pPr>
              <w:jc w:val="center"/>
              <w:rPr>
                <w:rFonts w:hint="eastAsia"/>
                <w:i/>
                <w:iCs/>
                <w:color w:val="FF0000"/>
              </w:rPr>
            </w:pPr>
            <w:r>
              <w:rPr>
                <w:rFonts w:hint="eastAsia"/>
                <w:i/>
                <w:iCs/>
                <w:color w:val="FF0000"/>
              </w:rPr>
              <w:t>R</w:t>
            </w:r>
            <w:r>
              <w:rPr>
                <w:rFonts w:hint="eastAsia"/>
                <w:i/>
                <w:iCs/>
                <w:color w:val="FF0000"/>
                <w:vertAlign w:val="subscript"/>
              </w:rPr>
              <w:t>hw</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jc w:val="center"/>
        <w:rPr>
          <w:rFonts w:hint="eastAsia"/>
          <w:b/>
          <w:bCs/>
          <w:i/>
          <w:iCs/>
          <w:color w:val="FF0000"/>
        </w:rPr>
      </w:pPr>
      <w:r>
        <w:rPr>
          <w:rFonts w:hint="eastAsia"/>
          <w:b/>
          <w:bCs/>
          <w:i/>
          <w:iCs/>
          <w:color w:val="FF0000"/>
          <w:lang w:val="en-US" w:eastAsia="zh-CN"/>
        </w:rPr>
        <w:t>续</w:t>
      </w: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6"/>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2"/>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由可再生能源提供的空调用冷量和热量比例</w:t>
            </w:r>
          </w:p>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4"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Ch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由可再生能源提供电量比例R</w:t>
            </w:r>
            <w:r>
              <w:rPr>
                <w:rFonts w:hint="eastAsia"/>
                <w:i/>
                <w:iCs/>
                <w:color w:val="FF0000"/>
                <w:vertAlign w:val="subscript"/>
              </w:rPr>
              <w:t>e</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4</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lang w:val="en-US" w:eastAsia="zh-CN"/>
              </w:rPr>
              <w:t>4</w:t>
            </w:r>
            <w:r>
              <w:rPr>
                <w:rFonts w:hint="eastAsia"/>
                <w:i/>
                <w:iCs/>
                <w:color w:val="FF0000"/>
                <w:lang w:val="en-US" w:eastAsia="zh-CN"/>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rPr>
          <w:rFonts w:hint="eastAsia"/>
          <w:lang w:eastAsia="zh-CN"/>
        </w:rPr>
      </w:pP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建筑及</w:t>
      </w:r>
      <w:r>
        <w:rPr>
          <w:rFonts w:hint="eastAsia"/>
          <w:color w:val="auto"/>
          <w:sz w:val="28"/>
          <w:szCs w:val="28"/>
          <w:lang w:val="en-US" w:eastAsia="zh-CN"/>
        </w:rPr>
        <w:t>照</w:t>
      </w:r>
      <w:r>
        <w:rPr>
          <w:rFonts w:hint="eastAsia"/>
          <w:color w:val="auto"/>
          <w:sz w:val="28"/>
          <w:szCs w:val="28"/>
        </w:rPr>
        <w:t>明设计</w:t>
      </w:r>
      <w:r>
        <w:rPr>
          <w:rFonts w:hint="eastAsia"/>
          <w:color w:val="auto"/>
          <w:sz w:val="28"/>
          <w:szCs w:val="28"/>
          <w:lang w:val="en-US" w:eastAsia="zh-CN"/>
        </w:rPr>
        <w:t>避免</w:t>
      </w:r>
      <w:r>
        <w:rPr>
          <w:rFonts w:hint="eastAsia"/>
          <w:color w:val="auto"/>
          <w:sz w:val="28"/>
          <w:szCs w:val="28"/>
        </w:rPr>
        <w:t>产生光污染</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建筑及照明设计避免产生光污染，评价总分值为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 xml:space="preserve"> </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 xml:space="preserve"> </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eastAsia="zh-CN"/>
        </w:rPr>
        <w:t>；</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室外夜景照明光污染的限制符合现行国家标准《室外照明干扰光限制规范》GB/T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35626</w:t>
      </w:r>
      <w:r>
        <w:rPr>
          <w:rFonts w:hint="eastAsia" w:ascii="宋体" w:hAnsi="宋体" w:eastAsia="宋体" w:cs="宋体"/>
          <w:i/>
          <w:iCs/>
          <w:color w:val="FF0000"/>
          <w:sz w:val="24"/>
          <w:szCs w:val="24"/>
          <w:lang w:eastAsia="zh-CN"/>
        </w:rPr>
        <w:t>和现行行业标准《城市夜景照明设计规范》JGJ/T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163</w:t>
      </w:r>
      <w:r>
        <w:rPr>
          <w:rFonts w:hint="eastAsia" w:ascii="宋体" w:hAnsi="宋体" w:eastAsia="宋体" w:cs="宋体"/>
          <w:i/>
          <w:iCs/>
          <w:color w:val="FF0000"/>
          <w:sz w:val="24"/>
          <w:szCs w:val="24"/>
          <w:lang w:eastAsia="zh-CN"/>
        </w:rPr>
        <w:t>的规定，得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eastAsia" w:eastAsia="宋体"/>
          <w:color w:val="auto"/>
          <w:sz w:val="28"/>
          <w:szCs w:val="28"/>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室外夜景照明光污染符合现行国家标准。</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室外夜景照明光污染分析报告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lang w:val="en-US" w:eastAsia="zh-CN"/>
        </w:rPr>
      </w:pPr>
      <w:r>
        <w:rPr>
          <w:rFonts w:hint="eastAsia"/>
          <w:b/>
          <w:bCs/>
          <w:color w:val="auto"/>
          <w:sz w:val="28"/>
          <w:szCs w:val="28"/>
          <w:lang w:val="en-US" w:eastAsia="zh-CN"/>
        </w:rPr>
        <w:t>小结</w:t>
      </w:r>
      <w:r>
        <w:rPr>
          <w:rFonts w:hint="eastAsia"/>
          <w:color w:val="auto"/>
          <w:sz w:val="28"/>
          <w:szCs w:val="28"/>
          <w:lang w:val="en-US" w:eastAsia="zh-CN"/>
        </w:rPr>
        <w:t>：本电气专篇中所有控制项满足要求，评分项得分汇总如下：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电气</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pStyle w:val="4"/>
        <w:rPr>
          <w:rFonts w:hint="default" w:ascii="Times New Roman" w:hAnsi="Times New Roman" w:eastAsia="宋体" w:cs="Times New Roman"/>
          <w:bCs/>
          <w:color w:val="auto"/>
          <w:sz w:val="28"/>
          <w:szCs w:val="24"/>
          <w:lang w:val="en-US" w:eastAsia="zh-CN"/>
        </w:rPr>
      </w:pPr>
      <w:bookmarkStart w:id="307" w:name="_Toc29342"/>
      <w:bookmarkStart w:id="308" w:name="_Toc16560"/>
      <w:bookmarkStart w:id="309" w:name="_Toc29987"/>
      <w:bookmarkStart w:id="310" w:name="_Toc5424"/>
      <w:bookmarkStart w:id="311" w:name="_Toc18510"/>
      <w:bookmarkStart w:id="312" w:name="_Toc21916"/>
      <w:bookmarkStart w:id="313" w:name="_Toc5524"/>
      <w:bookmarkStart w:id="314" w:name="_Toc24820"/>
      <w:bookmarkStart w:id="315" w:name="_Toc819"/>
      <w:bookmarkStart w:id="316" w:name="_Toc11433"/>
      <w:bookmarkStart w:id="317" w:name="_Toc11218"/>
      <w:bookmarkStart w:id="318" w:name="_Toc25110"/>
      <w:bookmarkStart w:id="319" w:name="_Toc11868"/>
      <w:bookmarkStart w:id="320" w:name="_Toc746"/>
      <w:bookmarkStart w:id="321" w:name="_Toc10729"/>
      <w:bookmarkStart w:id="322" w:name="_Toc20140"/>
      <w:bookmarkStart w:id="323" w:name="_Toc26134"/>
      <w:bookmarkStart w:id="324" w:name="_Toc18842"/>
      <w:r>
        <w:rPr>
          <w:rFonts w:hint="default" w:ascii="Times New Roman" w:hAnsi="Times New Roman" w:eastAsia="Times New Roman" w:cs="Times New Roman"/>
          <w:b/>
          <w:bCs/>
          <w:color w:val="auto"/>
          <w:sz w:val="30"/>
          <w:szCs w:val="24"/>
          <w:lang w:val="en-US" w:eastAsia="zh-CN"/>
        </w:rPr>
        <w:t>4</w:t>
      </w:r>
      <w:r>
        <w:rPr>
          <w:rFonts w:hint="default" w:ascii="Times New Roman" w:hAnsi="Times New Roman" w:eastAsia="宋体" w:cs="Times New Roman"/>
          <w:b/>
          <w:bCs/>
          <w:color w:val="auto"/>
          <w:sz w:val="30"/>
          <w:szCs w:val="24"/>
          <w:lang w:val="en-US" w:eastAsia="zh-CN"/>
        </w:rPr>
        <w:t>.</w:t>
      </w:r>
      <w:r>
        <w:rPr>
          <w:rFonts w:hint="default" w:ascii="Times New Roman" w:hAnsi="Times New Roman" w:eastAsia="Times New Roman" w:cs="Times New Roman"/>
          <w:b/>
          <w:bCs/>
          <w:color w:val="auto"/>
          <w:sz w:val="30"/>
          <w:szCs w:val="24"/>
          <w:lang w:val="en-US" w:eastAsia="zh-CN"/>
        </w:rPr>
        <w:t>6</w:t>
      </w:r>
      <w:r>
        <w:rPr>
          <w:rFonts w:hint="eastAsia" w:ascii="Times New Roman" w:hAnsi="Times New Roman" w:cs="Times New Roman"/>
          <w:b/>
          <w:bCs/>
          <w:sz w:val="30"/>
          <w:szCs w:val="24"/>
          <w:lang w:val="en-US" w:eastAsia="zh-CN"/>
        </w:rPr>
        <w:t xml:space="preserve">  </w:t>
      </w:r>
      <w:r>
        <w:rPr>
          <w:rFonts w:hint="default" w:ascii="Times New Roman" w:hAnsi="Times New Roman" w:eastAsia="宋体" w:cs="Times New Roman"/>
          <w:b/>
          <w:bCs/>
          <w:color w:val="auto"/>
          <w:sz w:val="30"/>
          <w:szCs w:val="24"/>
          <w:lang w:val="en-US" w:eastAsia="zh-CN"/>
        </w:rPr>
        <w:t>中山市绿色建筑设计说明专篇-暖通</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中山市绿色建筑设计说明专篇-暖通</w:t>
      </w:r>
    </w:p>
    <w:p>
      <w:pPr>
        <w:rPr>
          <w:rFonts w:hint="eastAsia"/>
          <w:b/>
          <w:bCs/>
          <w:color w:val="auto"/>
          <w:sz w:val="28"/>
          <w:szCs w:val="28"/>
          <w:lang w:val="en-US" w:eastAsia="zh-CN"/>
        </w:rPr>
      </w:pPr>
      <w:r>
        <w:rPr>
          <w:rFonts w:hint="eastAsia"/>
          <w:b/>
          <w:bCs/>
          <w:color w:val="auto"/>
          <w:sz w:val="28"/>
          <w:szCs w:val="28"/>
          <w:lang w:val="en-US" w:eastAsia="zh-CN"/>
        </w:rPr>
        <w:t>A.必须说明内容（控制项）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应采取</w:t>
      </w:r>
      <w:r>
        <w:rPr>
          <w:rFonts w:hint="eastAsia"/>
          <w:color w:val="auto"/>
          <w:sz w:val="28"/>
          <w:szCs w:val="28"/>
          <w:lang w:val="en-US" w:eastAsia="zh-CN"/>
        </w:rPr>
        <w:t>措施避免</w:t>
      </w:r>
      <w:r>
        <w:rPr>
          <w:rFonts w:hint="eastAsia"/>
          <w:color w:val="auto"/>
          <w:sz w:val="28"/>
          <w:szCs w:val="28"/>
        </w:rPr>
        <w:t>厨房、餐厅、打印复印室、卫生间、地下车库等区域的空气和污染物串通到其他空间</w:t>
      </w:r>
      <w:r>
        <w:rPr>
          <w:rFonts w:hint="eastAsia"/>
          <w:color w:val="auto"/>
          <w:sz w:val="28"/>
          <w:szCs w:val="28"/>
          <w:lang w:eastAsia="zh-CN"/>
        </w:rPr>
        <w:t>；</w:t>
      </w:r>
      <w:r>
        <w:rPr>
          <w:rFonts w:hint="eastAsia"/>
          <w:color w:val="auto"/>
          <w:sz w:val="28"/>
          <w:szCs w:val="28"/>
        </w:rPr>
        <w:t>应防止厨房</w:t>
      </w:r>
      <w:r>
        <w:rPr>
          <w:rFonts w:hint="eastAsia"/>
          <w:color w:val="auto"/>
          <w:sz w:val="28"/>
          <w:szCs w:val="28"/>
          <w:lang w:eastAsia="zh-CN"/>
        </w:rPr>
        <w:t>、</w:t>
      </w:r>
      <w:r>
        <w:rPr>
          <w:rFonts w:hint="eastAsia"/>
          <w:color w:val="auto"/>
          <w:sz w:val="28"/>
          <w:szCs w:val="28"/>
        </w:rPr>
        <w:t>卫生间的排气</w:t>
      </w:r>
      <w:r>
        <w:rPr>
          <w:rFonts w:hint="eastAsia"/>
          <w:color w:val="auto"/>
          <w:sz w:val="28"/>
          <w:szCs w:val="28"/>
          <w:lang w:val="en-US" w:eastAsia="zh-CN"/>
        </w:rPr>
        <w:t>倒灌。（</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p>
    <w:p>
      <w:pPr>
        <w:rPr>
          <w:rFonts w:hint="eastAsia"/>
          <w:color w:val="auto"/>
          <w:sz w:val="28"/>
          <w:szCs w:val="28"/>
          <w:u w:val="non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说明防止空气和污染物串通到其它空间及厨房、卫生间防排气倒灌的措施。</w:t>
      </w:r>
      <w:r>
        <w:rPr>
          <w:rFonts w:hint="eastAsia"/>
          <w:color w:val="auto"/>
          <w:sz w:val="21"/>
          <w:szCs w:val="21"/>
          <w:lang w:eastAsia="zh-CN"/>
        </w:rPr>
        <w:t>）</w:t>
      </w:r>
      <w:r>
        <w:rPr>
          <w:rFonts w:hint="eastAsia"/>
          <w:color w:val="auto"/>
          <w:sz w:val="28"/>
          <w:szCs w:val="28"/>
          <w:u w:val="single"/>
          <w:lang w:eastAsia="zh-CN"/>
        </w:rPr>
        <w:t xml:space="preserve"> </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应采取</w:t>
      </w:r>
      <w:r>
        <w:rPr>
          <w:rFonts w:hint="eastAsia"/>
          <w:color w:val="auto"/>
          <w:sz w:val="28"/>
          <w:szCs w:val="28"/>
          <w:lang w:val="en-US" w:eastAsia="zh-CN"/>
        </w:rPr>
        <w:t>措</w:t>
      </w:r>
      <w:r>
        <w:rPr>
          <w:rFonts w:hint="eastAsia"/>
          <w:color w:val="auto"/>
          <w:sz w:val="28"/>
          <w:szCs w:val="28"/>
        </w:rPr>
        <w:t>施</w:t>
      </w:r>
      <w:r>
        <w:rPr>
          <w:rFonts w:hint="eastAsia"/>
          <w:color w:val="auto"/>
          <w:sz w:val="28"/>
          <w:szCs w:val="28"/>
          <w:lang w:val="en-US" w:eastAsia="zh-CN"/>
        </w:rPr>
        <w:t>保障</w:t>
      </w:r>
      <w:r>
        <w:rPr>
          <w:rFonts w:hint="eastAsia"/>
          <w:color w:val="auto"/>
          <w:sz w:val="28"/>
          <w:szCs w:val="28"/>
        </w:rPr>
        <w:t>室内热</w:t>
      </w:r>
      <w:r>
        <w:rPr>
          <w:rFonts w:hint="eastAsia"/>
          <w:color w:val="auto"/>
          <w:sz w:val="28"/>
          <w:szCs w:val="28"/>
          <w:lang w:val="en-US" w:eastAsia="zh-CN"/>
        </w:rPr>
        <w:t>环境</w:t>
      </w:r>
      <w:r>
        <w:rPr>
          <w:rFonts w:hint="eastAsia"/>
          <w:color w:val="auto"/>
          <w:sz w:val="28"/>
          <w:szCs w:val="28"/>
        </w:rPr>
        <w:t>，采用集中供</w:t>
      </w:r>
      <w:r>
        <w:rPr>
          <w:rFonts w:hint="eastAsia"/>
          <w:color w:val="auto"/>
          <w:sz w:val="28"/>
          <w:szCs w:val="28"/>
          <w:lang w:val="en-US" w:eastAsia="zh-CN"/>
        </w:rPr>
        <w:t>暖</w:t>
      </w:r>
      <w:r>
        <w:rPr>
          <w:rFonts w:hint="eastAsia"/>
          <w:color w:val="auto"/>
          <w:sz w:val="28"/>
          <w:szCs w:val="28"/>
        </w:rPr>
        <w:t>空调系统的建筑</w:t>
      </w:r>
      <w:r>
        <w:rPr>
          <w:rFonts w:hint="eastAsia"/>
          <w:color w:val="auto"/>
          <w:sz w:val="28"/>
          <w:szCs w:val="28"/>
          <w:lang w:eastAsia="zh-CN"/>
        </w:rPr>
        <w:t>，</w:t>
      </w:r>
      <w:r>
        <w:rPr>
          <w:rFonts w:hint="eastAsia"/>
          <w:color w:val="auto"/>
          <w:sz w:val="28"/>
          <w:szCs w:val="28"/>
        </w:rPr>
        <w:t>房间内的温度、湿度、新风量等设计参数应符合现行</w:t>
      </w:r>
      <w:r>
        <w:rPr>
          <w:rFonts w:hint="eastAsia"/>
          <w:color w:val="auto"/>
          <w:sz w:val="28"/>
          <w:szCs w:val="28"/>
          <w:lang w:val="en-US" w:eastAsia="zh-CN"/>
        </w:rPr>
        <w:t>国</w:t>
      </w:r>
      <w:r>
        <w:rPr>
          <w:rFonts w:hint="eastAsia"/>
          <w:color w:val="auto"/>
          <w:sz w:val="28"/>
          <w:szCs w:val="28"/>
        </w:rPr>
        <w:t>家标准《民用建筑供</w:t>
      </w:r>
      <w:r>
        <w:rPr>
          <w:rFonts w:hint="eastAsia"/>
          <w:color w:val="auto"/>
          <w:sz w:val="28"/>
          <w:szCs w:val="28"/>
          <w:lang w:val="en-US" w:eastAsia="zh-CN"/>
        </w:rPr>
        <w:t>暖</w:t>
      </w:r>
      <w:r>
        <w:rPr>
          <w:rFonts w:hint="eastAsia"/>
          <w:color w:val="auto"/>
          <w:sz w:val="28"/>
          <w:szCs w:val="28"/>
        </w:rPr>
        <w:t>通风与空气调节设计规范》</w:t>
      </w:r>
      <w:r>
        <w:rPr>
          <w:rFonts w:hint="eastAsia"/>
          <w:color w:val="auto"/>
          <w:sz w:val="28"/>
          <w:szCs w:val="28"/>
          <w:lang w:val="en-US" w:eastAsia="zh-CN"/>
        </w:rPr>
        <w:t>G</w:t>
      </w:r>
      <w:r>
        <w:rPr>
          <w:rFonts w:hint="eastAsia"/>
          <w:color w:val="auto"/>
          <w:sz w:val="28"/>
          <w:szCs w:val="28"/>
        </w:rPr>
        <w:t>B</w:t>
      </w:r>
      <w:r>
        <w:rPr>
          <w:rFonts w:hint="eastAsia"/>
          <w:color w:val="auto"/>
          <w:sz w:val="28"/>
          <w:szCs w:val="28"/>
          <w:lang w:val="en-US" w:eastAsia="zh-CN"/>
        </w:rPr>
        <w:t xml:space="preserve"> </w:t>
      </w:r>
      <w:r>
        <w:rPr>
          <w:rFonts w:hint="eastAsia" w:eastAsia="Times New Roman"/>
          <w:color w:val="auto"/>
          <w:sz w:val="28"/>
          <w:szCs w:val="28"/>
        </w:rPr>
        <w:t>507</w:t>
      </w:r>
      <w:r>
        <w:rPr>
          <w:rFonts w:hint="eastAsia" w:eastAsia="Times New Roman"/>
          <w:color w:val="auto"/>
          <w:sz w:val="28"/>
          <w:szCs w:val="28"/>
          <w:lang w:val="en-US" w:eastAsia="zh-CN"/>
        </w:rPr>
        <w:t>36</w:t>
      </w:r>
      <w:r>
        <w:rPr>
          <w:rFonts w:hint="eastAsia"/>
          <w:color w:val="auto"/>
          <w:sz w:val="28"/>
          <w:szCs w:val="28"/>
        </w:rPr>
        <w:t>的有关规定</w:t>
      </w:r>
      <w:r>
        <w:rPr>
          <w:rFonts w:hint="eastAsia"/>
          <w:color w:val="auto"/>
          <w:sz w:val="28"/>
          <w:szCs w:val="28"/>
          <w:lang w:eastAsia="zh-CN"/>
        </w:rPr>
        <w:t>；</w:t>
      </w:r>
      <w:r>
        <w:rPr>
          <w:rFonts w:hint="eastAsia"/>
          <w:color w:val="auto"/>
          <w:sz w:val="28"/>
          <w:szCs w:val="28"/>
        </w:rPr>
        <w:t>采用非集中供</w:t>
      </w:r>
      <w:r>
        <w:rPr>
          <w:rFonts w:hint="eastAsia"/>
          <w:color w:val="auto"/>
          <w:sz w:val="28"/>
          <w:szCs w:val="28"/>
          <w:lang w:val="en-US" w:eastAsia="zh-CN"/>
        </w:rPr>
        <w:t>暖</w:t>
      </w:r>
      <w:r>
        <w:rPr>
          <w:rFonts w:hint="eastAsia"/>
          <w:color w:val="auto"/>
          <w:sz w:val="28"/>
          <w:szCs w:val="28"/>
        </w:rPr>
        <w:t>空调系统的建筑，应具有</w:t>
      </w:r>
      <w:r>
        <w:rPr>
          <w:rFonts w:hint="eastAsia"/>
          <w:color w:val="auto"/>
          <w:sz w:val="28"/>
          <w:szCs w:val="28"/>
          <w:lang w:val="en-US" w:eastAsia="zh-CN"/>
        </w:rPr>
        <w:t>保障室内</w:t>
      </w:r>
      <w:r>
        <w:rPr>
          <w:rFonts w:hint="eastAsia"/>
          <w:color w:val="auto"/>
          <w:sz w:val="28"/>
          <w:szCs w:val="28"/>
        </w:rPr>
        <w:t>热环境的</w:t>
      </w:r>
      <w:r>
        <w:rPr>
          <w:rFonts w:hint="eastAsia"/>
          <w:color w:val="auto"/>
          <w:sz w:val="28"/>
          <w:szCs w:val="28"/>
          <w:lang w:val="en-US" w:eastAsia="zh-CN"/>
        </w:rPr>
        <w:t>措施</w:t>
      </w:r>
      <w:r>
        <w:rPr>
          <w:rFonts w:hint="eastAsia"/>
          <w:color w:val="auto"/>
          <w:sz w:val="28"/>
          <w:szCs w:val="28"/>
        </w:rPr>
        <w:t>或预留条件</w:t>
      </w:r>
      <w:r>
        <w:rPr>
          <w:rFonts w:hint="eastAsia"/>
          <w:color w:val="auto"/>
          <w:sz w:val="28"/>
          <w:szCs w:val="28"/>
          <w:lang w:eastAsia="zh-CN"/>
        </w:rPr>
        <w:t>。（</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对于采用集中空调系统的建筑，须说明温度、湿度、新风量等设计参数；对于非集中空调系统的建筑，应说明保障室内热环境的措施或预留条件。</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主要功能房间应具有现场独立控制的热环境调节装置</w:t>
      </w:r>
      <w:r>
        <w:rPr>
          <w:rFonts w:hint="eastAsia"/>
          <w:color w:val="auto"/>
          <w:sz w:val="28"/>
          <w:szCs w:val="28"/>
          <w:lang w:eastAsia="zh-CN"/>
        </w:rPr>
        <w:t>。（</w:t>
      </w:r>
      <w:r>
        <w:rPr>
          <w:rFonts w:hint="eastAsia" w:eastAsia="Times New Roman"/>
          <w:color w:val="auto"/>
          <w:sz w:val="28"/>
          <w:szCs w:val="28"/>
        </w:rPr>
        <w:t>5</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8</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（对于采用集中空调系统的建筑，应说明独立热环境调节装置的设置情况。）</w:t>
      </w:r>
      <w:r>
        <w:rPr>
          <w:rFonts w:hint="eastAsia"/>
          <w:color w:val="auto"/>
          <w:sz w:val="28"/>
          <w:szCs w:val="28"/>
          <w:u w:val="single"/>
          <w:lang w:val="en-US" w:eastAsia="zh-CN"/>
        </w:rPr>
        <w:t xml:space="preserve"> </w:t>
      </w:r>
      <w:r>
        <w:rPr>
          <w:rFonts w:hint="eastAsia"/>
          <w:color w:val="auto"/>
          <w:sz w:val="21"/>
          <w:szCs w:val="21"/>
          <w:u w:val="single"/>
          <w:lang w:val="en-US" w:eastAsia="zh-CN"/>
        </w:rPr>
        <w:t xml:space="preserve">  </w:t>
      </w:r>
      <w:r>
        <w:rPr>
          <w:rFonts w:hint="eastAsia"/>
          <w:color w:val="auto"/>
          <w:sz w:val="28"/>
          <w:szCs w:val="28"/>
          <w:u w:val="single"/>
          <w:lang w:val="en-US" w:eastAsia="zh-CN"/>
        </w:rPr>
        <w:t xml:space="preserve">                  </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地下车库应</w:t>
      </w:r>
      <w:r>
        <w:rPr>
          <w:rFonts w:hint="eastAsia"/>
          <w:color w:val="auto"/>
          <w:sz w:val="28"/>
          <w:szCs w:val="28"/>
          <w:lang w:val="en-US" w:eastAsia="zh-CN"/>
        </w:rPr>
        <w:t>设置</w:t>
      </w:r>
      <w:r>
        <w:rPr>
          <w:rFonts w:hint="eastAsia"/>
          <w:color w:val="auto"/>
          <w:sz w:val="28"/>
          <w:szCs w:val="28"/>
        </w:rPr>
        <w:t>与排风设备联动的</w:t>
      </w:r>
      <w:r>
        <w:rPr>
          <w:rFonts w:hint="eastAsia"/>
          <w:color w:val="auto"/>
          <w:sz w:val="28"/>
          <w:szCs w:val="28"/>
          <w:lang w:val="en-US" w:eastAsia="zh-CN"/>
        </w:rPr>
        <w:t>一氧化碳</w:t>
      </w:r>
      <w:r>
        <w:rPr>
          <w:rFonts w:hint="eastAsia"/>
          <w:color w:val="auto"/>
          <w:sz w:val="28"/>
          <w:szCs w:val="28"/>
        </w:rPr>
        <w:t>浓度监测装置</w:t>
      </w:r>
      <w:r>
        <w:rPr>
          <w:rFonts w:hint="eastAsia"/>
          <w:color w:val="auto"/>
          <w:sz w:val="28"/>
          <w:szCs w:val="28"/>
          <w:lang w:eastAsia="zh-CN"/>
        </w:rPr>
        <w:t>。（</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9</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1"/>
          <w:szCs w:val="21"/>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（说明</w:t>
      </w:r>
      <w:r>
        <w:rPr>
          <w:rFonts w:hint="eastAsia"/>
          <w:color w:val="auto"/>
          <w:sz w:val="21"/>
          <w:szCs w:val="21"/>
        </w:rPr>
        <w:t>本项目地下</w:t>
      </w:r>
      <w:r>
        <w:rPr>
          <w:rFonts w:hint="eastAsia"/>
          <w:color w:val="auto"/>
          <w:sz w:val="21"/>
          <w:szCs w:val="21"/>
          <w:lang w:eastAsia="zh-CN"/>
        </w:rPr>
        <w:t>车库</w:t>
      </w:r>
      <w:r>
        <w:rPr>
          <w:rFonts w:hint="eastAsia"/>
          <w:color w:val="auto"/>
          <w:sz w:val="21"/>
          <w:szCs w:val="21"/>
        </w:rPr>
        <w:t>采用一氧化碳</w:t>
      </w:r>
      <w:r>
        <w:rPr>
          <w:rFonts w:hint="eastAsia"/>
          <w:color w:val="auto"/>
          <w:sz w:val="21"/>
          <w:szCs w:val="21"/>
          <w:lang w:val="en-US" w:eastAsia="zh-CN"/>
        </w:rPr>
        <w:t>监</w:t>
      </w:r>
      <w:r>
        <w:rPr>
          <w:rFonts w:hint="eastAsia"/>
          <w:color w:val="auto"/>
          <w:sz w:val="21"/>
          <w:szCs w:val="21"/>
        </w:rPr>
        <w:t>控系统</w:t>
      </w:r>
      <w:r>
        <w:rPr>
          <w:rFonts w:hint="eastAsia"/>
          <w:color w:val="auto"/>
          <w:sz w:val="21"/>
          <w:szCs w:val="21"/>
          <w:lang w:val="en-US" w:eastAsia="zh-CN"/>
        </w:rPr>
        <w:t>的功能以及控制策略。）</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应采取</w:t>
      </w:r>
      <w:r>
        <w:rPr>
          <w:rFonts w:hint="eastAsia"/>
          <w:color w:val="auto"/>
          <w:sz w:val="28"/>
          <w:szCs w:val="28"/>
          <w:lang w:val="en-US" w:eastAsia="zh-CN"/>
        </w:rPr>
        <w:t>措</w:t>
      </w:r>
      <w:r>
        <w:rPr>
          <w:rFonts w:hint="eastAsia"/>
          <w:color w:val="auto"/>
          <w:sz w:val="28"/>
          <w:szCs w:val="28"/>
        </w:rPr>
        <w:t>施降低部分负荷、部分空间使用下的供暖、</w:t>
      </w:r>
      <w:r>
        <w:rPr>
          <w:rFonts w:hint="eastAsia"/>
          <w:i w:val="0"/>
          <w:iCs w:val="0"/>
          <w:color w:val="auto"/>
          <w:sz w:val="28"/>
          <w:szCs w:val="28"/>
        </w:rPr>
        <w:t>空调系统能耗</w:t>
      </w:r>
      <w:r>
        <w:rPr>
          <w:rFonts w:hint="eastAsia"/>
          <w:i w:val="0"/>
          <w:iCs w:val="0"/>
          <w:color w:val="auto"/>
          <w:sz w:val="28"/>
          <w:szCs w:val="28"/>
          <w:lang w:val="en-US" w:eastAsia="zh-CN"/>
        </w:rPr>
        <w:t>并应符合下列规定：</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 应区分房间的朝向细分供暖、空调区域，并应对系统进行分区控制；</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 空调冷源的部分负荷性能系数(IPLV)、电冷源综合制冷性能系数(SCOP)应符合现行国家标准《公共建筑节能设计标准》GB </w:t>
      </w:r>
      <w:r>
        <w:rPr>
          <w:rFonts w:hint="eastAsia" w:eastAsia="Times New Roman"/>
          <w:i w:val="0"/>
          <w:iCs w:val="0"/>
          <w:color w:val="auto"/>
          <w:sz w:val="28"/>
          <w:szCs w:val="28"/>
          <w:lang w:val="en-US" w:eastAsia="zh-CN"/>
        </w:rPr>
        <w:t>50189</w:t>
      </w:r>
      <w:r>
        <w:rPr>
          <w:rFonts w:hint="eastAsia"/>
          <w:i w:val="0"/>
          <w:iCs w:val="0"/>
          <w:color w:val="auto"/>
          <w:sz w:val="28"/>
          <w:szCs w:val="28"/>
          <w:lang w:val="en-US" w:eastAsia="zh-CN"/>
        </w:rPr>
        <w:t>的规定。</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2</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说明部分负荷、部分空间使用下的运行策略。</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w:t>
      </w:r>
      <w:r>
        <w:rPr>
          <w:rFonts w:hint="eastAsia"/>
          <w:color w:val="auto"/>
          <w:sz w:val="28"/>
          <w:szCs w:val="28"/>
          <w:lang w:val="en-US" w:eastAsia="zh-CN"/>
        </w:rPr>
        <w:t>材</w:t>
      </w:r>
      <w:r>
        <w:rPr>
          <w:rFonts w:hint="eastAsia"/>
          <w:color w:val="auto"/>
          <w:sz w:val="28"/>
          <w:szCs w:val="28"/>
        </w:rPr>
        <w:t>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应根据建筑</w:t>
      </w:r>
      <w:r>
        <w:rPr>
          <w:rFonts w:hint="eastAsia"/>
          <w:color w:val="auto"/>
          <w:sz w:val="28"/>
          <w:szCs w:val="28"/>
          <w:lang w:val="en-US" w:eastAsia="zh-CN"/>
        </w:rPr>
        <w:t>空间</w:t>
      </w:r>
      <w:r>
        <w:rPr>
          <w:rFonts w:hint="eastAsia"/>
          <w:color w:val="auto"/>
          <w:sz w:val="28"/>
          <w:szCs w:val="28"/>
        </w:rPr>
        <w:t>功能设置分区温度，合理降低室内过渡区空间的温度设定标准</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rPr>
        <w:t>3</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说明根据空间功能的不同，分区温度的设置情况。</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lang w:eastAsia="zh-CN"/>
        </w:rPr>
        <w:t>具有良好的室内热湿环境。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9</w:t>
      </w:r>
      <w:r>
        <w:rPr>
          <w:rFonts w:hint="eastAsia" w:ascii="Times New Roman" w:hAnsi="Times New Roman" w:cs="Times New Roman"/>
          <w:i/>
          <w:iCs/>
          <w:color w:val="FF0000"/>
          <w:sz w:val="24"/>
          <w:szCs w:val="24"/>
          <w:lang w:val="en-US" w:eastAsia="zh-CN"/>
        </w:rPr>
        <w:t xml:space="preserve">  </w:t>
      </w:r>
      <w:r>
        <w:rPr>
          <w:rFonts w:hint="eastAsia" w:ascii="宋体" w:hAnsi="宋体" w:cs="宋体"/>
          <w:i/>
          <w:iCs/>
          <w:color w:val="FF0000"/>
          <w:sz w:val="24"/>
          <w:szCs w:val="24"/>
          <w:lang w:eastAsia="zh-CN"/>
        </w:rPr>
        <w:t>具有</w:t>
      </w:r>
      <w:r>
        <w:rPr>
          <w:rFonts w:hint="eastAsia" w:ascii="宋体" w:hAnsi="宋体" w:eastAsia="宋体" w:cs="宋体"/>
          <w:i/>
          <w:iCs/>
          <w:color w:val="FF0000"/>
          <w:sz w:val="24"/>
          <w:szCs w:val="24"/>
          <w:lang w:eastAsia="zh-CN"/>
        </w:rPr>
        <w:t>良好的室内热湿环境，评价总分值为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采用自然通风或复合通风的建筑，建筑主要功能房间室内热环境参数在适应性热舒适区域的时间比例，达到</w:t>
      </w:r>
      <w:r>
        <w:rPr>
          <w:rFonts w:hint="eastAsia" w:ascii="宋体" w:hAnsi="宋体" w:eastAsia="Times New Roman" w:cs="宋体"/>
          <w:i/>
          <w:iCs/>
          <w:color w:val="FF0000"/>
          <w:sz w:val="24"/>
          <w:szCs w:val="24"/>
          <w:lang w:eastAsia="zh-CN"/>
        </w:rPr>
        <w:t>30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分；每再增加</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，再得</w:t>
      </w:r>
      <w:r>
        <w:rPr>
          <w:rFonts w:hint="eastAsia" w:ascii="宋体" w:hAnsi="宋体" w:eastAsia="Times New Roman" w:cs="宋体"/>
          <w:i/>
          <w:iCs/>
          <w:color w:val="FF0000"/>
          <w:sz w:val="24"/>
          <w:szCs w:val="24"/>
          <w:lang w:eastAsia="zh-CN"/>
        </w:rPr>
        <w:t>1</w:t>
      </w:r>
      <w:r>
        <w:rPr>
          <w:rFonts w:hint="eastAsia" w:ascii="宋体" w:hAnsi="宋体" w:eastAsia="宋体" w:cs="宋体"/>
          <w:i/>
          <w:iCs/>
          <w:color w:val="FF0000"/>
          <w:sz w:val="24"/>
          <w:szCs w:val="24"/>
          <w:lang w:eastAsia="zh-CN"/>
        </w:rPr>
        <w:t>分，最高得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采用人工冷热源的建筑，主要功能房间达到现行国家标准《民用建筑室内热湿环境评价标准》GB/T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50785</w:t>
      </w:r>
      <w:r>
        <w:rPr>
          <w:rFonts w:hint="eastAsia" w:ascii="宋体" w:hAnsi="宋体" w:eastAsia="宋体" w:cs="宋体"/>
          <w:i/>
          <w:iCs/>
          <w:color w:val="FF0000"/>
          <w:sz w:val="24"/>
          <w:szCs w:val="24"/>
          <w:lang w:eastAsia="zh-CN"/>
        </w:rPr>
        <w:t>规定的室内人工冷热源热湿环境整体评价</w:t>
      </w:r>
      <w:r>
        <w:rPr>
          <w:rFonts w:hint="eastAsia" w:ascii="宋体" w:hAnsi="宋体" w:eastAsia="宋体" w:cs="宋体"/>
          <w:i/>
          <w:iCs/>
          <w:color w:val="FF0000"/>
          <w:sz w:val="24"/>
          <w:szCs w:val="24"/>
          <w:lang w:val="en-US" w:eastAsia="zh-CN"/>
        </w:rPr>
        <w:t>Ⅱ</w:t>
      </w:r>
      <w:r>
        <w:rPr>
          <w:rFonts w:hint="eastAsia" w:ascii="宋体" w:hAnsi="宋体" w:eastAsia="宋体" w:cs="宋体"/>
          <w:i/>
          <w:iCs/>
          <w:color w:val="FF0000"/>
          <w:sz w:val="24"/>
          <w:szCs w:val="24"/>
          <w:lang w:eastAsia="zh-CN"/>
        </w:rPr>
        <w:t>级的面积比例，达到</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分；每再增加</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%，再得</w:t>
      </w:r>
      <w:r>
        <w:rPr>
          <w:rFonts w:hint="eastAsia" w:ascii="宋体" w:hAnsi="宋体" w:eastAsia="Times New Roman" w:cs="宋体"/>
          <w:i/>
          <w:iCs/>
          <w:color w:val="FF0000"/>
          <w:sz w:val="24"/>
          <w:szCs w:val="24"/>
          <w:lang w:eastAsia="zh-CN"/>
        </w:rPr>
        <w:t>1</w:t>
      </w:r>
      <w:r>
        <w:rPr>
          <w:rFonts w:hint="eastAsia" w:ascii="宋体" w:hAnsi="宋体" w:eastAsia="宋体" w:cs="宋体"/>
          <w:i/>
          <w:iCs/>
          <w:color w:val="FF0000"/>
          <w:sz w:val="24"/>
          <w:szCs w:val="24"/>
          <w:lang w:eastAsia="zh-CN"/>
        </w:rPr>
        <w:t>分，最高得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对室内热湿环境及舒适性保持时间进行说明</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2</w:t>
      </w:r>
      <w:r>
        <w:rPr>
          <w:rFonts w:hint="eastAsia" w:ascii="宋体" w:hAnsi="宋体" w:cs="宋体"/>
          <w:color w:val="auto"/>
          <w:sz w:val="28"/>
          <w:szCs w:val="28"/>
          <w:lang w:val="en-US" w:eastAsia="zh-CN"/>
        </w:rPr>
        <w:t>、</w:t>
      </w:r>
      <w:r>
        <w:rPr>
          <w:rFonts w:hint="eastAsia"/>
          <w:color w:val="auto"/>
          <w:sz w:val="28"/>
          <w:szCs w:val="28"/>
        </w:rPr>
        <w:t>供暖空调系统的冷、热源机组能效均优于现行国家标准《公共建筑节能设计标准》GB</w:t>
      </w:r>
      <w:r>
        <w:rPr>
          <w:rFonts w:hint="eastAsia" w:eastAsia="Times New Roman"/>
          <w:color w:val="auto"/>
          <w:sz w:val="28"/>
          <w:szCs w:val="28"/>
        </w:rPr>
        <w:t>50189</w:t>
      </w:r>
      <w:r>
        <w:rPr>
          <w:rFonts w:hint="eastAsia"/>
          <w:color w:val="auto"/>
          <w:sz w:val="28"/>
          <w:szCs w:val="28"/>
        </w:rPr>
        <w:t>的规定以及现行有关国家标准能效限定值的要求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shd w:val="clear" w:color="auto" w:fill="auto"/>
          <w:lang w:val="en-US" w:eastAsia="zh-CN"/>
        </w:rPr>
        <w:t>对应条文：</w:t>
      </w:r>
      <w:r>
        <w:rPr>
          <w:rFonts w:hint="default" w:ascii="Times New Roman" w:hAnsi="Times New Roman" w:eastAsia="Times New Roman" w:cs="Times New Roman"/>
          <w:i/>
          <w:iCs/>
          <w:color w:val="FF0000"/>
          <w:sz w:val="24"/>
          <w:szCs w:val="24"/>
          <w:shd w:val="clear" w:color="auto" w:fill="auto"/>
        </w:rPr>
        <w:t>7</w:t>
      </w:r>
      <w:r>
        <w:rPr>
          <w:rFonts w:hint="default" w:ascii="Times New Roman" w:hAnsi="Times New Roman" w:eastAsia="宋体" w:cs="Times New Roman"/>
          <w:i/>
          <w:iCs/>
          <w:color w:val="FF0000"/>
          <w:sz w:val="24"/>
          <w:szCs w:val="24"/>
          <w:shd w:val="clear" w:color="auto" w:fill="auto"/>
        </w:rPr>
        <w:t>.</w:t>
      </w:r>
      <w:r>
        <w:rPr>
          <w:rFonts w:hint="default" w:ascii="Times New Roman" w:hAnsi="Times New Roman" w:eastAsia="Times New Roman" w:cs="Times New Roman"/>
          <w:i/>
          <w:iCs/>
          <w:color w:val="FF0000"/>
          <w:sz w:val="24"/>
          <w:szCs w:val="24"/>
          <w:shd w:val="clear" w:color="auto" w:fill="auto"/>
        </w:rPr>
        <w:t>2</w:t>
      </w:r>
      <w:r>
        <w:rPr>
          <w:rFonts w:hint="default" w:ascii="Times New Roman" w:hAnsi="Times New Roman" w:eastAsia="宋体" w:cs="Times New Roman"/>
          <w:i/>
          <w:iCs/>
          <w:color w:val="FF0000"/>
          <w:sz w:val="24"/>
          <w:szCs w:val="24"/>
          <w:shd w:val="clear" w:color="auto" w:fill="auto"/>
        </w:rPr>
        <w:t>.</w:t>
      </w:r>
      <w:r>
        <w:rPr>
          <w:rFonts w:hint="default" w:ascii="Times New Roman" w:hAnsi="Times New Roman" w:eastAsia="Times New Roman" w:cs="Times New Roman"/>
          <w:i/>
          <w:iCs/>
          <w:color w:val="FF0000"/>
          <w:sz w:val="24"/>
          <w:szCs w:val="24"/>
          <w:shd w:val="clear" w:color="auto" w:fill="auto"/>
        </w:rPr>
        <w:t>5</w:t>
      </w:r>
      <w:r>
        <w:rPr>
          <w:rFonts w:hint="eastAsia" w:ascii="Times New Roman" w:hAnsi="Times New Roman" w:cs="Times New Roman"/>
          <w:i/>
          <w:iCs/>
          <w:color w:val="FF0000"/>
          <w:sz w:val="24"/>
          <w:szCs w:val="24"/>
          <w:shd w:val="clear" w:color="auto" w:fill="auto"/>
          <w:lang w:val="en-US" w:eastAsia="zh-CN"/>
        </w:rPr>
        <w:t xml:space="preserve">  </w:t>
      </w:r>
      <w:r>
        <w:rPr>
          <w:rFonts w:hint="eastAsia" w:ascii="宋体" w:hAnsi="宋体" w:eastAsia="宋体" w:cs="宋体"/>
          <w:i/>
          <w:iCs/>
          <w:color w:val="FF0000"/>
          <w:sz w:val="24"/>
          <w:szCs w:val="24"/>
          <w:lang w:eastAsia="zh-CN"/>
        </w:rPr>
        <w:t>供暖空调系统的冷、热源机组能效均优于现行国家标准《公共建筑节能设计标准》GB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50189</w:t>
      </w:r>
      <w:r>
        <w:rPr>
          <w:rFonts w:hint="eastAsia" w:ascii="宋体" w:hAnsi="宋体" w:eastAsia="宋体" w:cs="宋体"/>
          <w:i/>
          <w:iCs/>
          <w:color w:val="FF0000"/>
          <w:sz w:val="24"/>
          <w:szCs w:val="24"/>
          <w:lang w:eastAsia="zh-CN"/>
        </w:rPr>
        <w:t>的规定以及现行有关国家标准能效限定值的要求，评价总分值为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eastAsia="zh-CN"/>
        </w:rPr>
        <w:t>的规则评分。</w:t>
      </w:r>
    </w:p>
    <w:p>
      <w:pPr>
        <w:jc w:val="center"/>
        <w:rPr>
          <w:rFonts w:hint="eastAsia"/>
          <w:b/>
          <w:bCs/>
          <w:i/>
          <w:iCs/>
          <w:color w:val="FF0000"/>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5</w:t>
      </w:r>
      <w:r>
        <w:rPr>
          <w:rFonts w:hint="eastAsia"/>
          <w:b/>
          <w:bCs/>
          <w:i/>
          <w:iCs/>
          <w:color w:val="FF0000"/>
        </w:rPr>
        <w:t>冷、热源机组能效提升幅度评分规则</w:t>
      </w:r>
    </w:p>
    <w:tbl>
      <w:tblPr>
        <w:tblStyle w:val="21"/>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108" w:type="dxa"/>
          <w:bottom w:w="0" w:type="dxa"/>
          <w:right w:w="108" w:type="dxa"/>
        </w:tblCellMar>
      </w:tblPr>
      <w:tblGrid>
        <w:gridCol w:w="396"/>
        <w:gridCol w:w="1334"/>
        <w:gridCol w:w="1312"/>
        <w:gridCol w:w="1350"/>
        <w:gridCol w:w="1138"/>
        <w:gridCol w:w="1093"/>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机组类型</w:t>
            </w:r>
          </w:p>
        </w:tc>
        <w:tc>
          <w:tcPr>
            <w:tcW w:w="1312"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能效指标</w:t>
            </w:r>
          </w:p>
        </w:tc>
        <w:tc>
          <w:tcPr>
            <w:tcW w:w="1350"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参照标准</w:t>
            </w:r>
          </w:p>
        </w:tc>
        <w:tc>
          <w:tcPr>
            <w:tcW w:w="2231" w:type="dxa"/>
            <w:gridSpan w:val="2"/>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评分要求</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电机驱动的蒸气压缩循环冷水（热泵）机组</w:t>
            </w:r>
          </w:p>
        </w:tc>
        <w:tc>
          <w:tcPr>
            <w:tcW w:w="1312"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制冷性能系数</w:t>
            </w:r>
          </w:p>
          <w:p>
            <w:pPr>
              <w:jc w:val="center"/>
              <w:rPr>
                <w:rFonts w:hint="eastAsia"/>
                <w:b/>
                <w:bCs/>
                <w:i/>
                <w:iCs/>
                <w:color w:val="FF0000"/>
                <w:vertAlign w:val="baseline"/>
              </w:rPr>
            </w:pPr>
            <w:r>
              <w:rPr>
                <w:rFonts w:hint="eastAsia" w:ascii="宋体" w:hAnsi="宋体" w:eastAsia="宋体" w:cs="宋体"/>
                <w:i/>
                <w:iCs/>
                <w:color w:val="FF0000"/>
                <w:sz w:val="18"/>
                <w:szCs w:val="18"/>
              </w:rPr>
              <w:t>（</w:t>
            </w:r>
            <w:r>
              <w:rPr>
                <w:rFonts w:hint="eastAsia" w:cs="宋体"/>
                <w:i/>
                <w:iCs/>
                <w:color w:val="FF0000"/>
                <w:sz w:val="18"/>
                <w:szCs w:val="18"/>
                <w:lang w:val="en-US" w:eastAsia="zh-CN"/>
              </w:rPr>
              <w:t>COP</w:t>
            </w:r>
            <w:r>
              <w:rPr>
                <w:rFonts w:hint="eastAsia" w:ascii="宋体" w:hAnsi="宋体" w:eastAsia="宋体" w:cs="宋体"/>
                <w:i/>
                <w:iCs/>
                <w:color w:val="FF0000"/>
                <w:sz w:val="18"/>
                <w:szCs w:val="18"/>
              </w:rPr>
              <w:t>）</w:t>
            </w:r>
          </w:p>
        </w:tc>
        <w:tc>
          <w:tcPr>
            <w:tcW w:w="1350" w:type="dxa"/>
            <w:vMerge w:val="restart"/>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现行国家标</w:t>
            </w:r>
          </w:p>
          <w:p>
            <w:pPr>
              <w:ind w:left="0" w:leftChars="0" w:right="0" w:rightChars="0"/>
              <w:jc w:val="center"/>
              <w:rPr>
                <w:rFonts w:hint="default" w:ascii="宋体" w:hAnsi="宋体" w:eastAsia="宋体" w:cs="宋体"/>
                <w:i/>
                <w:iCs/>
                <w:color w:val="FF0000"/>
                <w:sz w:val="18"/>
                <w:szCs w:val="18"/>
                <w:lang w:val="en-US" w:eastAsia="zh-CN" w:bidi="zh-CN"/>
              </w:rPr>
            </w:pPr>
            <w:r>
              <w:rPr>
                <w:rFonts w:hint="eastAsia" w:ascii="宋体" w:hAnsi="宋体" w:eastAsia="宋体" w:cs="宋体"/>
                <w:i/>
                <w:iCs/>
                <w:color w:val="FF0000"/>
                <w:sz w:val="18"/>
                <w:szCs w:val="18"/>
              </w:rPr>
              <w:t>准</w:t>
            </w:r>
            <w:r>
              <w:rPr>
                <w:rFonts w:hint="eastAsia" w:cs="宋体"/>
                <w:i/>
                <w:iCs/>
                <w:color w:val="FF0000"/>
                <w:sz w:val="18"/>
                <w:szCs w:val="18"/>
                <w:lang w:eastAsia="zh-CN"/>
              </w:rPr>
              <w:t>《</w:t>
            </w:r>
            <w:r>
              <w:rPr>
                <w:rFonts w:hint="eastAsia" w:ascii="宋体" w:hAnsi="宋体" w:eastAsia="宋体" w:cs="宋体"/>
                <w:i/>
                <w:iCs/>
                <w:color w:val="FF0000"/>
                <w:sz w:val="18"/>
                <w:szCs w:val="18"/>
              </w:rPr>
              <w:t>公共建筑节能设计标准</w:t>
            </w:r>
            <w:r>
              <w:rPr>
                <w:rFonts w:hint="eastAsia" w:cs="宋体"/>
                <w:i/>
                <w:iCs/>
                <w:color w:val="FF0000"/>
                <w:sz w:val="18"/>
                <w:szCs w:val="18"/>
                <w:lang w:eastAsia="zh-CN"/>
              </w:rPr>
              <w:t>》</w:t>
            </w:r>
            <w:r>
              <w:rPr>
                <w:rFonts w:hint="eastAsia" w:cs="宋体"/>
                <w:i/>
                <w:iCs/>
                <w:color w:val="FF0000"/>
                <w:sz w:val="18"/>
                <w:szCs w:val="18"/>
                <w:lang w:val="en-US" w:eastAsia="zh-CN"/>
              </w:rPr>
              <w:t xml:space="preserve">GB </w:t>
            </w:r>
            <w:r>
              <w:rPr>
                <w:rFonts w:hint="eastAsia" w:eastAsia="Times New Roman" w:cs="宋体"/>
                <w:i/>
                <w:iCs/>
                <w:color w:val="FF0000"/>
                <w:sz w:val="18"/>
                <w:szCs w:val="18"/>
                <w:lang w:val="en-US" w:eastAsia="zh-CN"/>
              </w:rPr>
              <w:t>50189</w:t>
            </w:r>
          </w:p>
        </w:tc>
        <w:tc>
          <w:tcPr>
            <w:tcW w:w="113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6</w:t>
            </w:r>
            <w:r>
              <w:rPr>
                <w:rFonts w:hint="eastAsia" w:ascii="宋体" w:hAnsi="宋体" w:eastAsia="宋体" w:cs="宋体"/>
                <w:i/>
                <w:iCs/>
                <w:color w:val="FF0000"/>
                <w:sz w:val="18"/>
                <w:szCs w:val="18"/>
              </w:rPr>
              <w:t>%</w:t>
            </w:r>
          </w:p>
        </w:tc>
        <w:tc>
          <w:tcPr>
            <w:tcW w:w="1093"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12</w:t>
            </w:r>
            <w:r>
              <w:rPr>
                <w:rFonts w:hint="eastAsia" w:ascii="宋体" w:hAnsi="宋体" w:eastAsia="宋体" w:cs="宋体"/>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直燃型</w:t>
            </w:r>
            <w:r>
              <w:rPr>
                <w:rFonts w:hint="eastAsia" w:cs="宋体"/>
                <w:i/>
                <w:iCs/>
                <w:color w:val="FF0000"/>
                <w:sz w:val="18"/>
                <w:szCs w:val="18"/>
                <w:lang w:val="en-US" w:eastAsia="zh-CN"/>
              </w:rPr>
              <w:t>溴化</w:t>
            </w:r>
            <w:r>
              <w:rPr>
                <w:rFonts w:hint="eastAsia" w:ascii="宋体" w:hAnsi="宋体" w:eastAsia="宋体" w:cs="宋体"/>
                <w:i/>
                <w:iCs/>
                <w:color w:val="FF0000"/>
                <w:sz w:val="18"/>
                <w:szCs w:val="18"/>
              </w:rPr>
              <w:t>锂吸收式冷（温</w:t>
            </w:r>
            <w:r>
              <w:rPr>
                <w:rFonts w:hint="eastAsia" w:cs="宋体"/>
                <w:i/>
                <w:iCs/>
                <w:color w:val="FF0000"/>
                <w:sz w:val="18"/>
                <w:szCs w:val="18"/>
                <w:lang w:eastAsia="zh-CN"/>
              </w:rPr>
              <w:t>）</w:t>
            </w:r>
            <w:r>
              <w:rPr>
                <w:rFonts w:hint="eastAsia" w:ascii="宋体" w:hAnsi="宋体" w:eastAsia="宋体" w:cs="宋体"/>
                <w:i/>
                <w:iCs/>
                <w:color w:val="FF0000"/>
                <w:sz w:val="18"/>
                <w:szCs w:val="18"/>
              </w:rPr>
              <w:t>水机组</w:t>
            </w:r>
          </w:p>
        </w:tc>
        <w:tc>
          <w:tcPr>
            <w:tcW w:w="1312"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cs="宋体"/>
                <w:i/>
                <w:iCs/>
                <w:color w:val="FF0000"/>
                <w:sz w:val="18"/>
                <w:szCs w:val="18"/>
                <w:lang w:val="en-US" w:eastAsia="zh-CN"/>
              </w:rPr>
              <w:t>制</w:t>
            </w:r>
            <w:r>
              <w:rPr>
                <w:rFonts w:hint="eastAsia" w:ascii="宋体" w:hAnsi="宋体" w:eastAsia="宋体" w:cs="宋体"/>
                <w:i/>
                <w:iCs/>
                <w:color w:val="FF0000"/>
                <w:sz w:val="18"/>
                <w:szCs w:val="18"/>
              </w:rPr>
              <w:t>冷，供热性能系数</w:t>
            </w:r>
          </w:p>
          <w:p>
            <w:pPr>
              <w:jc w:val="center"/>
              <w:rPr>
                <w:rFonts w:hint="eastAsia"/>
                <w:b/>
                <w:bCs/>
                <w:i/>
                <w:iCs/>
                <w:color w:val="FF0000"/>
                <w:vertAlign w:val="baseline"/>
              </w:rPr>
            </w:pPr>
            <w:r>
              <w:rPr>
                <w:rFonts w:hint="eastAsia" w:ascii="宋体" w:hAnsi="宋体" w:eastAsia="宋体" w:cs="宋体"/>
                <w:i/>
                <w:iCs/>
                <w:color w:val="FF0000"/>
                <w:sz w:val="18"/>
                <w:szCs w:val="18"/>
              </w:rPr>
              <w:t>（</w:t>
            </w:r>
            <w:r>
              <w:rPr>
                <w:rFonts w:hint="eastAsia" w:cs="宋体"/>
                <w:i/>
                <w:iCs/>
                <w:color w:val="FF0000"/>
                <w:sz w:val="18"/>
                <w:szCs w:val="18"/>
                <w:lang w:val="en-US" w:eastAsia="zh-CN"/>
              </w:rPr>
              <w:t>COP）</w:t>
            </w:r>
          </w:p>
        </w:tc>
        <w:tc>
          <w:tcPr>
            <w:tcW w:w="1350" w:type="dxa"/>
            <w:vMerge w:val="continue"/>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6</w:t>
            </w:r>
            <w:r>
              <w:rPr>
                <w:rFonts w:hint="eastAsia" w:ascii="宋体" w:hAnsi="宋体" w:eastAsia="宋体" w:cs="宋体"/>
                <w:i/>
                <w:iCs/>
                <w:color w:val="FF0000"/>
                <w:sz w:val="18"/>
                <w:szCs w:val="18"/>
              </w:rPr>
              <w:t>%</w:t>
            </w:r>
          </w:p>
        </w:tc>
        <w:tc>
          <w:tcPr>
            <w:tcW w:w="1093"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12</w:t>
            </w:r>
            <w:r>
              <w:rPr>
                <w:rFonts w:hint="eastAsia" w:ascii="宋体" w:hAnsi="宋体" w:eastAsia="宋体" w:cs="宋体"/>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单元式空气调节机，风管送风式和屋顶式空调机组</w:t>
            </w:r>
          </w:p>
        </w:tc>
        <w:tc>
          <w:tcPr>
            <w:tcW w:w="1312" w:type="dxa"/>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能效比(EER)</w:t>
            </w:r>
          </w:p>
        </w:tc>
        <w:tc>
          <w:tcPr>
            <w:tcW w:w="1350" w:type="dxa"/>
            <w:vMerge w:val="continue"/>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6</w:t>
            </w:r>
            <w:r>
              <w:rPr>
                <w:rFonts w:hint="eastAsia" w:ascii="宋体" w:hAnsi="宋体" w:eastAsia="宋体" w:cs="宋体"/>
                <w:i/>
                <w:iCs/>
                <w:color w:val="FF0000"/>
                <w:sz w:val="18"/>
                <w:szCs w:val="18"/>
              </w:rPr>
              <w:t>%</w:t>
            </w:r>
          </w:p>
        </w:tc>
        <w:tc>
          <w:tcPr>
            <w:tcW w:w="1093"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12</w:t>
            </w:r>
            <w:r>
              <w:rPr>
                <w:rFonts w:hint="eastAsia" w:ascii="宋体" w:hAnsi="宋体" w:eastAsia="宋体" w:cs="宋体"/>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多联式空调</w:t>
            </w:r>
          </w:p>
          <w:p>
            <w:pPr>
              <w:ind w:left="0" w:leftChars="0" w:right="0" w:rightChars="0"/>
              <w:jc w:val="center"/>
              <w:rPr>
                <w:rFonts w:hint="eastAsia" w:ascii="宋体" w:hAnsi="宋体" w:eastAsia="宋体" w:cs="宋体"/>
                <w:i/>
                <w:iCs/>
                <w:color w:val="FF0000"/>
                <w:sz w:val="18"/>
                <w:szCs w:val="18"/>
              </w:rPr>
            </w:pPr>
            <w:r>
              <w:rPr>
                <w:rFonts w:hint="eastAsia"/>
                <w:i/>
                <w:iCs/>
                <w:color w:val="FF0000"/>
                <w:sz w:val="18"/>
                <w:szCs w:val="18"/>
              </w:rPr>
              <w:t>（热泵）机组</w:t>
            </w:r>
          </w:p>
        </w:tc>
        <w:tc>
          <w:tcPr>
            <w:tcW w:w="1312"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i/>
                <w:iCs/>
                <w:color w:val="FF0000"/>
                <w:sz w:val="18"/>
                <w:szCs w:val="18"/>
              </w:rPr>
              <w:t>制冷综合性能系数</w:t>
            </w:r>
            <w:r>
              <w:rPr>
                <w:rFonts w:hint="eastAsia"/>
                <w:i/>
                <w:iCs/>
                <w:color w:val="FF0000"/>
                <w:sz w:val="18"/>
                <w:szCs w:val="18"/>
                <w:lang w:val="en-US" w:eastAsia="zh-CN"/>
              </w:rPr>
              <w:t>[IPLV(C)]</w:t>
            </w:r>
          </w:p>
        </w:tc>
        <w:tc>
          <w:tcPr>
            <w:tcW w:w="1350" w:type="dxa"/>
            <w:vMerge w:val="restart"/>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现行国家标准</w:t>
            </w:r>
            <w:r>
              <w:rPr>
                <w:rFonts w:hint="eastAsia"/>
                <w:i/>
                <w:iCs/>
                <w:color w:val="FF0000"/>
                <w:sz w:val="18"/>
                <w:szCs w:val="18"/>
                <w:lang w:eastAsia="zh-CN"/>
              </w:rPr>
              <w:t>《</w:t>
            </w:r>
            <w:r>
              <w:rPr>
                <w:rFonts w:hint="eastAsia"/>
                <w:i/>
                <w:iCs/>
                <w:color w:val="FF0000"/>
                <w:sz w:val="18"/>
                <w:szCs w:val="18"/>
              </w:rPr>
              <w:t>公共建筑</w:t>
            </w:r>
            <w:r>
              <w:rPr>
                <w:rFonts w:hint="eastAsia"/>
                <w:i/>
                <w:iCs/>
                <w:color w:val="FF0000"/>
                <w:sz w:val="18"/>
                <w:szCs w:val="18"/>
                <w:lang w:val="en-US" w:eastAsia="zh-CN"/>
              </w:rPr>
              <w:t>节能设计标准》GB5</w:t>
            </w:r>
            <w:r>
              <w:rPr>
                <w:rFonts w:hint="eastAsia" w:eastAsia="Times New Roman"/>
                <w:i/>
                <w:iCs/>
                <w:color w:val="FF0000"/>
                <w:sz w:val="18"/>
                <w:szCs w:val="18"/>
                <w:lang w:val="en-US" w:eastAsia="zh-CN"/>
              </w:rPr>
              <w:t>0189</w:t>
            </w:r>
          </w:p>
        </w:tc>
        <w:tc>
          <w:tcPr>
            <w:tcW w:w="1138" w:type="dxa"/>
            <w:tcBorders>
              <w:tl2br w:val="nil"/>
              <w:tr2bl w:val="nil"/>
            </w:tcBorders>
            <w:noWrap w:val="0"/>
            <w:vAlign w:val="center"/>
          </w:tcPr>
          <w:p>
            <w:pPr>
              <w:ind w:left="0" w:leftChars="0" w:right="0" w:rightChars="0" w:firstLine="180" w:firstLineChars="100"/>
              <w:jc w:val="both"/>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8</w:t>
            </w:r>
            <w:r>
              <w:rPr>
                <w:rFonts w:hint="eastAsia"/>
                <w:i/>
                <w:iCs/>
                <w:color w:val="FF0000"/>
                <w:sz w:val="18"/>
                <w:szCs w:val="18"/>
              </w:rPr>
              <w:t>%</w:t>
            </w:r>
          </w:p>
        </w:tc>
        <w:tc>
          <w:tcPr>
            <w:tcW w:w="1093" w:type="dxa"/>
            <w:tcBorders>
              <w:tl2br w:val="nil"/>
              <w:tr2bl w:val="nil"/>
            </w:tcBorders>
            <w:noWrap w:val="0"/>
            <w:vAlign w:val="center"/>
          </w:tcPr>
          <w:p>
            <w:pPr>
              <w:ind w:left="0" w:leftChars="0" w:right="0" w:rightChars="0" w:firstLine="180" w:firstLineChars="100"/>
              <w:jc w:val="both"/>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16</w:t>
            </w:r>
            <w:r>
              <w:rPr>
                <w:rFonts w:hint="eastAsia"/>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396" w:type="dxa"/>
            <w:vMerge w:val="restart"/>
            <w:tcBorders>
              <w:tl2br w:val="nil"/>
              <w:tr2bl w:val="nil"/>
            </w:tcBorders>
            <w:noWrap w:val="0"/>
            <w:vAlign w:val="center"/>
          </w:tcPr>
          <w:p>
            <w:pPr>
              <w:jc w:val="center"/>
              <w:rPr>
                <w:rFonts w:hint="eastAsia"/>
                <w:i/>
                <w:iCs/>
                <w:color w:val="FF0000"/>
                <w:sz w:val="18"/>
                <w:szCs w:val="18"/>
              </w:rPr>
            </w:pPr>
          </w:p>
          <w:p>
            <w:pPr>
              <w:jc w:val="center"/>
              <w:rPr>
                <w:rFonts w:hint="eastAsia" w:ascii="宋体" w:hAnsi="宋体" w:eastAsia="宋体" w:cs="宋体"/>
                <w:i/>
                <w:iCs/>
                <w:color w:val="FF0000"/>
                <w:sz w:val="18"/>
                <w:szCs w:val="18"/>
              </w:rPr>
            </w:pPr>
            <w:r>
              <w:rPr>
                <w:rFonts w:hint="eastAsia"/>
                <w:i/>
                <w:iCs/>
                <w:color w:val="FF0000"/>
                <w:sz w:val="18"/>
                <w:szCs w:val="18"/>
              </w:rPr>
              <w:t>锅炉</w:t>
            </w:r>
          </w:p>
        </w:tc>
        <w:tc>
          <w:tcPr>
            <w:tcW w:w="1334"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燃煤</w:t>
            </w:r>
          </w:p>
        </w:tc>
        <w:tc>
          <w:tcPr>
            <w:tcW w:w="1312"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热效率</w:t>
            </w:r>
          </w:p>
        </w:tc>
        <w:tc>
          <w:tcPr>
            <w:tcW w:w="1350" w:type="dxa"/>
            <w:vMerge w:val="continue"/>
            <w:tcBorders>
              <w:tl2br w:val="nil"/>
              <w:tr2bl w:val="nil"/>
            </w:tcBorders>
            <w:noWrap w:val="0"/>
            <w:vAlign w:val="center"/>
          </w:tcPr>
          <w:p>
            <w:pPr>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3</w:t>
            </w:r>
            <w:r>
              <w:rPr>
                <w:rFonts w:hint="eastAsia"/>
                <w:i/>
                <w:iCs/>
                <w:color w:val="FF0000"/>
                <w:sz w:val="18"/>
                <w:szCs w:val="18"/>
              </w:rPr>
              <w:t>个百分点</w:t>
            </w:r>
          </w:p>
        </w:tc>
        <w:tc>
          <w:tcPr>
            <w:tcW w:w="1093" w:type="dxa"/>
            <w:tcBorders>
              <w:tl2br w:val="nil"/>
              <w:tr2bl w:val="nil"/>
            </w:tcBorders>
            <w:noWrap w:val="0"/>
            <w:vAlign w:val="center"/>
          </w:tcPr>
          <w:p>
            <w:pPr>
              <w:ind w:left="350" w:leftChars="81" w:hanging="180" w:hangingChars="100"/>
              <w:jc w:val="both"/>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lang w:val="en-US" w:eastAsia="zh-CN"/>
              </w:rPr>
              <w:t>6</w:t>
            </w:r>
            <w:r>
              <w:rPr>
                <w:rFonts w:hint="eastAsia"/>
                <w:i/>
                <w:iCs/>
                <w:color w:val="FF0000"/>
                <w:sz w:val="18"/>
                <w:szCs w:val="18"/>
              </w:rPr>
              <w:t>个百分点</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396" w:type="dxa"/>
            <w:vMerge w:val="continue"/>
            <w:tcBorders>
              <w:tl2br w:val="nil"/>
              <w:tr2bl w:val="nil"/>
            </w:tcBorders>
            <w:noWrap w:val="0"/>
            <w:vAlign w:val="center"/>
          </w:tcPr>
          <w:p>
            <w:pPr>
              <w:jc w:val="center"/>
              <w:rPr>
                <w:rFonts w:hint="eastAsia" w:ascii="宋体" w:hAnsi="宋体" w:eastAsia="宋体" w:cs="宋体"/>
                <w:i/>
                <w:iCs/>
                <w:color w:val="FF0000"/>
                <w:sz w:val="18"/>
                <w:szCs w:val="18"/>
              </w:rPr>
            </w:pPr>
          </w:p>
        </w:tc>
        <w:tc>
          <w:tcPr>
            <w:tcW w:w="1334"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燃油燃气</w:t>
            </w:r>
          </w:p>
        </w:tc>
        <w:tc>
          <w:tcPr>
            <w:tcW w:w="1312"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热效率</w:t>
            </w:r>
          </w:p>
        </w:tc>
        <w:tc>
          <w:tcPr>
            <w:tcW w:w="1350" w:type="dxa"/>
            <w:vMerge w:val="continue"/>
            <w:tcBorders>
              <w:tl2br w:val="nil"/>
              <w:tr2bl w:val="nil"/>
            </w:tcBorders>
            <w:noWrap w:val="0"/>
            <w:vAlign w:val="center"/>
          </w:tcPr>
          <w:p>
            <w:pPr>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2</w:t>
            </w:r>
            <w:r>
              <w:rPr>
                <w:rFonts w:hint="eastAsia"/>
                <w:i/>
                <w:iCs/>
                <w:color w:val="FF0000"/>
                <w:sz w:val="18"/>
                <w:szCs w:val="18"/>
              </w:rPr>
              <w:t>个百分点</w:t>
            </w:r>
          </w:p>
        </w:tc>
        <w:tc>
          <w:tcPr>
            <w:tcW w:w="1093"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4</w:t>
            </w:r>
            <w:r>
              <w:rPr>
                <w:rFonts w:hint="eastAsia"/>
                <w:i/>
                <w:iCs/>
                <w:color w:val="FF0000"/>
                <w:sz w:val="18"/>
                <w:szCs w:val="18"/>
              </w:rPr>
              <w:t>个百分点</w:t>
            </w:r>
          </w:p>
        </w:tc>
      </w:tr>
    </w:tbl>
    <w:p>
      <w:pPr>
        <w:jc w:val="center"/>
        <w:rPr>
          <w:rFonts w:hint="eastAsia" w:ascii="宋体" w:hAnsi="宋体" w:eastAsia="宋体" w:cs="宋体"/>
          <w:b/>
          <w:bCs/>
          <w:i/>
          <w:iCs/>
          <w:color w:val="FF0000"/>
          <w:sz w:val="22"/>
          <w:szCs w:val="22"/>
        </w:rPr>
      </w:pPr>
    </w:p>
    <w:p>
      <w:pPr>
        <w:jc w:val="center"/>
        <w:rPr>
          <w:rFonts w:hint="default" w:ascii="宋体" w:hAnsi="宋体" w:eastAsia="宋体" w:cs="宋体"/>
          <w:b/>
          <w:bCs/>
          <w:i/>
          <w:iCs/>
          <w:color w:val="FF0000"/>
          <w:sz w:val="22"/>
          <w:szCs w:val="22"/>
          <w:lang w:val="en-US" w:eastAsia="zh-CN"/>
        </w:rPr>
      </w:pPr>
      <w:r>
        <w:rPr>
          <w:rFonts w:hint="eastAsia" w:ascii="宋体" w:hAnsi="宋体" w:eastAsia="宋体" w:cs="宋体"/>
          <w:b/>
          <w:bCs/>
          <w:i/>
          <w:iCs/>
          <w:color w:val="FF0000"/>
          <w:sz w:val="22"/>
          <w:szCs w:val="22"/>
        </w:rPr>
        <w:t>续表</w:t>
      </w:r>
      <w:r>
        <w:rPr>
          <w:rFonts w:hint="eastAsia" w:eastAsia="Times New Roman" w:cs="宋体"/>
          <w:b/>
          <w:bCs/>
          <w:i/>
          <w:iCs/>
          <w:color w:val="FF0000"/>
          <w:sz w:val="22"/>
          <w:szCs w:val="22"/>
          <w:lang w:val="en-US" w:eastAsia="zh-CN"/>
        </w:rPr>
        <w:t>7</w:t>
      </w:r>
      <w:r>
        <w:rPr>
          <w:rFonts w:hint="eastAsia" w:cs="宋体"/>
          <w:b/>
          <w:bCs/>
          <w:i/>
          <w:iCs/>
          <w:color w:val="FF0000"/>
          <w:sz w:val="22"/>
          <w:szCs w:val="22"/>
          <w:lang w:val="en-US" w:eastAsia="zh-CN"/>
        </w:rPr>
        <w:t>.</w:t>
      </w:r>
      <w:r>
        <w:rPr>
          <w:rFonts w:hint="eastAsia" w:eastAsia="Times New Roman" w:cs="宋体"/>
          <w:b/>
          <w:bCs/>
          <w:i/>
          <w:iCs/>
          <w:color w:val="FF0000"/>
          <w:sz w:val="22"/>
          <w:szCs w:val="22"/>
          <w:lang w:val="en-US" w:eastAsia="zh-CN"/>
        </w:rPr>
        <w:t>2</w:t>
      </w:r>
      <w:r>
        <w:rPr>
          <w:rFonts w:hint="eastAsia" w:cs="宋体"/>
          <w:b/>
          <w:bCs/>
          <w:i/>
          <w:iCs/>
          <w:color w:val="FF0000"/>
          <w:sz w:val="22"/>
          <w:szCs w:val="22"/>
          <w:lang w:val="en-US" w:eastAsia="zh-CN"/>
        </w:rPr>
        <w:t>.</w:t>
      </w:r>
      <w:r>
        <w:rPr>
          <w:rFonts w:hint="eastAsia" w:eastAsia="Times New Roman" w:cs="宋体"/>
          <w:b/>
          <w:bCs/>
          <w:i/>
          <w:iCs/>
          <w:color w:val="FF0000"/>
          <w:sz w:val="22"/>
          <w:szCs w:val="22"/>
          <w:lang w:val="en-US" w:eastAsia="zh-CN"/>
        </w:rPr>
        <w:t>5</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1598"/>
        <w:gridCol w:w="1274"/>
        <w:gridCol w:w="958"/>
        <w:gridCol w:w="950"/>
        <w:gridCol w:w="1116"/>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408" w:hRule="atLeast"/>
          <w:jc w:val="center"/>
        </w:trPr>
        <w:tc>
          <w:tcPr>
            <w:tcW w:w="159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机组类型</w:t>
            </w:r>
          </w:p>
        </w:tc>
        <w:tc>
          <w:tcPr>
            <w:tcW w:w="1274"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能效指标</w:t>
            </w:r>
          </w:p>
        </w:tc>
        <w:tc>
          <w:tcPr>
            <w:tcW w:w="95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参照标准</w:t>
            </w:r>
          </w:p>
        </w:tc>
        <w:tc>
          <w:tcPr>
            <w:tcW w:w="2066" w:type="dxa"/>
            <w:gridSpan w:val="2"/>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评分要求</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631" w:hRule="atLeast"/>
          <w:jc w:val="center"/>
        </w:trPr>
        <w:tc>
          <w:tcPr>
            <w:tcW w:w="1598" w:type="dxa"/>
            <w:tcBorders>
              <w:tl2br w:val="nil"/>
              <w:tr2bl w:val="nil"/>
            </w:tcBorders>
            <w:noWrap w:val="0"/>
            <w:vAlign w:val="center"/>
          </w:tcPr>
          <w:p>
            <w:pPr>
              <w:ind w:firstLine="180" w:firstLineChars="100"/>
              <w:jc w:val="both"/>
              <w:rPr>
                <w:rFonts w:hint="eastAsia"/>
                <w:i/>
                <w:iCs/>
                <w:color w:val="FF0000"/>
                <w:sz w:val="18"/>
                <w:szCs w:val="18"/>
              </w:rPr>
            </w:pPr>
            <w:r>
              <w:rPr>
                <w:rFonts w:hint="eastAsia"/>
                <w:i/>
                <w:iCs/>
                <w:color w:val="FF0000"/>
                <w:sz w:val="18"/>
                <w:szCs w:val="18"/>
              </w:rPr>
              <w:t>房间空气调节器</w:t>
            </w:r>
          </w:p>
        </w:tc>
        <w:tc>
          <w:tcPr>
            <w:tcW w:w="1274"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能效比(EER)</w:t>
            </w:r>
          </w:p>
          <w:p>
            <w:pPr>
              <w:jc w:val="center"/>
              <w:rPr>
                <w:rFonts w:hint="eastAsia"/>
                <w:i/>
                <w:iCs/>
                <w:color w:val="FF0000"/>
                <w:sz w:val="18"/>
                <w:szCs w:val="18"/>
              </w:rPr>
            </w:pPr>
            <w:r>
              <w:rPr>
                <w:rFonts w:hint="eastAsia"/>
                <w:i/>
                <w:iCs/>
                <w:color w:val="FF0000"/>
                <w:sz w:val="18"/>
                <w:szCs w:val="18"/>
              </w:rPr>
              <w:t>能源消耗效率</w:t>
            </w:r>
          </w:p>
        </w:tc>
        <w:tc>
          <w:tcPr>
            <w:tcW w:w="958" w:type="dxa"/>
            <w:vMerge w:val="restart"/>
            <w:tcBorders>
              <w:tl2br w:val="nil"/>
              <w:tr2bl w:val="nil"/>
            </w:tcBorders>
            <w:noWrap w:val="0"/>
            <w:vAlign w:val="center"/>
          </w:tcPr>
          <w:p>
            <w:pPr>
              <w:ind w:left="0" w:leftChars="0" w:firstLine="0" w:firstLineChars="0"/>
              <w:jc w:val="center"/>
              <w:rPr>
                <w:rFonts w:hint="eastAsia"/>
                <w:i/>
                <w:iCs/>
                <w:color w:val="FF0000"/>
                <w:sz w:val="18"/>
                <w:szCs w:val="18"/>
              </w:rPr>
            </w:pPr>
            <w:r>
              <w:rPr>
                <w:rFonts w:hint="eastAsia"/>
                <w:i/>
                <w:iCs/>
                <w:color w:val="FF0000"/>
                <w:sz w:val="18"/>
                <w:szCs w:val="18"/>
              </w:rPr>
              <w:t>现行有关</w:t>
            </w:r>
          </w:p>
          <w:p>
            <w:pPr>
              <w:ind w:left="0" w:leftChars="0" w:firstLine="0" w:firstLineChars="0"/>
              <w:jc w:val="center"/>
              <w:rPr>
                <w:rFonts w:hint="eastAsia"/>
                <w:i/>
                <w:iCs/>
                <w:color w:val="FF0000"/>
                <w:sz w:val="18"/>
                <w:szCs w:val="18"/>
              </w:rPr>
            </w:pPr>
            <w:r>
              <w:rPr>
                <w:rFonts w:hint="eastAsia"/>
                <w:i/>
                <w:iCs/>
                <w:color w:val="FF0000"/>
                <w:sz w:val="18"/>
                <w:szCs w:val="18"/>
              </w:rPr>
              <w:t>国家标准</w:t>
            </w:r>
          </w:p>
        </w:tc>
        <w:tc>
          <w:tcPr>
            <w:tcW w:w="950" w:type="dxa"/>
            <w:vMerge w:val="restart"/>
            <w:tcBorders>
              <w:tl2br w:val="nil"/>
              <w:tr2bl w:val="nil"/>
            </w:tcBorders>
            <w:noWrap w:val="0"/>
            <w:vAlign w:val="center"/>
          </w:tcPr>
          <w:p>
            <w:pPr>
              <w:jc w:val="both"/>
              <w:rPr>
                <w:rFonts w:hint="eastAsia"/>
                <w:i/>
                <w:iCs/>
                <w:color w:val="FF0000"/>
                <w:sz w:val="18"/>
                <w:szCs w:val="18"/>
              </w:rPr>
            </w:pPr>
            <w:r>
              <w:rPr>
                <w:rFonts w:hint="eastAsia"/>
                <w:i/>
                <w:iCs/>
                <w:color w:val="FF0000"/>
                <w:sz w:val="18"/>
                <w:szCs w:val="18"/>
              </w:rPr>
              <w:t>节能评价值</w:t>
            </w:r>
          </w:p>
        </w:tc>
        <w:tc>
          <w:tcPr>
            <w:tcW w:w="1116" w:type="dxa"/>
            <w:vMerge w:val="restart"/>
            <w:tcBorders>
              <w:tl2br w:val="nil"/>
              <w:tr2bl w:val="nil"/>
            </w:tcBorders>
            <w:noWrap w:val="0"/>
            <w:vAlign w:val="center"/>
          </w:tcPr>
          <w:p>
            <w:pPr>
              <w:jc w:val="both"/>
              <w:rPr>
                <w:rFonts w:hint="eastAsia"/>
                <w:i/>
                <w:iCs/>
                <w:color w:val="FF0000"/>
                <w:sz w:val="18"/>
                <w:szCs w:val="18"/>
              </w:rPr>
            </w:pPr>
          </w:p>
          <w:p>
            <w:pPr>
              <w:jc w:val="center"/>
              <w:rPr>
                <w:rFonts w:hint="eastAsia"/>
                <w:i/>
                <w:iCs/>
                <w:color w:val="FF0000"/>
                <w:sz w:val="18"/>
                <w:szCs w:val="18"/>
              </w:rPr>
            </w:pPr>
            <w:r>
              <w:rPr>
                <w:rFonts w:hint="eastAsia" w:eastAsia="Times New Roman"/>
                <w:i/>
                <w:iCs/>
                <w:color w:val="FF0000"/>
                <w:sz w:val="18"/>
                <w:szCs w:val="18"/>
              </w:rPr>
              <w:t>1</w:t>
            </w:r>
            <w:r>
              <w:rPr>
                <w:rFonts w:hint="eastAsia"/>
                <w:i/>
                <w:iCs/>
                <w:color w:val="FF0000"/>
                <w:sz w:val="18"/>
                <w:szCs w:val="18"/>
              </w:rPr>
              <w:t>级能效</w:t>
            </w:r>
          </w:p>
          <w:p>
            <w:pPr>
              <w:jc w:val="center"/>
              <w:rPr>
                <w:rFonts w:hint="eastAsia"/>
                <w:i/>
                <w:iCs/>
                <w:color w:val="FF0000"/>
                <w:sz w:val="18"/>
                <w:szCs w:val="18"/>
              </w:rPr>
            </w:pPr>
            <w:r>
              <w:rPr>
                <w:rFonts w:hint="eastAsia"/>
                <w:i/>
                <w:iCs/>
                <w:color w:val="FF0000"/>
                <w:sz w:val="18"/>
                <w:szCs w:val="18"/>
              </w:rPr>
              <w:t>等级限值</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159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家用燃气热水炉</w:t>
            </w:r>
          </w:p>
        </w:tc>
        <w:tc>
          <w:tcPr>
            <w:tcW w:w="1274" w:type="dxa"/>
            <w:tcBorders>
              <w:tl2br w:val="nil"/>
              <w:tr2bl w:val="nil"/>
            </w:tcBorders>
            <w:noWrap w:val="0"/>
            <w:vAlign w:val="center"/>
          </w:tcPr>
          <w:p>
            <w:pPr>
              <w:tabs>
                <w:tab w:val="center" w:pos="692"/>
                <w:tab w:val="right" w:pos="1264"/>
              </w:tabs>
              <w:jc w:val="left"/>
              <w:rPr>
                <w:rFonts w:hint="eastAsia" w:ascii="宋体" w:hAnsi="宋体" w:eastAsia="宋体" w:cs="宋体"/>
                <w:i/>
                <w:iCs/>
                <w:color w:val="FF0000"/>
                <w:sz w:val="18"/>
                <w:szCs w:val="18"/>
                <w:lang w:eastAsia="zh-CN"/>
              </w:rPr>
            </w:pPr>
            <w:r>
              <w:rPr>
                <w:rFonts w:hint="eastAsia"/>
                <w:i/>
                <w:iCs/>
                <w:color w:val="FF0000"/>
                <w:sz w:val="18"/>
                <w:szCs w:val="18"/>
                <w:lang w:eastAsia="zh-CN"/>
              </w:rPr>
              <w:tab/>
            </w:r>
            <w:r>
              <w:rPr>
                <w:rFonts w:hint="eastAsia"/>
                <w:i/>
                <w:iCs/>
                <w:color w:val="FF0000"/>
                <w:sz w:val="18"/>
                <w:szCs w:val="18"/>
              </w:rPr>
              <w:t>热效率值</w:t>
            </w:r>
            <w:r>
              <w:rPr>
                <w:rFonts w:hint="eastAsia"/>
                <w:i/>
                <w:iCs/>
                <w:color w:val="FF0000"/>
                <w:sz w:val="18"/>
                <w:szCs w:val="18"/>
                <w:lang w:eastAsia="zh-CN"/>
              </w:rPr>
              <w:t>（</w:t>
            </w:r>
            <w:r>
              <w:rPr>
                <w:rFonts w:hint="eastAsia" w:ascii="宋体" w:hAnsi="宋体" w:eastAsia="宋体" w:cs="宋体"/>
                <w:i/>
                <w:iCs/>
                <w:color w:val="FF0000"/>
                <w:sz w:val="18"/>
                <w:szCs w:val="18"/>
                <w:lang w:eastAsia="zh-CN"/>
              </w:rPr>
              <w:t>η</w:t>
            </w:r>
            <w:r>
              <w:rPr>
                <w:rFonts w:hint="eastAsia" w:cs="宋体"/>
                <w:i/>
                <w:iCs/>
                <w:color w:val="FF0000"/>
                <w:sz w:val="18"/>
                <w:szCs w:val="18"/>
                <w:lang w:eastAsia="zh-CN"/>
              </w:rPr>
              <w:t>）</w:t>
            </w:r>
          </w:p>
        </w:tc>
        <w:tc>
          <w:tcPr>
            <w:tcW w:w="958" w:type="dxa"/>
            <w:vMerge w:val="continue"/>
            <w:tcBorders>
              <w:tl2br w:val="nil"/>
              <w:tr2bl w:val="nil"/>
            </w:tcBorders>
            <w:noWrap w:val="0"/>
            <w:vAlign w:val="center"/>
          </w:tcPr>
          <w:p>
            <w:pPr>
              <w:jc w:val="center"/>
              <w:rPr>
                <w:rFonts w:hint="eastAsia"/>
                <w:i/>
                <w:iCs/>
                <w:color w:val="FF0000"/>
                <w:sz w:val="18"/>
                <w:szCs w:val="18"/>
              </w:rPr>
            </w:pPr>
          </w:p>
        </w:tc>
        <w:tc>
          <w:tcPr>
            <w:tcW w:w="950" w:type="dxa"/>
            <w:vMerge w:val="continue"/>
            <w:tcBorders>
              <w:tl2br w:val="nil"/>
              <w:tr2bl w:val="nil"/>
            </w:tcBorders>
            <w:noWrap w:val="0"/>
            <w:vAlign w:val="center"/>
          </w:tcPr>
          <w:p>
            <w:pPr>
              <w:jc w:val="center"/>
              <w:rPr>
                <w:rFonts w:hint="eastAsia"/>
                <w:i/>
                <w:iCs/>
                <w:color w:val="FF0000"/>
                <w:sz w:val="18"/>
                <w:szCs w:val="18"/>
              </w:rPr>
            </w:pPr>
          </w:p>
        </w:tc>
        <w:tc>
          <w:tcPr>
            <w:tcW w:w="1116" w:type="dxa"/>
            <w:vMerge w:val="continue"/>
            <w:tcBorders>
              <w:tl2br w:val="nil"/>
              <w:tr2bl w:val="nil"/>
            </w:tcBorders>
            <w:noWrap w:val="0"/>
            <w:vAlign w:val="center"/>
          </w:tcPr>
          <w:p>
            <w:pPr>
              <w:jc w:val="center"/>
              <w:rPr>
                <w:rFonts w:hint="eastAsia"/>
                <w:i/>
                <w:iCs/>
                <w:color w:val="FF0000"/>
                <w:sz w:val="18"/>
                <w:szCs w:val="18"/>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623" w:hRule="atLeast"/>
          <w:jc w:val="center"/>
        </w:trPr>
        <w:tc>
          <w:tcPr>
            <w:tcW w:w="159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蒸汽型</w:t>
            </w:r>
            <w:r>
              <w:rPr>
                <w:rFonts w:hint="eastAsia"/>
                <w:i/>
                <w:iCs/>
                <w:color w:val="FF0000"/>
                <w:sz w:val="18"/>
                <w:szCs w:val="18"/>
                <w:lang w:val="en-US" w:eastAsia="zh-CN"/>
              </w:rPr>
              <w:t>溴化</w:t>
            </w:r>
            <w:r>
              <w:rPr>
                <w:rFonts w:hint="eastAsia"/>
                <w:i/>
                <w:iCs/>
                <w:color w:val="FF0000"/>
                <w:sz w:val="18"/>
                <w:szCs w:val="18"/>
              </w:rPr>
              <w:t>锂吸收式冷水机组</w:t>
            </w:r>
          </w:p>
        </w:tc>
        <w:tc>
          <w:tcPr>
            <w:tcW w:w="1274"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制冷，供热性能系数（</w:t>
            </w:r>
            <w:r>
              <w:rPr>
                <w:rFonts w:hint="eastAsia"/>
                <w:i/>
                <w:iCs/>
                <w:color w:val="FF0000"/>
                <w:sz w:val="18"/>
                <w:szCs w:val="18"/>
                <w:lang w:val="en-US" w:eastAsia="zh-CN"/>
              </w:rPr>
              <w:t>COP</w:t>
            </w:r>
            <w:r>
              <w:rPr>
                <w:rFonts w:hint="eastAsia"/>
                <w:i/>
                <w:iCs/>
                <w:color w:val="FF0000"/>
                <w:sz w:val="18"/>
                <w:szCs w:val="18"/>
              </w:rPr>
              <w:t>）</w:t>
            </w:r>
          </w:p>
        </w:tc>
        <w:tc>
          <w:tcPr>
            <w:tcW w:w="958" w:type="dxa"/>
            <w:vMerge w:val="continue"/>
            <w:tcBorders>
              <w:tl2br w:val="nil"/>
              <w:tr2bl w:val="nil"/>
            </w:tcBorders>
            <w:noWrap w:val="0"/>
            <w:vAlign w:val="center"/>
          </w:tcPr>
          <w:p>
            <w:pPr>
              <w:jc w:val="center"/>
              <w:rPr>
                <w:rFonts w:hint="eastAsia"/>
                <w:i/>
                <w:iCs/>
                <w:color w:val="FF0000"/>
                <w:sz w:val="18"/>
                <w:szCs w:val="18"/>
              </w:rPr>
            </w:pPr>
          </w:p>
        </w:tc>
        <w:tc>
          <w:tcPr>
            <w:tcW w:w="950" w:type="dxa"/>
            <w:vMerge w:val="continue"/>
            <w:tcBorders>
              <w:tl2br w:val="nil"/>
              <w:tr2bl w:val="nil"/>
            </w:tcBorders>
            <w:noWrap w:val="0"/>
            <w:vAlign w:val="center"/>
          </w:tcPr>
          <w:p>
            <w:pPr>
              <w:jc w:val="center"/>
              <w:rPr>
                <w:rFonts w:hint="eastAsia"/>
                <w:i/>
                <w:iCs/>
                <w:color w:val="FF0000"/>
                <w:sz w:val="18"/>
                <w:szCs w:val="18"/>
              </w:rPr>
            </w:pPr>
          </w:p>
        </w:tc>
        <w:tc>
          <w:tcPr>
            <w:tcW w:w="1116" w:type="dxa"/>
            <w:vMerge w:val="continue"/>
            <w:tcBorders>
              <w:tl2br w:val="nil"/>
              <w:tr2bl w:val="nil"/>
            </w:tcBorders>
            <w:noWrap w:val="0"/>
            <w:vAlign w:val="center"/>
          </w:tcPr>
          <w:p>
            <w:pPr>
              <w:jc w:val="center"/>
              <w:rPr>
                <w:rFonts w:hint="eastAsia"/>
                <w:i/>
                <w:iCs/>
                <w:color w:val="FF0000"/>
                <w:sz w:val="18"/>
                <w:szCs w:val="18"/>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3830" w:type="dxa"/>
            <w:gridSpan w:val="3"/>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得分</w:t>
            </w:r>
          </w:p>
        </w:tc>
        <w:tc>
          <w:tcPr>
            <w:tcW w:w="950"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5</w:t>
            </w:r>
            <w:r>
              <w:rPr>
                <w:rFonts w:hint="eastAsia"/>
                <w:i/>
                <w:iCs/>
                <w:color w:val="FF0000"/>
                <w:sz w:val="18"/>
                <w:szCs w:val="18"/>
              </w:rPr>
              <w:t>分</w:t>
            </w:r>
          </w:p>
        </w:tc>
        <w:tc>
          <w:tcPr>
            <w:tcW w:w="1116"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10</w:t>
            </w:r>
            <w:r>
              <w:rPr>
                <w:rFonts w:hint="eastAsia"/>
                <w:i/>
                <w:iCs/>
                <w:color w:val="FF0000"/>
                <w:sz w:val="18"/>
                <w:szCs w:val="18"/>
              </w:rPr>
              <w:t>分</w:t>
            </w:r>
          </w:p>
        </w:tc>
      </w:tr>
    </w:tbl>
    <w:p>
      <w:pPr>
        <w:rPr>
          <w:rFonts w:hint="default"/>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说明供</w:t>
      </w:r>
      <w:r>
        <w:rPr>
          <w:rFonts w:hint="eastAsia"/>
          <w:color w:val="auto"/>
          <w:sz w:val="21"/>
          <w:szCs w:val="21"/>
          <w:lang w:val="en-US" w:eastAsia="zh-CN"/>
        </w:rPr>
        <w:t>暖</w:t>
      </w:r>
      <w:r>
        <w:rPr>
          <w:rFonts w:hint="eastAsia"/>
          <w:color w:val="auto"/>
          <w:sz w:val="21"/>
          <w:szCs w:val="21"/>
        </w:rPr>
        <w:t>空调系统的冷、热源机组类型、能效等级</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3</w:t>
      </w:r>
      <w:r>
        <w:rPr>
          <w:rFonts w:hint="eastAsia" w:ascii="宋体" w:hAnsi="宋体" w:cs="宋体"/>
          <w:color w:val="auto"/>
          <w:sz w:val="28"/>
          <w:szCs w:val="28"/>
          <w:lang w:val="en-US" w:eastAsia="zh-CN"/>
        </w:rPr>
        <w:t>、</w:t>
      </w:r>
      <w:r>
        <w:rPr>
          <w:rFonts w:hint="eastAsia"/>
          <w:color w:val="auto"/>
          <w:sz w:val="28"/>
          <w:szCs w:val="28"/>
        </w:rPr>
        <w:t>采取有效措施降低供暖空调系统的末端系统及</w:t>
      </w:r>
      <w:r>
        <w:rPr>
          <w:rFonts w:hint="eastAsia"/>
          <w:color w:val="auto"/>
          <w:sz w:val="28"/>
          <w:szCs w:val="28"/>
          <w:lang w:val="en-US" w:eastAsia="zh-CN"/>
        </w:rPr>
        <w:t>输配</w:t>
      </w:r>
      <w:r>
        <w:rPr>
          <w:rFonts w:hint="eastAsia"/>
          <w:color w:val="auto"/>
          <w:sz w:val="28"/>
          <w:szCs w:val="28"/>
        </w:rPr>
        <w:t>系统的能耗</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7</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rPr>
        <w:t>6</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采取有效措施降低供暖空调系统的末端系统及输配系统的能耗，评价总分值为</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分，并按以下规则分别评分并累计：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通风空调系统风机的单位风量耗功率比现行国家标准《公共建筑节能设计标准》GB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50189</w:t>
      </w:r>
      <w:r>
        <w:rPr>
          <w:rFonts w:hint="eastAsia" w:ascii="宋体" w:hAnsi="宋体" w:eastAsia="宋体" w:cs="宋体"/>
          <w:i/>
          <w:iCs/>
          <w:color w:val="FF0000"/>
          <w:sz w:val="24"/>
          <w:szCs w:val="24"/>
          <w:lang w:eastAsia="zh-CN"/>
        </w:rPr>
        <w:t>的规定低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集中供暖系统热水循环泵的耗电输热比、空调冷热水系统循环水泵的耗电输冷（热）比比现行国家标准《民用建筑供暖通风与空气调节设计规范》GB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50736</w:t>
      </w:r>
      <w:r>
        <w:rPr>
          <w:rFonts w:hint="eastAsia" w:ascii="宋体" w:hAnsi="宋体" w:eastAsia="宋体" w:cs="宋体"/>
          <w:i/>
          <w:iCs/>
          <w:color w:val="FF0000"/>
          <w:sz w:val="24"/>
          <w:szCs w:val="24"/>
          <w:lang w:eastAsia="zh-CN"/>
        </w:rPr>
        <w:t>规定值低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r>
        <w:rPr>
          <w:rFonts w:hint="eastAsia" w:ascii="宋体" w:hAnsi="宋体" w:cs="宋体"/>
          <w:i/>
          <w:iCs/>
          <w:color w:val="FF0000"/>
          <w:sz w:val="24"/>
          <w:szCs w:val="24"/>
          <w:lang w:eastAsia="zh-CN"/>
        </w:rPr>
        <w:t>。</w:t>
      </w:r>
    </w:p>
    <w:p>
      <w:pPr>
        <w:rPr>
          <w:rFonts w:hint="default"/>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说明降低供暖空调系统末端系统及配系统能耗的具体措施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风机单位风量耗功率计算书</w:t>
      </w:r>
      <w:r>
        <w:rPr>
          <w:rFonts w:hint="eastAsia"/>
          <w:color w:val="auto"/>
          <w:sz w:val="28"/>
          <w:szCs w:val="28"/>
          <w:lang w:eastAsia="zh-CN"/>
        </w:rPr>
        <w:t>；□</w:t>
      </w:r>
      <w:r>
        <w:rPr>
          <w:rFonts w:hint="eastAsia"/>
          <w:color w:val="auto"/>
          <w:sz w:val="28"/>
          <w:szCs w:val="28"/>
        </w:rPr>
        <w:t>空调冷热水系统耗电输冷</w:t>
      </w:r>
      <w:r>
        <w:rPr>
          <w:rFonts w:hint="eastAsia"/>
          <w:color w:val="auto"/>
          <w:sz w:val="28"/>
          <w:szCs w:val="28"/>
          <w:lang w:eastAsia="zh-CN"/>
        </w:rPr>
        <w:t>（</w:t>
      </w:r>
      <w:r>
        <w:rPr>
          <w:rFonts w:hint="eastAsia"/>
          <w:color w:val="auto"/>
          <w:sz w:val="28"/>
          <w:szCs w:val="28"/>
        </w:rPr>
        <w:t>热</w:t>
      </w:r>
      <w:r>
        <w:rPr>
          <w:rFonts w:hint="eastAsia"/>
          <w:color w:val="auto"/>
          <w:sz w:val="28"/>
          <w:szCs w:val="28"/>
          <w:lang w:eastAsia="zh-CN"/>
        </w:rPr>
        <w:t>）</w:t>
      </w:r>
      <w:r>
        <w:rPr>
          <w:rFonts w:hint="eastAsia"/>
          <w:color w:val="auto"/>
          <w:sz w:val="28"/>
          <w:szCs w:val="28"/>
        </w:rPr>
        <w:t>比计算书</w:t>
      </w:r>
      <w:r>
        <w:rPr>
          <w:rFonts w:hint="eastAsia"/>
          <w:color w:val="auto"/>
          <w:sz w:val="28"/>
          <w:szCs w:val="28"/>
          <w:lang w:eastAsia="zh-CN"/>
        </w:rPr>
        <w:t>；□</w:t>
      </w:r>
      <w:r>
        <w:rPr>
          <w:rFonts w:hint="eastAsia"/>
          <w:color w:val="auto"/>
          <w:sz w:val="28"/>
          <w:szCs w:val="28"/>
        </w:rPr>
        <w:t>集中供暖系统热水</w:t>
      </w:r>
      <w:r>
        <w:rPr>
          <w:rFonts w:hint="eastAsia"/>
          <w:color w:val="auto"/>
          <w:sz w:val="28"/>
          <w:szCs w:val="28"/>
          <w:lang w:val="en-US" w:eastAsia="zh-CN"/>
        </w:rPr>
        <w:t>循环</w:t>
      </w:r>
      <w:r>
        <w:rPr>
          <w:rFonts w:hint="eastAsia"/>
          <w:color w:val="auto"/>
          <w:sz w:val="28"/>
          <w:szCs w:val="28"/>
        </w:rPr>
        <w:t>泵</w:t>
      </w:r>
      <w:r>
        <w:rPr>
          <w:rFonts w:hint="eastAsia"/>
          <w:color w:val="auto"/>
          <w:sz w:val="28"/>
          <w:szCs w:val="28"/>
          <w:lang w:val="en-US" w:eastAsia="zh-CN"/>
        </w:rPr>
        <w:t>的耗</w:t>
      </w:r>
      <w:r>
        <w:rPr>
          <w:rFonts w:hint="eastAsia"/>
          <w:color w:val="auto"/>
          <w:sz w:val="28"/>
          <w:szCs w:val="28"/>
        </w:rPr>
        <w:t>电输热比</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color w:val="auto"/>
          <w:sz w:val="28"/>
          <w:szCs w:val="28"/>
          <w:lang w:val="en-US" w:eastAsia="zh-CN"/>
        </w:rPr>
        <w:t>4、</w:t>
      </w:r>
      <w:r>
        <w:rPr>
          <w:rFonts w:hint="eastAsia"/>
          <w:color w:val="auto"/>
          <w:sz w:val="28"/>
          <w:szCs w:val="28"/>
        </w:rPr>
        <w:t>采用</w:t>
      </w:r>
      <w:r>
        <w:rPr>
          <w:rFonts w:hint="eastAsia"/>
          <w:color w:val="auto"/>
          <w:sz w:val="28"/>
          <w:szCs w:val="28"/>
          <w:lang w:val="en-US" w:eastAsia="zh-CN"/>
        </w:rPr>
        <w:t>措施</w:t>
      </w:r>
      <w:r>
        <w:rPr>
          <w:rFonts w:hint="eastAsia"/>
          <w:color w:val="auto"/>
          <w:sz w:val="28"/>
          <w:szCs w:val="28"/>
        </w:rPr>
        <w:t>降低建筑能耗</w:t>
      </w:r>
      <w:r>
        <w:rPr>
          <w:rFonts w:hint="eastAsia"/>
          <w:color w:val="auto"/>
          <w:sz w:val="21"/>
          <w:szCs w:val="21"/>
          <w:lang w:eastAsia="zh-CN"/>
        </w:rPr>
        <w:t>（</w:t>
      </w:r>
      <w:r>
        <w:rPr>
          <w:rFonts w:hint="eastAsia"/>
          <w:color w:val="auto"/>
          <w:sz w:val="21"/>
          <w:szCs w:val="21"/>
          <w:lang w:val="en-US" w:eastAsia="zh-CN"/>
        </w:rPr>
        <w:t>本条与电气专业联合作答</w:t>
      </w:r>
      <w:r>
        <w:rPr>
          <w:rFonts w:hint="eastAsia"/>
          <w:color w:val="auto"/>
          <w:sz w:val="21"/>
          <w:szCs w:val="21"/>
          <w:lang w:eastAsia="zh-CN"/>
        </w:rPr>
        <w:t>）</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8</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采取措施降低建筑能耗，评价总分值为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分。建筑能耗相比国家现行有关建筑节能标准降低</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分；降低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eastAsia"/>
          <w:color w:val="auto"/>
          <w:sz w:val="21"/>
          <w:szCs w:val="21"/>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说明建筑能耗计算结果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暖</w:t>
      </w:r>
      <w:r>
        <w:rPr>
          <w:rFonts w:hint="eastAsia"/>
          <w:color w:val="auto"/>
          <w:sz w:val="28"/>
          <w:szCs w:val="28"/>
          <w:lang w:val="en-US" w:eastAsia="zh-CN"/>
        </w:rPr>
        <w:t>通空调</w:t>
      </w:r>
      <w:r>
        <w:rPr>
          <w:rFonts w:hint="eastAsia"/>
          <w:color w:val="auto"/>
          <w:sz w:val="28"/>
          <w:szCs w:val="28"/>
        </w:rPr>
        <w:t>能耗</w:t>
      </w:r>
      <w:r>
        <w:rPr>
          <w:rFonts w:hint="eastAsia"/>
          <w:color w:val="auto"/>
          <w:sz w:val="28"/>
          <w:szCs w:val="28"/>
          <w:lang w:val="en-US" w:eastAsia="zh-CN"/>
        </w:rPr>
        <w:t>模拟</w:t>
      </w:r>
      <w:r>
        <w:rPr>
          <w:rFonts w:hint="eastAsia"/>
          <w:color w:val="auto"/>
          <w:sz w:val="28"/>
          <w:szCs w:val="28"/>
        </w:rPr>
        <w:t>计算书</w:t>
      </w:r>
      <w:r>
        <w:rPr>
          <w:rFonts w:hint="eastAsia"/>
          <w:color w:val="auto"/>
          <w:sz w:val="28"/>
          <w:szCs w:val="28"/>
          <w:lang w:eastAsia="zh-CN"/>
        </w:rPr>
        <w:t>；□</w:t>
      </w:r>
      <w:r>
        <w:rPr>
          <w:rFonts w:hint="eastAsia"/>
          <w:color w:val="auto"/>
          <w:sz w:val="28"/>
          <w:szCs w:val="28"/>
        </w:rPr>
        <w:t>照明能耗模拟计算书</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5</w:t>
      </w:r>
      <w:r>
        <w:rPr>
          <w:rFonts w:hint="eastAsia" w:ascii="宋体" w:hAnsi="宋体" w:cs="宋体"/>
          <w:color w:val="auto"/>
          <w:sz w:val="28"/>
          <w:szCs w:val="28"/>
          <w:lang w:val="en-US" w:eastAsia="zh-CN"/>
        </w:rPr>
        <w:t>、</w:t>
      </w:r>
      <w:r>
        <w:rPr>
          <w:rFonts w:hint="eastAsia"/>
          <w:color w:val="auto"/>
          <w:sz w:val="28"/>
          <w:szCs w:val="28"/>
        </w:rPr>
        <w:t>结合当地气候和自然</w:t>
      </w:r>
      <w:r>
        <w:rPr>
          <w:rFonts w:hint="eastAsia"/>
          <w:color w:val="auto"/>
          <w:sz w:val="28"/>
          <w:szCs w:val="28"/>
          <w:lang w:val="en-US" w:eastAsia="zh-CN"/>
        </w:rPr>
        <w:t>资源</w:t>
      </w:r>
      <w:r>
        <w:rPr>
          <w:rFonts w:hint="eastAsia"/>
          <w:color w:val="auto"/>
          <w:sz w:val="28"/>
          <w:szCs w:val="28"/>
        </w:rPr>
        <w:t>条件合理利用可再生能源</w:t>
      </w:r>
      <w:r>
        <w:rPr>
          <w:rFonts w:hint="eastAsia"/>
          <w:color w:val="auto"/>
          <w:sz w:val="21"/>
          <w:szCs w:val="21"/>
          <w:lang w:eastAsia="zh-CN"/>
        </w:rPr>
        <w:t>（</w:t>
      </w:r>
      <w:r>
        <w:rPr>
          <w:rFonts w:hint="eastAsia"/>
          <w:color w:val="auto"/>
          <w:sz w:val="21"/>
          <w:szCs w:val="21"/>
          <w:lang w:val="en-US" w:eastAsia="zh-CN"/>
        </w:rPr>
        <w:t>仅</w:t>
      </w:r>
      <w:r>
        <w:rPr>
          <w:rFonts w:hint="eastAsia"/>
          <w:color w:val="auto"/>
          <w:sz w:val="21"/>
          <w:szCs w:val="21"/>
        </w:rPr>
        <w:t>针对可再生能源</w:t>
      </w:r>
      <w:r>
        <w:rPr>
          <w:rFonts w:hint="eastAsia"/>
          <w:color w:val="auto"/>
          <w:sz w:val="21"/>
          <w:szCs w:val="21"/>
          <w:lang w:val="en-US" w:eastAsia="zh-CN"/>
        </w:rPr>
        <w:t>提供的空调用冷量和热量比例R</w:t>
      </w:r>
      <w:r>
        <w:rPr>
          <w:rFonts w:hint="eastAsia"/>
          <w:color w:val="auto"/>
          <w:sz w:val="21"/>
          <w:szCs w:val="21"/>
          <w:vertAlign w:val="subscript"/>
          <w:lang w:val="en-US" w:eastAsia="zh-CN"/>
        </w:rPr>
        <w:t>ch</w:t>
      </w:r>
      <w:r>
        <w:rPr>
          <w:rFonts w:hint="eastAsia"/>
          <w:color w:val="auto"/>
          <w:sz w:val="21"/>
          <w:szCs w:val="21"/>
          <w:vertAlign w:val="baseline"/>
          <w:lang w:val="en-US" w:eastAsia="zh-CN"/>
        </w:rPr>
        <w:t>作答，</w:t>
      </w:r>
      <w:r>
        <w:rPr>
          <w:rFonts w:hint="eastAsia"/>
          <w:color w:val="auto"/>
          <w:sz w:val="21"/>
          <w:szCs w:val="21"/>
          <w:lang w:val="en-US" w:eastAsia="zh-CN"/>
        </w:rPr>
        <w:t>应与给排水、电气专业协调，三个专业累计得分不得大于</w:t>
      </w:r>
      <w:r>
        <w:rPr>
          <w:rFonts w:hint="eastAsia" w:eastAsia="Times New Roman"/>
          <w:color w:val="auto"/>
          <w:sz w:val="21"/>
          <w:szCs w:val="21"/>
          <w:lang w:val="en-US" w:eastAsia="zh-CN"/>
        </w:rPr>
        <w:t>10</w:t>
      </w:r>
      <w:r>
        <w:rPr>
          <w:rFonts w:hint="eastAsia"/>
          <w:color w:val="auto"/>
          <w:sz w:val="21"/>
          <w:szCs w:val="21"/>
          <w:lang w:val="en-US" w:eastAsia="zh-CN"/>
        </w:rPr>
        <w:t>分</w:t>
      </w:r>
      <w:r>
        <w:rPr>
          <w:rFonts w:hint="eastAsia"/>
          <w:color w:val="auto"/>
          <w:sz w:val="21"/>
          <w:szCs w:val="21"/>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7</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9</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rPr>
        <w:t>结合当地气候和自然资源条件合理利用可再生能源，评价总分值为</w:t>
      </w:r>
      <w:r>
        <w:rPr>
          <w:rFonts w:hint="eastAsia" w:ascii="宋体" w:hAnsi="宋体" w:eastAsia="Times New Roman" w:cs="宋体"/>
          <w:i/>
          <w:iCs/>
          <w:color w:val="FF0000"/>
          <w:sz w:val="24"/>
          <w:szCs w:val="24"/>
        </w:rPr>
        <w:t>10</w:t>
      </w:r>
      <w:r>
        <w:rPr>
          <w:rFonts w:hint="eastAsia" w:ascii="宋体" w:hAnsi="宋体" w:eastAsia="宋体" w:cs="宋体"/>
          <w:i/>
          <w:iCs/>
          <w:color w:val="FF0000"/>
          <w:sz w:val="24"/>
          <w:szCs w:val="24"/>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rPr>
        <w:t>的规则评分。</w:t>
      </w:r>
    </w:p>
    <w:p>
      <w:pPr>
        <w:jc w:val="center"/>
        <w:rPr>
          <w:rFonts w:hint="eastAsia"/>
          <w:b/>
          <w:bCs/>
          <w:i/>
          <w:iCs/>
          <w:color w:val="FF0000"/>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r>
        <w:rPr>
          <w:rFonts w:hint="eastAsia"/>
          <w:b/>
          <w:bCs/>
          <w:i/>
          <w:iCs/>
          <w:color w:val="FF0000"/>
        </w:rPr>
        <w:t>可再生能源利用评分规则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6"/>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2"/>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由可再生能源提供的生活用热水比例</w:t>
            </w:r>
          </w:p>
          <w:p>
            <w:pPr>
              <w:jc w:val="center"/>
              <w:rPr>
                <w:rFonts w:hint="eastAsia"/>
                <w:i/>
                <w:iCs/>
                <w:color w:val="FF0000"/>
              </w:rPr>
            </w:pPr>
            <w:r>
              <w:rPr>
                <w:rFonts w:hint="eastAsia"/>
                <w:i/>
                <w:iCs/>
                <w:color w:val="FF0000"/>
              </w:rPr>
              <w:t>R</w:t>
            </w:r>
            <w:r>
              <w:rPr>
                <w:rFonts w:hint="eastAsia"/>
                <w:i/>
                <w:iCs/>
                <w:color w:val="FF0000"/>
                <w:vertAlign w:val="subscript"/>
              </w:rPr>
              <w:t>hw</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由可再生能源提供的空调用冷量和热量比例</w:t>
            </w:r>
          </w:p>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4"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由可再生能源提供电量比例R</w:t>
            </w:r>
            <w:r>
              <w:rPr>
                <w:rFonts w:hint="eastAsia"/>
                <w:i/>
                <w:iCs/>
                <w:color w:val="FF0000"/>
                <w:vertAlign w:val="subscript"/>
              </w:rPr>
              <w:t>e</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4</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lang w:val="en-US" w:eastAsia="zh-CN"/>
              </w:rPr>
              <w:t>4</w:t>
            </w:r>
            <w:r>
              <w:rPr>
                <w:rFonts w:hint="eastAsia"/>
                <w:i/>
                <w:iCs/>
                <w:color w:val="FF0000"/>
                <w:lang w:val="en-US" w:eastAsia="zh-CN"/>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rPr>
          <w:rFonts w:hint="eastAsia"/>
          <w:i/>
          <w:iCs/>
          <w:color w:val="FF0000"/>
          <w:sz w:val="28"/>
          <w:szCs w:val="28"/>
          <w:lang w:eastAsia="zh-CN"/>
        </w:rPr>
      </w:pP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说明可再生能源利用条件、应用形式、用途及用量</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ascii="黑体" w:hAnsi="黑体" w:eastAsia="黑体" w:cs="黑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可再生能源应用计算分析报告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6</w:t>
      </w:r>
      <w:r>
        <w:rPr>
          <w:rFonts w:hint="eastAsia" w:ascii="宋体" w:hAnsi="宋体" w:cs="宋体"/>
          <w:color w:val="auto"/>
          <w:sz w:val="28"/>
          <w:szCs w:val="28"/>
          <w:lang w:val="en-US" w:eastAsia="zh-CN"/>
        </w:rPr>
        <w:t>、</w:t>
      </w:r>
      <w:r>
        <w:rPr>
          <w:rFonts w:hint="eastAsia"/>
          <w:color w:val="auto"/>
          <w:sz w:val="28"/>
          <w:szCs w:val="28"/>
        </w:rPr>
        <w:t>绿化</w:t>
      </w:r>
      <w:r>
        <w:rPr>
          <w:rFonts w:hint="eastAsia"/>
          <w:color w:val="auto"/>
          <w:sz w:val="28"/>
          <w:szCs w:val="28"/>
          <w:lang w:val="en-US" w:eastAsia="zh-CN"/>
        </w:rPr>
        <w:t>灌溉</w:t>
      </w:r>
      <w:r>
        <w:rPr>
          <w:rFonts w:hint="eastAsia"/>
          <w:color w:val="auto"/>
          <w:sz w:val="28"/>
          <w:szCs w:val="28"/>
        </w:rPr>
        <w:t>及空调冷却水系统采用节水设备或技术</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6</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11</w:t>
      </w:r>
      <w:r>
        <w:rPr>
          <w:rFonts w:hint="eastAsia" w:ascii="宋体" w:hAnsi="宋体" w:eastAsia="宋体" w:cs="宋体"/>
          <w:i/>
          <w:iCs/>
          <w:color w:val="FF0000"/>
          <w:sz w:val="24"/>
          <w:szCs w:val="24"/>
        </w:rPr>
        <w:t>-</w:t>
      </w:r>
      <w:r>
        <w:rPr>
          <w:rFonts w:hint="eastAsia" w:ascii="宋体" w:hAnsi="宋体" w:eastAsia="Times New Roman" w:cs="宋体"/>
          <w:i/>
          <w:iCs/>
          <w:color w:val="FF0000"/>
          <w:sz w:val="24"/>
          <w:szCs w:val="24"/>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绿化灌溉及空调冷却水系统采用节水设备或技术，评价总分值为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空调冷却水系统采用节水设备或技术，并按下列规则评分：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循环冷却水系统采取设置水处理措施、加大集水盘、设置平衡管或平衡水箱等方式，避免冷却水泵停泵时冷却水溢岀，得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采用无蒸发耗水量的冷却技术，得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循环冷</w:t>
      </w:r>
      <w:r>
        <w:rPr>
          <w:rFonts w:hint="eastAsia"/>
          <w:color w:val="auto"/>
          <w:sz w:val="21"/>
          <w:szCs w:val="21"/>
        </w:rPr>
        <w:t>却系统采用的节水技术和水质处理</w:t>
      </w:r>
      <w:r>
        <w:rPr>
          <w:rFonts w:hint="eastAsia"/>
          <w:color w:val="auto"/>
          <w:sz w:val="21"/>
          <w:szCs w:val="21"/>
          <w:lang w:val="en-US" w:eastAsia="zh-CN"/>
        </w:rPr>
        <w:t>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p>
    <w:p>
      <w:p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：本暖通专篇中所有控制项满足要求，评分项得分汇总如下：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暖通专业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cs="宋体"/>
                <w:i w:val="0"/>
                <w:color w:val="auto"/>
                <w:sz w:val="20"/>
                <w:szCs w:val="20"/>
                <w:u w:val="none"/>
                <w:lang w:val="en-US" w:eastAsia="zh-CN"/>
              </w:rPr>
              <w:t>（ ）</w:t>
            </w:r>
          </w:p>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 ）</w:t>
            </w:r>
          </w:p>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7.2.8（ ）</w:t>
            </w:r>
          </w:p>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11</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 xml:space="preserve">—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jc w:val="both"/>
        <w:rPr>
          <w:rFonts w:hint="eastAsia"/>
          <w:b/>
          <w:bCs/>
          <w:color w:val="auto"/>
          <w:sz w:val="30"/>
          <w:szCs w:val="30"/>
          <w:lang w:val="en-US" w:eastAsia="zh-CN"/>
        </w:rPr>
      </w:pPr>
    </w:p>
    <w:p>
      <w:pPr>
        <w:jc w:val="both"/>
        <w:rPr>
          <w:rFonts w:hint="eastAsia"/>
          <w:b/>
          <w:bCs/>
          <w:color w:val="auto"/>
          <w:sz w:val="30"/>
          <w:szCs w:val="30"/>
          <w:lang w:val="en-US" w:eastAsia="zh-CN"/>
        </w:rPr>
      </w:pPr>
    </w:p>
    <w:p>
      <w:pPr>
        <w:jc w:val="both"/>
        <w:rPr>
          <w:rFonts w:hint="eastAsia"/>
          <w:b/>
          <w:bCs/>
          <w:color w:val="auto"/>
          <w:sz w:val="30"/>
          <w:szCs w:val="30"/>
          <w:lang w:val="en-US" w:eastAsia="zh-CN"/>
        </w:rPr>
      </w:pPr>
    </w:p>
    <w:p>
      <w:pPr>
        <w:jc w:val="both"/>
        <w:rPr>
          <w:rFonts w:hint="eastAsia"/>
          <w:b/>
          <w:bCs/>
          <w:color w:val="auto"/>
          <w:sz w:val="30"/>
          <w:szCs w:val="30"/>
          <w:lang w:val="en-US" w:eastAsia="zh-CN"/>
        </w:rPr>
      </w:pPr>
    </w:p>
    <w:p>
      <w:pPr>
        <w:pStyle w:val="4"/>
        <w:rPr>
          <w:rFonts w:hint="eastAsia"/>
          <w:color w:val="auto"/>
          <w:sz w:val="28"/>
          <w:szCs w:val="28"/>
          <w:lang w:val="en-US" w:eastAsia="zh-CN"/>
        </w:rPr>
      </w:pPr>
      <w:bookmarkStart w:id="325" w:name="_Toc20963"/>
      <w:bookmarkStart w:id="326" w:name="_Toc4973"/>
      <w:bookmarkStart w:id="327" w:name="_Toc15909"/>
      <w:bookmarkStart w:id="328" w:name="_Toc14442"/>
      <w:bookmarkStart w:id="329" w:name="_Toc28901"/>
      <w:bookmarkStart w:id="330" w:name="_Toc32251"/>
      <w:bookmarkStart w:id="331" w:name="_Toc17669"/>
      <w:bookmarkStart w:id="332" w:name="_Toc5879"/>
      <w:bookmarkStart w:id="333" w:name="_Toc7867"/>
      <w:bookmarkStart w:id="334" w:name="_Toc32648"/>
      <w:bookmarkStart w:id="335" w:name="_Toc23261"/>
      <w:bookmarkStart w:id="336" w:name="_Toc14022"/>
      <w:bookmarkStart w:id="337" w:name="_Toc29441"/>
      <w:bookmarkStart w:id="338" w:name="_Toc24678"/>
      <w:bookmarkStart w:id="339" w:name="_Toc2070"/>
      <w:bookmarkStart w:id="340" w:name="_Toc19858"/>
      <w:bookmarkStart w:id="341" w:name="_Toc3766"/>
      <w:bookmarkStart w:id="342" w:name="_Toc2618"/>
      <w:r>
        <w:rPr>
          <w:rFonts w:hint="default" w:ascii="Times New Roman" w:hAnsi="Times New Roman" w:eastAsia="Times New Roman" w:cs="Times New Roman"/>
          <w:b/>
          <w:bCs/>
          <w:color w:val="auto"/>
          <w:sz w:val="30"/>
          <w:szCs w:val="24"/>
          <w:lang w:val="en-US" w:eastAsia="zh-CN"/>
        </w:rPr>
        <w:t>4</w:t>
      </w:r>
      <w:r>
        <w:rPr>
          <w:rFonts w:hint="default" w:ascii="Times New Roman" w:hAnsi="Times New Roman" w:cs="Times New Roman"/>
          <w:b/>
          <w:bCs/>
          <w:color w:val="auto"/>
          <w:sz w:val="30"/>
          <w:szCs w:val="24"/>
          <w:lang w:val="en-US" w:eastAsia="zh-CN"/>
        </w:rPr>
        <w:t>.</w:t>
      </w:r>
      <w:r>
        <w:rPr>
          <w:rFonts w:hint="default" w:ascii="Times New Roman" w:hAnsi="Times New Roman" w:eastAsia="Times New Roman" w:cs="Times New Roman"/>
          <w:b/>
          <w:bCs/>
          <w:color w:val="auto"/>
          <w:sz w:val="30"/>
          <w:szCs w:val="24"/>
          <w:lang w:val="en-US" w:eastAsia="zh-CN"/>
        </w:rPr>
        <w:t>7</w:t>
      </w:r>
      <w:r>
        <w:rPr>
          <w:rFonts w:hint="default" w:ascii="Times New Roman" w:hAnsi="Times New Roman" w:cs="Times New Roman"/>
          <w:b/>
          <w:bCs/>
          <w:sz w:val="30"/>
          <w:szCs w:val="24"/>
          <w:lang w:val="en-US" w:eastAsia="zh-CN"/>
        </w:rPr>
        <w:t xml:space="preserve"> </w:t>
      </w:r>
      <w:r>
        <w:rPr>
          <w:rFonts w:hint="eastAsia"/>
          <w:b/>
          <w:bCs/>
          <w:sz w:val="30"/>
          <w:szCs w:val="24"/>
          <w:lang w:val="en-US" w:eastAsia="zh-CN"/>
        </w:rPr>
        <w:t xml:space="preserve"> </w:t>
      </w:r>
      <w:r>
        <w:rPr>
          <w:rFonts w:hint="default"/>
          <w:b/>
          <w:bCs/>
          <w:color w:val="auto"/>
          <w:sz w:val="30"/>
          <w:szCs w:val="24"/>
          <w:lang w:val="en-US" w:eastAsia="zh-CN"/>
        </w:rPr>
        <w:t>中山市绿色建筑设计说明专篇填写要求</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rPr>
          <w:rFonts w:hint="default" w:eastAsia="宋体"/>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必须说明内容需逐条作答，自选条文中当不选择该</w:t>
      </w:r>
      <w:r>
        <w:rPr>
          <w:rFonts w:hint="eastAsia"/>
          <w:color w:val="auto"/>
          <w:sz w:val="28"/>
          <w:szCs w:val="28"/>
        </w:rPr>
        <w:t>条文</w:t>
      </w:r>
      <w:r>
        <w:rPr>
          <w:rFonts w:hint="eastAsia"/>
          <w:color w:val="auto"/>
          <w:sz w:val="28"/>
          <w:szCs w:val="28"/>
          <w:lang w:val="en-US" w:eastAsia="zh-CN"/>
        </w:rPr>
        <w:t>作为绿建技术措施时，</w:t>
      </w:r>
      <w:r>
        <w:rPr>
          <w:rFonts w:hint="eastAsia"/>
          <w:color w:val="auto"/>
          <w:sz w:val="28"/>
          <w:szCs w:val="28"/>
        </w:rPr>
        <w:t>方框</w:t>
      </w:r>
      <w:r>
        <w:rPr>
          <w:rFonts w:hint="eastAsia"/>
          <w:color w:val="auto"/>
          <w:sz w:val="28"/>
          <w:szCs w:val="28"/>
          <w:lang w:val="en-US" w:eastAsia="zh-CN"/>
        </w:rPr>
        <w:t>中的得分情况填</w:t>
      </w:r>
      <w:r>
        <w:rPr>
          <w:rFonts w:hint="eastAsia" w:eastAsia="Times New Roman"/>
          <w:color w:val="auto"/>
          <w:sz w:val="28"/>
          <w:szCs w:val="28"/>
          <w:lang w:val="en-US" w:eastAsia="zh-CN"/>
        </w:rPr>
        <w:t>0</w:t>
      </w:r>
      <w:r>
        <w:rPr>
          <w:rFonts w:hint="eastAsia"/>
          <w:color w:val="auto"/>
          <w:sz w:val="28"/>
          <w:szCs w:val="28"/>
          <w:lang w:val="en-US" w:eastAsia="zh-CN"/>
        </w:rPr>
        <w:t>。</w:t>
      </w:r>
    </w:p>
    <w:p>
      <w:pPr>
        <w:rPr>
          <w:rFonts w:hint="eastAsia" w:eastAsia="宋体"/>
          <w:color w:val="auto"/>
          <w:sz w:val="28"/>
          <w:szCs w:val="28"/>
          <w:lang w:eastAsia="zh-CN"/>
        </w:rPr>
      </w:pPr>
      <w:r>
        <w:rPr>
          <w:rFonts w:hint="eastAsia" w:eastAsia="Times New Roman"/>
          <w:color w:val="auto"/>
          <w:sz w:val="28"/>
          <w:szCs w:val="28"/>
        </w:rPr>
        <w:t>2</w:t>
      </w:r>
      <w:r>
        <w:rPr>
          <w:rFonts w:hint="eastAsia" w:eastAsia="Times New Roman"/>
          <w:color w:val="auto"/>
          <w:sz w:val="28"/>
          <w:szCs w:val="28"/>
          <w:lang w:val="en-US" w:eastAsia="zh-CN"/>
        </w:rPr>
        <w:t>、</w:t>
      </w:r>
      <w:r>
        <w:rPr>
          <w:rFonts w:hint="eastAsia"/>
          <w:color w:val="auto"/>
          <w:sz w:val="28"/>
          <w:szCs w:val="28"/>
        </w:rPr>
        <w:t>每个章节评分项都有一个得分</w:t>
      </w:r>
      <w:r>
        <w:rPr>
          <w:rFonts w:hint="eastAsia"/>
          <w:color w:val="auto"/>
          <w:sz w:val="28"/>
          <w:szCs w:val="28"/>
          <w:lang w:val="en-US" w:eastAsia="zh-CN"/>
        </w:rPr>
        <w:t>汇总</w:t>
      </w:r>
      <w:r>
        <w:rPr>
          <w:rFonts w:hint="eastAsia"/>
          <w:color w:val="auto"/>
          <w:sz w:val="28"/>
          <w:szCs w:val="28"/>
        </w:rPr>
        <w:t>表，</w:t>
      </w:r>
      <w:r>
        <w:rPr>
          <w:rFonts w:hint="eastAsia"/>
          <w:color w:val="auto"/>
          <w:sz w:val="28"/>
          <w:szCs w:val="28"/>
          <w:lang w:val="en-US" w:eastAsia="zh-CN"/>
        </w:rPr>
        <w:t>根据</w:t>
      </w:r>
      <w:r>
        <w:rPr>
          <w:rFonts w:hint="eastAsia"/>
          <w:color w:val="auto"/>
          <w:sz w:val="28"/>
          <w:szCs w:val="28"/>
        </w:rPr>
        <w:t>项目实际得分计划填写，并在相应的条文内填写技术</w:t>
      </w:r>
      <w:r>
        <w:rPr>
          <w:rFonts w:hint="eastAsia"/>
          <w:color w:val="auto"/>
          <w:sz w:val="28"/>
          <w:szCs w:val="28"/>
          <w:lang w:val="en-US" w:eastAsia="zh-CN"/>
        </w:rPr>
        <w:t>措施</w:t>
      </w:r>
      <w:r>
        <w:rPr>
          <w:rFonts w:hint="eastAsia"/>
          <w:color w:val="auto"/>
          <w:sz w:val="28"/>
          <w:szCs w:val="28"/>
        </w:rPr>
        <w:t>说明及证明材料</w:t>
      </w:r>
      <w:r>
        <w:rPr>
          <w:rFonts w:hint="eastAsia"/>
          <w:color w:val="auto"/>
          <w:sz w:val="28"/>
          <w:szCs w:val="28"/>
          <w:lang w:eastAsia="zh-CN"/>
        </w:rPr>
        <w:t>。</w:t>
      </w:r>
    </w:p>
    <w:p>
      <w:pPr>
        <w:rPr>
          <w:rFonts w:hint="eastAsia" w:eastAsia="宋体"/>
          <w:color w:val="auto"/>
          <w:sz w:val="28"/>
          <w:szCs w:val="28"/>
          <w:lang w:eastAsia="zh-CN"/>
        </w:rPr>
      </w:pPr>
      <w:r>
        <w:rPr>
          <w:rFonts w:hint="eastAsia" w:eastAsia="Times New Roman"/>
          <w:color w:val="auto"/>
          <w:sz w:val="28"/>
          <w:szCs w:val="28"/>
        </w:rPr>
        <w:t>3</w:t>
      </w:r>
      <w:r>
        <w:rPr>
          <w:rFonts w:hint="eastAsia" w:eastAsia="Times New Roman"/>
          <w:color w:val="auto"/>
          <w:sz w:val="28"/>
          <w:szCs w:val="28"/>
          <w:lang w:val="en-US" w:eastAsia="zh-CN"/>
        </w:rPr>
        <w:t>、</w:t>
      </w:r>
      <w:r>
        <w:rPr>
          <w:rFonts w:hint="eastAsia"/>
          <w:color w:val="auto"/>
          <w:sz w:val="28"/>
          <w:szCs w:val="28"/>
        </w:rPr>
        <w:t>“</w:t>
      </w:r>
      <w:r>
        <w:rPr>
          <w:rFonts w:hint="eastAsia"/>
          <w:color w:val="auto"/>
          <w:sz w:val="28"/>
          <w:szCs w:val="28"/>
          <w:lang w:eastAsia="zh-CN"/>
        </w:rPr>
        <w:t>技术措施说明</w:t>
      </w:r>
      <w:r>
        <w:rPr>
          <w:rFonts w:hint="eastAsia"/>
          <w:color w:val="auto"/>
          <w:sz w:val="28"/>
          <w:szCs w:val="28"/>
        </w:rPr>
        <w:t>”中应简要叙述设计中的绿色建筑设计方案和技术措施，包括但不限于设计方案描述、关键参数说明和设计效果表达</w:t>
      </w:r>
      <w:r>
        <w:rPr>
          <w:rFonts w:hint="eastAsia"/>
          <w:color w:val="auto"/>
          <w:sz w:val="28"/>
          <w:szCs w:val="28"/>
          <w:lang w:eastAsia="zh-CN"/>
        </w:rPr>
        <w:t>。</w:t>
      </w:r>
    </w:p>
    <w:p>
      <w:pPr>
        <w:rPr>
          <w:rFonts w:hint="eastAsia" w:eastAsia="宋体"/>
          <w:color w:val="auto"/>
          <w:sz w:val="28"/>
          <w:szCs w:val="28"/>
          <w:lang w:eastAsia="zh-CN"/>
        </w:rPr>
      </w:pPr>
      <w:r>
        <w:rPr>
          <w:rFonts w:hint="eastAsia"/>
          <w:color w:val="auto"/>
          <w:sz w:val="28"/>
          <w:szCs w:val="28"/>
          <w:lang w:eastAsia="zh-CN"/>
        </w:rPr>
        <w:t>4、</w:t>
      </w: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rPr>
        <w:t>”中应注明支撑</w:t>
      </w:r>
      <w:r>
        <w:rPr>
          <w:rFonts w:hint="eastAsia"/>
          <w:color w:val="auto"/>
          <w:sz w:val="28"/>
          <w:szCs w:val="28"/>
          <w:lang w:val="en-US" w:eastAsia="zh-CN"/>
        </w:rPr>
        <w:t>绿色</w:t>
      </w:r>
      <w:r>
        <w:rPr>
          <w:rFonts w:hint="eastAsia"/>
          <w:color w:val="auto"/>
          <w:sz w:val="28"/>
          <w:szCs w:val="28"/>
        </w:rPr>
        <w:t>建筑设计得分的施工图图纸</w:t>
      </w:r>
      <w:r>
        <w:rPr>
          <w:rFonts w:hint="eastAsia"/>
          <w:color w:val="auto"/>
          <w:sz w:val="28"/>
          <w:szCs w:val="28"/>
          <w:lang w:val="en-US" w:eastAsia="zh-CN"/>
        </w:rPr>
        <w:t>名称及图号</w:t>
      </w:r>
      <w:r>
        <w:rPr>
          <w:rFonts w:hint="eastAsia"/>
          <w:color w:val="auto"/>
          <w:sz w:val="28"/>
          <w:szCs w:val="28"/>
          <w:lang w:eastAsia="zh-CN"/>
        </w:rPr>
        <w:t>，</w:t>
      </w:r>
      <w:r>
        <w:rPr>
          <w:rFonts w:hint="eastAsia"/>
          <w:color w:val="auto"/>
          <w:sz w:val="28"/>
          <w:szCs w:val="28"/>
          <w:lang w:val="en-US" w:eastAsia="zh-CN"/>
        </w:rPr>
        <w:t>或</w:t>
      </w:r>
      <w:r>
        <w:rPr>
          <w:rFonts w:hint="eastAsia"/>
          <w:color w:val="auto"/>
          <w:sz w:val="28"/>
          <w:szCs w:val="28"/>
        </w:rPr>
        <w:t>其它专业资料</w:t>
      </w:r>
      <w:r>
        <w:rPr>
          <w:rFonts w:hint="eastAsia"/>
          <w:color w:val="auto"/>
          <w:sz w:val="28"/>
          <w:szCs w:val="28"/>
          <w:lang w:eastAsia="zh-CN"/>
        </w:rPr>
        <w:t>（</w:t>
      </w:r>
      <w:r>
        <w:rPr>
          <w:rFonts w:hint="eastAsia"/>
          <w:color w:val="auto"/>
          <w:sz w:val="28"/>
          <w:szCs w:val="28"/>
        </w:rPr>
        <w:t>或分析报告、计算书</w:t>
      </w:r>
      <w:r>
        <w:rPr>
          <w:rFonts w:hint="eastAsia"/>
          <w:color w:val="auto"/>
          <w:sz w:val="28"/>
          <w:szCs w:val="28"/>
          <w:lang w:eastAsia="zh-CN"/>
        </w:rPr>
        <w:t>、</w:t>
      </w:r>
      <w:r>
        <w:rPr>
          <w:rFonts w:hint="eastAsia"/>
          <w:color w:val="auto"/>
          <w:sz w:val="28"/>
          <w:szCs w:val="28"/>
          <w:lang w:val="en-US" w:eastAsia="zh-CN"/>
        </w:rPr>
        <w:t>检测报告</w:t>
      </w:r>
      <w:r>
        <w:rPr>
          <w:rFonts w:hint="eastAsia"/>
          <w:color w:val="auto"/>
          <w:sz w:val="28"/>
          <w:szCs w:val="28"/>
        </w:rPr>
        <w:t>等</w:t>
      </w:r>
      <w:r>
        <w:rPr>
          <w:rFonts w:hint="eastAsia"/>
          <w:color w:val="auto"/>
          <w:sz w:val="28"/>
          <w:szCs w:val="28"/>
          <w:lang w:val="en-US" w:eastAsia="zh-CN"/>
        </w:rPr>
        <w:t>等</w:t>
      </w:r>
      <w:r>
        <w:rPr>
          <w:rFonts w:hint="eastAsia"/>
          <w:color w:val="auto"/>
          <w:sz w:val="28"/>
          <w:szCs w:val="28"/>
          <w:lang w:eastAsia="zh-CN"/>
        </w:rPr>
        <w:t>）。</w:t>
      </w:r>
      <w:r>
        <w:rPr>
          <w:rFonts w:hint="eastAsia"/>
          <w:color w:val="auto"/>
          <w:sz w:val="28"/>
          <w:szCs w:val="28"/>
          <w:lang w:val="en-US" w:eastAsia="zh-CN"/>
        </w:rPr>
        <w:t>除</w:t>
      </w:r>
      <w:r>
        <w:rPr>
          <w:rFonts w:hint="eastAsia"/>
          <w:color w:val="auto"/>
          <w:sz w:val="28"/>
          <w:szCs w:val="28"/>
        </w:rPr>
        <w:t>施工图图纸</w:t>
      </w:r>
      <w:r>
        <w:rPr>
          <w:rFonts w:hint="eastAsia"/>
          <w:color w:val="auto"/>
          <w:sz w:val="28"/>
          <w:szCs w:val="28"/>
          <w:lang w:val="en-US" w:eastAsia="zh-CN"/>
        </w:rPr>
        <w:t>外，证明材料需</w:t>
      </w:r>
      <w:r>
        <w:rPr>
          <w:rFonts w:hint="eastAsia"/>
          <w:color w:val="auto"/>
          <w:sz w:val="28"/>
          <w:szCs w:val="28"/>
        </w:rPr>
        <w:t>编制证明文件目录清单</w:t>
      </w:r>
      <w:r>
        <w:rPr>
          <w:rFonts w:hint="eastAsia"/>
          <w:color w:val="auto"/>
          <w:sz w:val="28"/>
          <w:szCs w:val="28"/>
          <w:lang w:val="en-US" w:eastAsia="zh-CN"/>
        </w:rPr>
        <w:t>并汇编成册</w:t>
      </w:r>
      <w:r>
        <w:rPr>
          <w:rFonts w:hint="eastAsia"/>
          <w:color w:val="auto"/>
          <w:sz w:val="28"/>
          <w:szCs w:val="28"/>
          <w:lang w:eastAsia="zh-CN"/>
        </w:rPr>
        <w:t>。</w:t>
      </w:r>
    </w:p>
    <w:p>
      <w:pPr>
        <w:rPr>
          <w:rFonts w:hint="eastAsia" w:eastAsia="宋体"/>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若设</w:t>
      </w:r>
      <w:r>
        <w:rPr>
          <w:rFonts w:hint="eastAsia"/>
          <w:color w:val="auto"/>
          <w:sz w:val="28"/>
          <w:szCs w:val="28"/>
        </w:rPr>
        <w:t>计图纸</w:t>
      </w:r>
      <w:r>
        <w:rPr>
          <w:rFonts w:hint="eastAsia"/>
          <w:color w:val="auto"/>
          <w:sz w:val="28"/>
          <w:szCs w:val="28"/>
          <w:lang w:val="en-US" w:eastAsia="zh-CN"/>
        </w:rPr>
        <w:t>暂</w:t>
      </w:r>
      <w:r>
        <w:rPr>
          <w:rFonts w:hint="eastAsia"/>
          <w:color w:val="auto"/>
          <w:sz w:val="28"/>
          <w:szCs w:val="28"/>
        </w:rPr>
        <w:t>不能</w:t>
      </w:r>
      <w:r>
        <w:rPr>
          <w:rFonts w:hint="eastAsia"/>
          <w:color w:val="auto"/>
          <w:sz w:val="28"/>
          <w:szCs w:val="28"/>
          <w:lang w:val="en-US" w:eastAsia="zh-CN"/>
        </w:rPr>
        <w:t>提供</w:t>
      </w:r>
      <w:r>
        <w:rPr>
          <w:rFonts w:hint="eastAsia"/>
          <w:color w:val="auto"/>
          <w:sz w:val="28"/>
          <w:szCs w:val="28"/>
          <w:lang w:eastAsia="zh-CN"/>
        </w:rPr>
        <w:t>（</w:t>
      </w:r>
      <w:r>
        <w:rPr>
          <w:rFonts w:hint="eastAsia"/>
          <w:color w:val="auto"/>
          <w:sz w:val="28"/>
          <w:szCs w:val="28"/>
        </w:rPr>
        <w:t>如</w:t>
      </w:r>
      <w:r>
        <w:rPr>
          <w:rFonts w:hint="eastAsia"/>
          <w:color w:val="auto"/>
          <w:sz w:val="28"/>
          <w:szCs w:val="28"/>
          <w:lang w:eastAsia="zh-CN"/>
        </w:rPr>
        <w:t>：</w:t>
      </w:r>
      <w:r>
        <w:rPr>
          <w:rFonts w:hint="eastAsia"/>
          <w:color w:val="auto"/>
          <w:sz w:val="28"/>
          <w:szCs w:val="28"/>
        </w:rPr>
        <w:t>景观、装修、智能化、</w:t>
      </w:r>
      <w:r>
        <w:rPr>
          <w:rFonts w:hint="eastAsia" w:ascii="宋体" w:hAnsi="宋体" w:eastAsia="宋体" w:cs="宋体"/>
          <w:sz w:val="28"/>
          <w:szCs w:val="28"/>
          <w:u w:val="none"/>
          <w:lang w:val="en-US" w:eastAsia="zh-CN"/>
        </w:rPr>
        <w:t>施工选材、标识系统</w:t>
      </w:r>
      <w:r>
        <w:rPr>
          <w:rFonts w:hint="eastAsia"/>
          <w:color w:val="auto"/>
          <w:sz w:val="28"/>
          <w:szCs w:val="28"/>
          <w:lang w:eastAsia="zh-CN"/>
        </w:rPr>
        <w:t>）</w:t>
      </w:r>
      <w:r>
        <w:rPr>
          <w:rFonts w:hint="eastAsia"/>
          <w:color w:val="auto"/>
          <w:sz w:val="28"/>
          <w:szCs w:val="28"/>
        </w:rPr>
        <w:t>，应在“</w:t>
      </w:r>
      <w:r>
        <w:rPr>
          <w:rFonts w:hint="eastAsia"/>
          <w:color w:val="auto"/>
          <w:sz w:val="28"/>
          <w:szCs w:val="28"/>
          <w:lang w:eastAsia="zh-CN"/>
        </w:rPr>
        <w:t>技术措施说明</w:t>
      </w:r>
      <w:r>
        <w:rPr>
          <w:rFonts w:hint="eastAsia"/>
          <w:color w:val="auto"/>
          <w:sz w:val="28"/>
          <w:szCs w:val="28"/>
        </w:rPr>
        <w:t>”中明确二次设计需要达到的设计指标，并在证明材料中注明证明材料为二次设计</w:t>
      </w:r>
      <w:r>
        <w:rPr>
          <w:rFonts w:hint="eastAsia"/>
          <w:color w:val="auto"/>
          <w:sz w:val="28"/>
          <w:szCs w:val="28"/>
          <w:lang w:eastAsia="zh-CN"/>
        </w:rPr>
        <w:t>达标承诺函</w:t>
      </w:r>
      <w:r>
        <w:rPr>
          <w:rFonts w:hint="eastAsia"/>
          <w:color w:val="auto"/>
          <w:sz w:val="28"/>
          <w:szCs w:val="28"/>
        </w:rPr>
        <w:t>，后期专业设计应按照本专篇填写内容落实</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设计依据</w:t>
      </w:r>
      <w:r>
        <w:rPr>
          <w:rFonts w:hint="eastAsia"/>
          <w:color w:val="auto"/>
          <w:sz w:val="28"/>
          <w:szCs w:val="28"/>
        </w:rPr>
        <w:t>为当前最新相关设计规范</w:t>
      </w:r>
      <w:r>
        <w:rPr>
          <w:rFonts w:hint="eastAsia"/>
          <w:color w:val="auto"/>
          <w:sz w:val="28"/>
          <w:szCs w:val="28"/>
          <w:lang w:eastAsia="zh-CN"/>
        </w:rPr>
        <w:t>。</w:t>
      </w:r>
    </w:p>
    <w:p>
      <w:pPr>
        <w:rPr>
          <w:rFonts w:hint="default"/>
          <w:color w:val="auto"/>
          <w:sz w:val="28"/>
          <w:szCs w:val="28"/>
          <w:lang w:val="en-US" w:eastAsia="zh-CN"/>
        </w:rPr>
      </w:pPr>
      <w:r>
        <w:rPr>
          <w:rFonts w:hint="eastAsia" w:eastAsia="Times New Roman"/>
          <w:color w:val="auto"/>
          <w:sz w:val="28"/>
          <w:szCs w:val="28"/>
          <w:lang w:val="en-US" w:eastAsia="zh-CN"/>
        </w:rPr>
        <w:t>7、</w:t>
      </w:r>
      <w:r>
        <w:rPr>
          <w:rFonts w:hint="eastAsia"/>
          <w:color w:val="auto"/>
          <w:sz w:val="28"/>
          <w:szCs w:val="28"/>
          <w:lang w:val="en-US" w:eastAsia="zh-CN"/>
        </w:rPr>
        <w:t>红色斜体字为条文原文，施工图中可删去。</w:t>
      </w:r>
    </w:p>
    <w:p>
      <w:pPr>
        <w:numPr>
          <w:ilvl w:val="0"/>
          <w:numId w:val="0"/>
        </w:numPr>
        <w:ind w:leftChars="0"/>
        <w:rPr>
          <w:rFonts w:hint="default"/>
          <w:b/>
          <w:bCs/>
          <w:color w:val="auto"/>
          <w:sz w:val="28"/>
          <w:szCs w:val="28"/>
          <w:u w:val="single"/>
          <w:lang w:val="en-US" w:eastAsia="zh-CN"/>
        </w:rPr>
      </w:pPr>
    </w:p>
    <w:p>
      <w:pPr>
        <w:numPr>
          <w:ilvl w:val="0"/>
          <w:numId w:val="0"/>
        </w:numPr>
        <w:rPr>
          <w:rFonts w:hint="default"/>
          <w:color w:val="auto"/>
          <w:sz w:val="28"/>
          <w:szCs w:val="28"/>
          <w:u w:val="none"/>
          <w:lang w:val="en-US" w:eastAsia="zh-CN"/>
        </w:rPr>
      </w:pPr>
    </w:p>
    <w:p>
      <w:pPr>
        <w:rPr>
          <w:rFonts w:hint="eastAsia" w:eastAsia="宋体"/>
          <w:color w:val="auto"/>
          <w:lang w:eastAsia="zh-CN"/>
        </w:rPr>
      </w:pPr>
    </w:p>
    <w:p>
      <w:pPr>
        <w:pStyle w:val="3"/>
        <w:rPr>
          <w:rFonts w:hint="eastAsia" w:ascii="宋体" w:hAnsi="宋体" w:eastAsia="宋体" w:cs="宋体"/>
          <w:color w:val="auto"/>
        </w:rPr>
      </w:pPr>
      <w:bookmarkStart w:id="343" w:name="_Toc6971"/>
      <w:bookmarkStart w:id="344" w:name="_Toc8474"/>
      <w:bookmarkStart w:id="345" w:name="_Toc1214"/>
      <w:bookmarkStart w:id="346" w:name="_Toc28882"/>
      <w:bookmarkStart w:id="347" w:name="_Toc10346"/>
      <w:bookmarkStart w:id="348" w:name="_Toc17875"/>
      <w:bookmarkStart w:id="349" w:name="_Toc30429"/>
      <w:bookmarkStart w:id="350" w:name="_Toc8758"/>
      <w:bookmarkStart w:id="351" w:name="_Toc24775"/>
      <w:bookmarkStart w:id="352" w:name="_Toc2711"/>
      <w:bookmarkStart w:id="353" w:name="_Toc32667"/>
      <w:bookmarkStart w:id="354" w:name="_Toc6177"/>
      <w:bookmarkStart w:id="355" w:name="_Toc1278"/>
      <w:bookmarkStart w:id="356" w:name="_Toc6478"/>
      <w:bookmarkStart w:id="357" w:name="_Toc25351"/>
      <w:bookmarkStart w:id="358" w:name="_Toc12139"/>
      <w:bookmarkStart w:id="359" w:name="_Toc21565"/>
      <w:bookmarkStart w:id="360" w:name="_Toc3510"/>
      <w:bookmarkStart w:id="361" w:name="_Toc27097"/>
      <w:bookmarkStart w:id="362" w:name="_Toc14695"/>
      <w:bookmarkStart w:id="363" w:name="_Toc26083"/>
      <w:bookmarkStart w:id="364" w:name="_Toc31614"/>
      <w:bookmarkStart w:id="365" w:name="_Toc10242"/>
      <w:r>
        <w:rPr>
          <w:rFonts w:hint="eastAsia"/>
        </w:rPr>
        <w:t>附录</w:t>
      </w:r>
      <w:r>
        <w:rPr>
          <w:rFonts w:hint="eastAsia"/>
          <w:lang w:val="en-US" w:eastAsia="zh-CN"/>
        </w:rPr>
        <w:t>A</w:t>
      </w:r>
      <w:r>
        <w:rPr>
          <w:rFonts w:hint="eastAsia"/>
        </w:rPr>
        <w:t xml:space="preserve"> </w:t>
      </w:r>
      <w:bookmarkEnd w:id="343"/>
      <w:bookmarkEnd w:id="344"/>
      <w:bookmarkEnd w:id="345"/>
      <w:bookmarkEnd w:id="346"/>
      <w:bookmarkEnd w:id="347"/>
      <w:r>
        <w:rPr>
          <w:rFonts w:hint="eastAsia"/>
        </w:rPr>
        <w:t>绿色建筑性能评价申报材料清单</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28"/>
        <w:gridCol w:w="5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color w:val="auto"/>
                <w:kern w:val="0"/>
                <w:sz w:val="24"/>
                <w:szCs w:val="24"/>
                <w:u w:val="none"/>
                <w:lang w:val="en-US" w:eastAsia="zh-CN" w:bidi="ar"/>
              </w:rPr>
              <w:t>材料类别</w:t>
            </w:r>
          </w:p>
        </w:tc>
        <w:tc>
          <w:tcPr>
            <w:tcW w:w="172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color w:val="auto"/>
                <w:kern w:val="0"/>
                <w:sz w:val="24"/>
                <w:szCs w:val="24"/>
                <w:u w:val="none"/>
                <w:lang w:val="en-US" w:eastAsia="zh-CN" w:bidi="ar"/>
              </w:rPr>
              <w:t>材料名称</w:t>
            </w:r>
          </w:p>
        </w:tc>
        <w:tc>
          <w:tcPr>
            <w:tcW w:w="53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color w:val="auto"/>
                <w:kern w:val="0"/>
                <w:sz w:val="24"/>
                <w:szCs w:val="24"/>
                <w:u w:val="none"/>
                <w:lang w:val="en-US" w:eastAsia="zh-CN" w:bidi="ar"/>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基础材料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项目审批文件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土地使用证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立项批复文件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规划许可证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施工许可证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 xml:space="preserve"> 施工图审查证明文件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 xml:space="preserve"> 绿色建筑专项竣工验收文件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rPr>
            </w:pPr>
            <w:r>
              <w:rPr>
                <w:rFonts w:hint="eastAsia" w:ascii="宋体" w:hAnsi="宋体" w:eastAsia="Times New Roman"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 xml:space="preserve"> 项目竣工验收（备案）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建设单位文件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建设单位简介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建设单位营业执照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开发资质证明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申报声明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设计单位文件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设计单位简介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设计单位资质证书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设计图纸内容确认声明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施工单位文件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施工单位简介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施工单位资质证书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竣工图纸内容确认声明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其他文件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申报声明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申报书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自评估报告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图纸材料及相关</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相关图纸</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项目区位图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场地地形图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建筑总平面竣工图和场地竖向设计竣工图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建筑竣工图与设计说明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 xml:space="preserve"> 结构竣工图与设计说明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 xml:space="preserve"> 电气专业相关竣工图纸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 xml:space="preserve"> 暖通空调竣工图与设计说明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8</w:t>
            </w:r>
            <w:r>
              <w:rPr>
                <w:rFonts w:hint="eastAsia" w:ascii="宋体" w:hAnsi="宋体" w:eastAsia="宋体" w:cs="宋体"/>
                <w:i w:val="0"/>
                <w:color w:val="auto"/>
                <w:kern w:val="0"/>
                <w:sz w:val="24"/>
                <w:szCs w:val="24"/>
                <w:u w:val="none"/>
                <w:lang w:val="en-US" w:eastAsia="zh-CN" w:bidi="ar"/>
              </w:rPr>
              <w:t xml:space="preserve"> 给排水竣工图及设计说明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9</w:t>
            </w:r>
            <w:r>
              <w:rPr>
                <w:rFonts w:hint="eastAsia" w:ascii="宋体" w:hAnsi="宋体" w:eastAsia="宋体" w:cs="宋体"/>
                <w:i w:val="0"/>
                <w:color w:val="auto"/>
                <w:kern w:val="0"/>
                <w:sz w:val="24"/>
                <w:szCs w:val="24"/>
                <w:u w:val="none"/>
                <w:lang w:val="en-US" w:eastAsia="zh-CN" w:bidi="ar"/>
              </w:rPr>
              <w:t xml:space="preserve"> 室外景观园林平面竣工图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10</w:t>
            </w:r>
            <w:r>
              <w:rPr>
                <w:rFonts w:hint="eastAsia" w:ascii="宋体" w:hAnsi="宋体" w:eastAsia="宋体" w:cs="宋体"/>
                <w:i w:val="0"/>
                <w:color w:val="auto"/>
                <w:kern w:val="0"/>
                <w:sz w:val="24"/>
                <w:szCs w:val="24"/>
                <w:u w:val="none"/>
                <w:lang w:val="en-US" w:eastAsia="zh-CN" w:bidi="ar"/>
              </w:rPr>
              <w:t xml:space="preserve"> 岩土勘察报告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11</w:t>
            </w:r>
            <w:r>
              <w:rPr>
                <w:rFonts w:hint="eastAsia" w:ascii="宋体" w:hAnsi="宋体" w:eastAsia="宋体" w:cs="宋体"/>
                <w:i w:val="0"/>
                <w:color w:val="auto"/>
                <w:kern w:val="0"/>
                <w:sz w:val="24"/>
                <w:szCs w:val="24"/>
                <w:u w:val="none"/>
                <w:lang w:val="en-US" w:eastAsia="zh-CN" w:bidi="ar"/>
              </w:rPr>
              <w:t xml:space="preserve"> 环评报告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12</w:t>
            </w:r>
            <w:r>
              <w:rPr>
                <w:rFonts w:hint="eastAsia" w:ascii="宋体" w:hAnsi="宋体" w:eastAsia="宋体" w:cs="宋体"/>
                <w:color w:val="auto"/>
                <w:sz w:val="24"/>
                <w:szCs w:val="24"/>
                <w:vertAlign w:val="baseline"/>
                <w:lang w:val="en-US" w:eastAsia="zh-CN"/>
              </w:rPr>
              <w:t xml:space="preserve"> 竣工验收合格证明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13</w:t>
            </w:r>
            <w:r>
              <w:rPr>
                <w:rFonts w:hint="eastAsia" w:ascii="宋体" w:hAnsi="宋体" w:eastAsia="宋体" w:cs="宋体"/>
                <w:color w:val="auto"/>
                <w:sz w:val="24"/>
                <w:szCs w:val="24"/>
                <w:vertAlign w:val="baseline"/>
                <w:lang w:val="en-US" w:eastAsia="zh-CN"/>
              </w:rPr>
              <w:t xml:space="preserve"> 建筑门窗（幕墙）竣工图纸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14</w:t>
            </w:r>
            <w:r>
              <w:rPr>
                <w:rFonts w:hint="eastAsia" w:ascii="宋体" w:hAnsi="宋体" w:eastAsia="宋体" w:cs="宋体"/>
                <w:color w:val="auto"/>
                <w:sz w:val="24"/>
                <w:szCs w:val="24"/>
                <w:vertAlign w:val="baseline"/>
                <w:lang w:val="en-US" w:eastAsia="zh-CN"/>
              </w:rPr>
              <w:t xml:space="preserve"> 建筑智能化竣工图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15</w:t>
            </w:r>
            <w:r>
              <w:rPr>
                <w:rFonts w:hint="eastAsia" w:ascii="宋体" w:hAnsi="宋体" w:eastAsia="宋体" w:cs="宋体"/>
                <w:color w:val="auto"/>
                <w:sz w:val="24"/>
                <w:szCs w:val="24"/>
                <w:vertAlign w:val="baseline"/>
                <w:lang w:val="en-US" w:eastAsia="zh-CN"/>
              </w:rPr>
              <w:t xml:space="preserve"> 建筑外装修竣工图及设计说明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控制项 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安全耐久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节能计算书、围护结构防结露验算报告、围护结构隔热性能验算报告、围护结构内部冷凝验算报告。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相关主要结构用材料的检测报告。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运营管理记录，应包括定期查验记录与维修记录。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建筑构件、外部设施的维修及管理记录。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关键构件计算书。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门窗计算书。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施工工法说明文件。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门窗水密、抗风压性能检测报告。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防水、防潮相关材料的检测报告。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紧急疏散、应急救护的相关管理制度。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81" w:type="dxa"/>
            <w:vMerge w:val="continue"/>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rPr>
            </w:pPr>
          </w:p>
        </w:tc>
        <w:tc>
          <w:tcPr>
            <w:tcW w:w="1728" w:type="dxa"/>
            <w:vMerge w:val="continue"/>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紧急疏散、应急救护的相关教育宣传记录、应提供影像资料。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标识系统的设计与设置说明文件。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健康舒适</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选用装修材料的种类、用量及相关检测报告。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室内空气质量检测报告。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禁烟标志设置情况。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室内气流组织模拟分析报告。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防排气倒灌措施相关的产品性能检测报告。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地漏、自带水封便器、水箱、消毒用品、消毒器具的产品说明书。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各用水部门的水质检测报告。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清洗消毒管理制度和工作记录。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噪声分析报告、室内噪声级检测报告（典型时间、主要功能房间）、构件隔声性能检测报告。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照</w:t>
            </w:r>
            <w:r>
              <w:rPr>
                <w:rFonts w:hint="eastAsia" w:ascii="宋体" w:hAnsi="宋体" w:cs="宋体"/>
                <w:i w:val="0"/>
                <w:color w:val="auto"/>
                <w:kern w:val="0"/>
                <w:sz w:val="24"/>
                <w:szCs w:val="24"/>
                <w:u w:val="none"/>
                <w:lang w:val="en-US" w:eastAsia="zh-CN" w:bidi="ar"/>
              </w:rPr>
              <w:t>度</w:t>
            </w:r>
            <w:r>
              <w:rPr>
                <w:rFonts w:hint="eastAsia" w:ascii="宋体" w:hAnsi="宋体" w:eastAsia="宋体" w:cs="宋体"/>
                <w:i w:val="0"/>
                <w:color w:val="auto"/>
                <w:kern w:val="0"/>
                <w:sz w:val="24"/>
                <w:szCs w:val="24"/>
                <w:u w:val="none"/>
                <w:lang w:val="en-US" w:eastAsia="zh-CN" w:bidi="ar"/>
              </w:rPr>
              <w:t>计算书；照明产品说明书和产品型式检验报告；现场照度检测报告。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典型房间在使用空调期间的室内温湿度检测报告、室内二氧化碳浓度检测报告。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生活便利</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无障碍设计重点部位的实景照片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场地周边公共交通设施布局图，应标出场地到达公交站点的步行线路、距离，接驳车的路线以及到达公交站点的距离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提供接驳车服务的，需提供相关落实情况的证明材料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自行车库/棚及附属设施竣工图，应自行车停车措施、管理办法等证明材料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机动车停车设施现场照片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所在地不适宜使用自行车的说明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建筑设备监控系统的竣工验收文件，应包含分项工程质量验收记录、调试记录等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建筑设备监控系统的运行记录，应至少包括六个月的运行记录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信息网络系统供应服务合同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信息网络系统架构及铺设相关竣工验收文件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信息网络系统相关装修图纸，应体现信息网络系统的设置和功能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信息网络系统的运行记录：应至少包括一个月的运行记录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资源节约</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幕墙热工性能计算书（若为幕墙体系），当地建筑节能审查相关文件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节能工程验收记录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部分负荷性能系数（IPLV）计算书、电冷源综合制冷性能系数（SCOP）计算书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暖通系统能耗监测记录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建筑各功能空间温湿度检测报告，数据应覆盖三个季度（夏季、冬季、过渡季），且连续数据不少于两周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灯具产品说明书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照明功率密度检测报告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计量表的产品采购清单及产品说明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与分项计量相关的竣工验收记录、现场检查记录、运行调试记录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电梯工程竣工验收报告、电梯及扶梯订货清单及产品资料、电梯产品性能检测报告、电梯运维、检测记录，至少包含一年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水资源利用方案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节水器具、设备和系统的产品说明书、用水器具产品节水性能检测报告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建筑形体规则性判定报告、结构专项论证报告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建筑工程造价结算书、装饰性构件造价比例计算书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建筑材料、预拌混凝土、预拌砂浆的购销合同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工程决算材料清单，本地化材料使用比例计算文件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环境宜居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日照模拟分析报告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周边建筑的日照情况调研结果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场地热环境计算报告或热岛模拟报告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苗木采购清单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雨水控制利用专项规划设计文件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标识系统设计文件及竣工图，应体现标识种类设置和具体位置分布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与污染源相关的各专业竣工图及设计说明，运行管理记录、定期检测记录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垃圾管理制度，应明确对可回收垃圾、厨余垃圾、有害垃圾等进行分类收集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垃圾收集处理记录：应提供每月垃圾处理情况，包括类型、处理的数量等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垃圾收集容器或收集站（点）现场照片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评分项 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安全耐久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结构计算书。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抗震性能分析报告或抗震设计专篇。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隔震设施、消能减震构件的检测检验报告。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安全防护专项报告。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安全玻璃及门窗检测检验报告。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建筑适变性提升措施的专项设计说明。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耐久性好的建筑结构材料使用情况统计，应提供相关产品说明、检测报告以及建筑结构材料的决算清单。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材料性能检测报告、采购文件。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健康舒适</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室内空气污染物浓度预评估分析报告或检测报告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PM</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、PM</w:t>
            </w:r>
            <w:r>
              <w:rPr>
                <w:rFonts w:hint="eastAsia" w:ascii="宋体" w:hAnsi="宋体" w:eastAsia="Times New Roman" w:cs="宋体"/>
                <w:color w:val="auto"/>
                <w:sz w:val="24"/>
                <w:szCs w:val="24"/>
                <w:vertAlign w:val="baseline"/>
                <w:lang w:val="en-US" w:eastAsia="zh-CN"/>
              </w:rPr>
              <w:t>10</w:t>
            </w:r>
            <w:r>
              <w:rPr>
                <w:rFonts w:hint="eastAsia" w:ascii="宋体" w:hAnsi="宋体" w:eastAsia="宋体" w:cs="宋体"/>
                <w:color w:val="auto"/>
                <w:sz w:val="24"/>
                <w:szCs w:val="24"/>
                <w:vertAlign w:val="baseline"/>
                <w:lang w:val="en-US" w:eastAsia="zh-CN"/>
              </w:rPr>
              <w:t>浓度计算报告，应包含原始监测数据。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绿色产品认证证书。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水处理设备竣工图及运营使用情况。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生活饮用水储水设施设备材料采购清单、成品水箱产品说明书。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生活饮用水储水设施清洗消毒后的水质检测报告及清洗消毒记录。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设备、设施相关标识设置说明。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vertAlign w:val="baseline"/>
                <w:lang w:val="en-US" w:eastAsia="zh-CN"/>
              </w:rPr>
              <w:t>构件隔声性能检测报告。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噪声分析报告，应包括室外噪声源类型、场地环境噪声测试结果以及防护降噪措施等；室内噪声级检测报告（典型时间、主要功能房间）。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动态采光计算书、采光系数及面积比例计算书。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室内温度模拟分析报告和舒适温度预计达标比例分析报告。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预计达标比例计算报告或室内热湿环境实测值及PMV和PPD达标比例计算报告。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住宅建筑外窗可开启面积比例计算书、公共建筑室内自然通风模拟分析报告。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室内自然通风优化模拟分析报告：应体现优化前后的通风效果对比。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遮阳设计图纸及设计说明、可调节遮阳设施的面积占外窗透明部分比例计算书，应包含可调节遮阳形式说明、控制措施、可调遮阳覆盖率计算过程及结论，并且应对建筑透明围护结构总面积，有太阳直射部分的面积、以及采取可调节遮阳措施的面积进行分项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遮阳装置产品说明书、招标文件、采购合同。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生活便利</w:t>
            </w:r>
          </w:p>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无障碍电梯相关证明材料，应包括无障碍电梯的图纸及相关设计说明、产品使用说明书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项目内或建筑内向社会开放的公共服务功能或公共活动空间的开放管理制度、工作记录等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能源管理系统使用和维护的管理制度、历史检测数据、运行记录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空气质量监测系统相关的竣工图及设计说明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空气质量监测系统设备的产品性能检测报告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空气质量监测系统的操作管理制度、历史监测数据及运行记录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远传水表、水质监测设备的产品型式检验报告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远传计量及水质在线监测运行记录文件，应包括管理制度、历史监测数据；分类、分项计量记录及统计分析报告；管网漏损自动检测分析记录和整改报告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智能化服务平台与智慧城市（城区、社区）的对接情况说明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智能化设备产品说明书或检测报告：应包括相关设备完整介绍及操作手册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智能化服务系统监测数据和运行记录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节能、节水、节材、绿化的操作规程、应急预案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物业管理机构的工作考核体系，应明确业绩与节约能源资源的关系及具体奖励方式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建筑平均日用水量计算书，应包括实际用水单位数量统计等运行记录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绿色建筑运营效果评估的技术方案和实施计划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公共设施设备的定期检查管理制度文件以及检查、调试、运行、标定记录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定期开展节能诊断评估的物业管理制度文件以及实施记录，应明确项目所处的节能水平、优化潜力、优化目标、实施措施和实施效果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定期开展各类用水水质监测、公示的管理制度文件以及实施记录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绿色教育宣传工作记录，应明确内容、时间、地点、宣传对象和宣传效果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绿色设施使用手册，除绿色硬件设施外，还应包括绿色生活等主观行为内容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使用者满意度调查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宣传活动现场照片或录像等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资源节约</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用地指标计算书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地下空间利用计算书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地面停车率计算书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供暖空调全年计算负荷报告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冷热源机组采购清单、产品说明书、产品型式性能检测报告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风机及水泵的产品性能检测报告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风机的单位风量耗功率、空调冷热水系统的耗电输冷（热）比、集中供暖系统热水循环泵的耗电输热比计算书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电气设备能效等级分析报告、电气设备的产品说明书或检测报告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暖通空调能耗模拟计算书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建筑能耗记录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可再生能源利用专项竣工文件及竣工验收记录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可再生能源产品说明书或性能检测报告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可再生能源应用分析报告，应包含用量、经济性、运行维护情况等内容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照明能耗模拟计算书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绿色灌溉系统竣工图纸，应包含绿化灌溉系统设计说明、灌溉平面图、节水灌溉设备材料表：节水灌溉设备产品说明书、产品节水性能检测报告等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景观水体补水量记录、水质检测报告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非传统水源利用专项竣工验收文件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非传统水源利用率计算书，应包括连续一年的运行数据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土建各专业竣工图及设计说明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装修过程和竣工后的影像文件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高强钢筋、高强混凝土、高强钢材、螺栓连接点等材料用量比例计算书、材料决算清单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卫生器具相关产品说明、产品检测报告等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与免支模的楼板相关的施工记录文件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工业化内装部品应用情况报告，应包含部品类型、用量及比例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可再循环材料和可再利用材料用量计算书、利废材料选用计算书、利废材料产品检测报告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绿色建材应用比例计算分析报告、绿色建材标识证书、相关产品性能检测报告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环境宜居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保护或修复场地生态环境的专项报告，应包括实施计划、施工过程和记录、影像资料等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雨水外排控制专项规划设计实施文件，应包含年径流总量控制率计算书、设计控制雨量计算书、场地雨水综合利用方案等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人均公共绿地面积计算书，应体现公共绿地的位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置、面积分析和清单列表，以及计算结果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体现绿地向社会公众开放的相关文件，应包括设计理念、具体措施及运行管理记录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室外吸烟区设置专项报告，应包含位置说明、距离说明、标识设置情况以及运营管理记录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玻璃幕墙专项验收报告、玻璃幕墙光污染分析专项报告、玻璃进场复验报告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室外夜景照明光污染分析报告，应包含景观照明专项验收文件、灯具进场复验报告等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室外风环境模拟分析报告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路面太阳辐射反射分析报告、路面涂装材料产品说明及检测报告、场地内道路验收记录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屋面太阳辐射反射分析报告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场地铺装图纸及设计说明、透水铺装比例计算书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创新项 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供暖空调系统能耗的实际运行记录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方案设计及传承建筑文化的专项论证报告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旧建筑利用专项报告、结构检测报告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绿容率计算书或植被叶面积测量报告、当地叶面积调研数据相关证明材料等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预制构件应用比例计算书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BIM技术应用报告，应包括使用的软件、模型的建立情况及截图，应用范围及效果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碳排放计算分析报告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降低建筑碳排放具体措施的证明文件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获得绿色施工优良等级或绿色施工示范工程认定的证明文件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模板工程施工方案、免粉刷混凝土墙体的施工方案、技术交底文件、施工单位统计计算的免粉刷混凝土墙体占比、施工现场照片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建设工程质量保险产品保单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创新措施及相关的应用文件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创新措施的分析论证报告及相关证明材料</w:t>
            </w:r>
          </w:p>
        </w:tc>
      </w:tr>
    </w:tbl>
    <w:p>
      <w:pPr>
        <w:rPr>
          <w:rFonts w:hint="eastAsia" w:ascii="宋体" w:hAnsi="宋体" w:cs="宋体"/>
          <w:color w:val="auto"/>
          <w:sz w:val="30"/>
          <w:szCs w:val="30"/>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spacing w:line="560" w:lineRule="exact"/>
        <w:jc w:val="center"/>
        <w:outlineLvl w:val="0"/>
        <w:rPr>
          <w:rFonts w:hint="default" w:ascii="Times New Roman" w:hAnsi="Times New Roman" w:cs="Times New Roman"/>
          <w:b/>
          <w:color w:val="auto"/>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both"/>
        <w:outlineLvl w:val="0"/>
        <w:rPr>
          <w:rFonts w:hint="default" w:ascii="Times New Roman" w:hAnsi="Times New Roman" w:cs="Times New Roman"/>
          <w:b/>
          <w:sz w:val="32"/>
          <w:szCs w:val="32"/>
        </w:rPr>
      </w:pPr>
    </w:p>
    <w:p>
      <w:pPr>
        <w:pStyle w:val="3"/>
        <w:jc w:val="center"/>
        <w:rPr>
          <w:rFonts w:hint="eastAsia"/>
          <w:lang w:val="en-US" w:eastAsia="zh-CN"/>
        </w:rPr>
      </w:pPr>
      <w:bookmarkStart w:id="366" w:name="_Toc7598"/>
      <w:bookmarkStart w:id="367" w:name="_Toc9867"/>
      <w:bookmarkStart w:id="368" w:name="_Toc15078"/>
      <w:bookmarkStart w:id="369" w:name="_Toc25041"/>
      <w:bookmarkStart w:id="370" w:name="_Toc12328"/>
      <w:bookmarkStart w:id="371" w:name="_Toc2650"/>
      <w:bookmarkStart w:id="372" w:name="_Toc5240"/>
      <w:bookmarkStart w:id="373" w:name="_Toc3821"/>
      <w:bookmarkStart w:id="374" w:name="_Toc10366"/>
      <w:bookmarkStart w:id="375" w:name="_Toc21297"/>
      <w:bookmarkStart w:id="376" w:name="_Toc14066"/>
      <w:bookmarkStart w:id="377" w:name="_Toc23861"/>
      <w:bookmarkStart w:id="378" w:name="_Toc17099"/>
      <w:bookmarkStart w:id="379" w:name="_Toc13916"/>
      <w:bookmarkStart w:id="380" w:name="_Toc30810"/>
      <w:bookmarkStart w:id="381" w:name="_Toc17924"/>
      <w:bookmarkStart w:id="382" w:name="_Toc31947"/>
      <w:bookmarkStart w:id="383" w:name="_Toc19540"/>
      <w:r>
        <w:rPr>
          <w:rFonts w:hint="eastAsia"/>
          <w:lang w:val="en-US" w:eastAsia="zh-CN"/>
        </w:rPr>
        <w:t>附录B 一星级绿色建筑各专业推荐得分条文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273"/>
        <w:gridCol w:w="5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条文号</w:t>
            </w:r>
          </w:p>
        </w:tc>
        <w:tc>
          <w:tcPr>
            <w:tcW w:w="5552"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场地与公共交通站点联系便捷。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3</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提供便利的公共服务。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3</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充分利用场地空间设置绿化用地。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8</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场地内风环境有利于室外行走、活动舒适和建筑的自然通风。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7</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主要功能房间的隔声性能良好。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10</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优化建筑空间和平面布局，改善自然通风效果。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建筑室内外公共区域满足全龄化设计要求。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合理开发利用地下空间。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3</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采用机械式停车设施、地下停车库或地面停车楼等方式。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7</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建筑及照明设计避免产生光污染。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结构</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合理选用建筑结构材料与构件。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给排水</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4</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生活饮用水水池、水箱等储水设施采取措施满足卫生要求。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所有给排水水管道、设备、设施设置明确、清晰的永久性标识。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10</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使用较高用水效率等级的卫生器具。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绿化灌溉采用节水设备或技术。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规划场地地表和屋面雨水径流，对场地雨水实施外排总量控制。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利用场地空间设置绿色雨水基础设施。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暖通</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供暖空调系统的冷、热源机组能效均优于现行国家标准《公共建筑节能设计标准》GB </w:t>
            </w:r>
            <w:r>
              <w:rPr>
                <w:rFonts w:hint="eastAsia" w:ascii="宋体" w:hAnsi="宋体" w:eastAsia="Times New Roman" w:cs="宋体"/>
                <w:sz w:val="24"/>
                <w:szCs w:val="24"/>
                <w:vertAlign w:val="baseline"/>
                <w:lang w:val="en-US" w:eastAsia="zh-CN"/>
              </w:rPr>
              <w:t>50189</w:t>
            </w:r>
            <w:r>
              <w:rPr>
                <w:rFonts w:hint="eastAsia" w:ascii="宋体" w:hAnsi="宋体" w:eastAsia="宋体" w:cs="宋体"/>
                <w:sz w:val="24"/>
                <w:szCs w:val="24"/>
                <w:vertAlign w:val="baseline"/>
                <w:lang w:val="en-US" w:eastAsia="zh-CN"/>
              </w:rPr>
              <w:t>的规定以及现行有关国家标准能效限定值的要求。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空调冷却水系统采用节水设备或技术。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电气</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4</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步行和自行车交通系统有充足照明。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7</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采用节能型电气设备及节能控制措施。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景观</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建筑室内外公共区域满足全龄化设计要求。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绿化灌溉采用节水设备或技术。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结合雨水综合利用设施营造室外景观水体，室外景观水体利用雨水的补水量大于水体蒸发量的</w:t>
            </w:r>
            <w:r>
              <w:rPr>
                <w:rFonts w:hint="eastAsia" w:ascii="宋体" w:hAnsi="宋体" w:eastAsia="Times New Roman" w:cs="宋体"/>
                <w:sz w:val="24"/>
                <w:szCs w:val="24"/>
                <w:vertAlign w:val="baseline"/>
                <w:lang w:val="en-US" w:eastAsia="zh-CN"/>
              </w:rPr>
              <w:t>60</w:t>
            </w:r>
            <w:r>
              <w:rPr>
                <w:rFonts w:hint="eastAsia" w:ascii="宋体" w:hAnsi="宋体" w:eastAsia="宋体" w:cs="宋体"/>
                <w:sz w:val="24"/>
                <w:szCs w:val="24"/>
                <w:vertAlign w:val="baseline"/>
                <w:lang w:val="en-US" w:eastAsia="zh-CN"/>
              </w:rPr>
              <w:t>%，且采用保障水体水质的生态水处理技术。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4</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室外吸烟区位置布局合理。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利用场地空间设置绿色雨水基础设施。</w:t>
            </w:r>
          </w:p>
        </w:tc>
      </w:tr>
    </w:tbl>
    <w:p>
      <w:pPr>
        <w:pStyle w:val="3"/>
        <w:jc w:val="center"/>
        <w:rPr>
          <w:rFonts w:hint="default"/>
          <w:lang w:val="en-US" w:eastAsia="zh-CN"/>
        </w:rPr>
      </w:pPr>
      <w:bookmarkStart w:id="384" w:name="_Toc10961"/>
      <w:bookmarkStart w:id="385" w:name="_Toc7058"/>
      <w:bookmarkStart w:id="386" w:name="_Toc4872"/>
      <w:bookmarkStart w:id="387" w:name="_Toc19476"/>
      <w:bookmarkStart w:id="388" w:name="_Toc25695"/>
      <w:bookmarkStart w:id="389" w:name="_Toc18943"/>
      <w:bookmarkStart w:id="390" w:name="_Toc9409"/>
      <w:bookmarkStart w:id="391" w:name="_Toc6805"/>
      <w:bookmarkStart w:id="392" w:name="_Toc3894"/>
      <w:bookmarkStart w:id="393" w:name="_Toc6552"/>
      <w:bookmarkStart w:id="394" w:name="_Toc16107"/>
      <w:bookmarkStart w:id="395" w:name="_Toc25468"/>
      <w:bookmarkStart w:id="396" w:name="_Toc23199"/>
      <w:bookmarkStart w:id="397" w:name="_Toc30141"/>
      <w:bookmarkStart w:id="398" w:name="_Toc24680"/>
      <w:bookmarkStart w:id="399" w:name="_Toc6315"/>
      <w:bookmarkStart w:id="400" w:name="_Toc21063"/>
      <w:bookmarkStart w:id="401" w:name="_Toc20683"/>
      <w:r>
        <w:rPr>
          <w:rFonts w:hint="eastAsia"/>
          <w:lang w:val="en-US" w:eastAsia="zh-CN"/>
        </w:rPr>
        <w:t>附录</w:t>
      </w:r>
      <w:r>
        <w:rPr>
          <w:rFonts w:hint="eastAsia"/>
          <w:lang w:val="en-US" w:eastAsia="zh-CN"/>
        </w:rPr>
        <w:tab/>
      </w:r>
      <w:r>
        <w:rPr>
          <w:rFonts w:hint="eastAsia"/>
          <w:lang w:val="en-US" w:eastAsia="zh-CN"/>
        </w:rPr>
        <w:t>C 二次专项设计执行绿色建筑标准的承诺函</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（施工图</w:t>
      </w:r>
      <w:r>
        <w:rPr>
          <w:rFonts w:hint="eastAsia" w:ascii="宋体" w:hAnsi="宋体" w:eastAsia="宋体" w:cs="宋体"/>
          <w:sz w:val="28"/>
          <w:szCs w:val="28"/>
          <w:u w:val="single"/>
          <w:lang w:val="en-US" w:eastAsia="zh-CN"/>
        </w:rPr>
        <w:t>审</w:t>
      </w:r>
      <w:r>
        <w:rPr>
          <w:rFonts w:hint="eastAsia" w:ascii="宋体" w:hAnsi="宋体" w:cs="宋体"/>
          <w:sz w:val="28"/>
          <w:szCs w:val="28"/>
          <w:u w:val="single"/>
          <w:lang w:val="en-US" w:eastAsia="zh-CN"/>
        </w:rPr>
        <w:t>查</w:t>
      </w:r>
      <w:r>
        <w:rPr>
          <w:rFonts w:hint="eastAsia" w:ascii="宋体" w:hAnsi="宋体" w:eastAsia="宋体" w:cs="宋体"/>
          <w:sz w:val="28"/>
          <w:szCs w:val="28"/>
          <w:u w:val="single"/>
          <w:lang w:val="en-US" w:eastAsia="zh-CN"/>
        </w:rPr>
        <w:t>机构</w:t>
      </w:r>
      <w:r>
        <w:rPr>
          <w:rFonts w:hint="eastAsia" w:ascii="宋体" w:hAnsi="宋体" w:cs="宋体"/>
          <w:sz w:val="28"/>
          <w:szCs w:val="28"/>
          <w:u w:val="single"/>
          <w:lang w:val="en-US" w:eastAsia="zh-CN"/>
        </w:rPr>
        <w:t>）</w:t>
      </w:r>
      <w:r>
        <w:rPr>
          <w:rFonts w:hint="eastAsia" w:ascii="宋体" w:hAnsi="宋体" w:eastAsia="宋体" w:cs="宋体"/>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我单位送审的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项目，因</w:t>
      </w:r>
      <w:r>
        <w:rPr>
          <w:rFonts w:hint="eastAsia" w:ascii="宋体" w:hAnsi="宋体" w:eastAsia="宋体" w:cs="宋体"/>
          <w:sz w:val="28"/>
          <w:szCs w:val="28"/>
          <w:u w:val="single"/>
          <w:lang w:val="en-US" w:eastAsia="zh-CN"/>
        </w:rPr>
        <w:t>景观、智能化、装修、施工选材、标识系统</w:t>
      </w:r>
      <w:r>
        <w:rPr>
          <w:rFonts w:hint="eastAsia" w:ascii="宋体" w:hAnsi="宋体" w:eastAsia="宋体" w:cs="宋体"/>
          <w:sz w:val="28"/>
          <w:szCs w:val="28"/>
          <w:u w:val="none"/>
          <w:lang w:val="en-US" w:eastAsia="zh-CN"/>
        </w:rPr>
        <w:t>等专项设计文件未完成，无法提交相关绿色建筑指标的证明材料，现承诺专项设计文件中以下设计内容将达到绿色建筑指标要求。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335"/>
        <w:gridCol w:w="2565"/>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专业</w:t>
            </w:r>
          </w:p>
        </w:tc>
        <w:tc>
          <w:tcPr>
            <w:tcW w:w="1335"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条</w:t>
            </w:r>
            <w:r>
              <w:rPr>
                <w:rFonts w:hint="eastAsia" w:ascii="宋体" w:hAnsi="宋体" w:cs="宋体"/>
                <w:sz w:val="28"/>
                <w:szCs w:val="28"/>
                <w:u w:val="none"/>
                <w:vertAlign w:val="baseline"/>
                <w:lang w:val="en-US" w:eastAsia="zh-CN"/>
              </w:rPr>
              <w:t>文</w:t>
            </w:r>
            <w:r>
              <w:rPr>
                <w:rFonts w:hint="eastAsia" w:ascii="宋体" w:hAnsi="宋体" w:eastAsia="宋体" w:cs="宋体"/>
                <w:sz w:val="28"/>
                <w:szCs w:val="28"/>
                <w:u w:val="none"/>
                <w:vertAlign w:val="baseline"/>
                <w:lang w:val="en-US" w:eastAsia="zh-CN"/>
              </w:rPr>
              <w:t>号</w:t>
            </w:r>
          </w:p>
        </w:tc>
        <w:tc>
          <w:tcPr>
            <w:tcW w:w="2565"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承诺设计文件</w:t>
            </w:r>
          </w:p>
        </w:tc>
        <w:tc>
          <w:tcPr>
            <w:tcW w:w="3031"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承诺达到的设计标准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景观</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智能化</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装修</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标识系统</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我单位将在后续的二次专项设计中严格落实承诺的绿色建筑设计内容，如未履行承诺，愿意承担相应的责任。</w:t>
      </w:r>
    </w:p>
    <w:p>
      <w:pPr>
        <w:rPr>
          <w:rFonts w:hint="eastAsia"/>
          <w:u w:val="none"/>
          <w:lang w:val="en-US" w:eastAsia="zh-CN"/>
        </w:rPr>
      </w:pPr>
    </w:p>
    <w:p>
      <w:pPr>
        <w:rPr>
          <w:rFonts w:hint="eastAsia"/>
          <w:u w:val="none"/>
          <w:lang w:val="en-US" w:eastAsia="zh-CN"/>
        </w:rPr>
      </w:pPr>
    </w:p>
    <w:p>
      <w:pPr>
        <w:jc w:val="left"/>
        <w:rPr>
          <w:rFonts w:hint="eastAsia"/>
          <w:sz w:val="28"/>
          <w:szCs w:val="28"/>
          <w:u w:val="single"/>
          <w:lang w:val="en-US" w:eastAsia="zh-CN"/>
        </w:rPr>
      </w:pPr>
      <w:r>
        <w:rPr>
          <w:rFonts w:hint="eastAsia"/>
          <w:sz w:val="28"/>
          <w:szCs w:val="28"/>
          <w:u w:val="none"/>
          <w:lang w:val="en-US" w:eastAsia="zh-CN"/>
        </w:rPr>
        <w:t xml:space="preserve">                                      建设单位（盖章）</w:t>
      </w:r>
      <w:r>
        <w:rPr>
          <w:rFonts w:hint="eastAsia"/>
          <w:sz w:val="28"/>
          <w:szCs w:val="28"/>
          <w:u w:val="single"/>
          <w:lang w:val="en-US" w:eastAsia="zh-CN"/>
        </w:rPr>
        <w:t xml:space="preserve">        </w:t>
      </w:r>
    </w:p>
    <w:p>
      <w:pPr>
        <w:wordWrap w:val="0"/>
        <w:ind w:firstLine="5320" w:firstLineChars="1900"/>
        <w:jc w:val="both"/>
        <w:rPr>
          <w:rFonts w:hint="eastAsia" w:ascii="宋体" w:hAnsi="宋体" w:cs="宋体"/>
          <w:sz w:val="28"/>
          <w:szCs w:val="28"/>
          <w:u w:val="single"/>
          <w:lang w:val="en-US" w:eastAsia="zh-CN"/>
        </w:rPr>
      </w:pPr>
      <w:r>
        <w:rPr>
          <w:rFonts w:hint="eastAsia" w:ascii="宋体" w:hAnsi="宋体" w:cs="宋体"/>
          <w:sz w:val="28"/>
          <w:szCs w:val="28"/>
          <w:u w:val="none"/>
          <w:lang w:val="en-US" w:eastAsia="zh-CN"/>
        </w:rPr>
        <w:t>法人代表（签名）：</w:t>
      </w:r>
      <w:r>
        <w:rPr>
          <w:rFonts w:hint="eastAsia" w:ascii="宋体" w:hAnsi="宋体" w:cs="宋体"/>
          <w:sz w:val="28"/>
          <w:szCs w:val="28"/>
          <w:u w:val="single"/>
          <w:lang w:val="en-US" w:eastAsia="zh-CN"/>
        </w:rPr>
        <w:t xml:space="preserve">      </w:t>
      </w:r>
    </w:p>
    <w:p>
      <w:pPr>
        <w:wordWrap w:val="0"/>
        <w:ind w:firstLine="4200" w:firstLineChars="1500"/>
        <w:jc w:val="both"/>
        <w:rPr>
          <w:rFonts w:hint="default"/>
          <w:sz w:val="28"/>
          <w:szCs w:val="28"/>
          <w:u w:val="none"/>
          <w:lang w:val="en-US" w:eastAsia="zh-CN"/>
        </w:rPr>
      </w:pPr>
      <w:r>
        <w:rPr>
          <w:rFonts w:hint="eastAsia"/>
          <w:sz w:val="28"/>
          <w:szCs w:val="28"/>
          <w:u w:val="none"/>
          <w:lang w:val="en-US" w:eastAsia="zh-CN"/>
        </w:rPr>
        <w:t xml:space="preserve">                    年   月   日</w:t>
      </w:r>
    </w:p>
    <w:p>
      <w:pPr>
        <w:spacing w:line="560" w:lineRule="exact"/>
        <w:jc w:val="center"/>
        <w:outlineLvl w:val="0"/>
        <w:rPr>
          <w:rFonts w:hint="default" w:ascii="Times New Roman" w:hAnsi="Times New Roman" w:cs="Times New Roman"/>
          <w:b/>
          <w:sz w:val="32"/>
          <w:szCs w:val="32"/>
        </w:rPr>
        <w:sectPr>
          <w:footerReference r:id="rId7" w:type="default"/>
          <w:pgSz w:w="11906" w:h="16838"/>
          <w:pgMar w:top="2098" w:right="1588" w:bottom="1920"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60" w:lineRule="exact"/>
        <w:jc w:val="both"/>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both"/>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eastAsia" w:ascii="Times New Roman" w:hAnsi="Times New Roman" w:cs="Times New Roman"/>
          <w:b/>
          <w:sz w:val="44"/>
          <w:szCs w:val="44"/>
          <w:lang w:val="en-US" w:eastAsia="zh-CN"/>
        </w:rPr>
      </w:pPr>
      <w:bookmarkStart w:id="402" w:name="_Toc10646"/>
      <w:bookmarkStart w:id="403" w:name="_Toc30054"/>
      <w:bookmarkStart w:id="404" w:name="_Toc9808"/>
      <w:bookmarkStart w:id="405" w:name="_Toc1152"/>
      <w:bookmarkStart w:id="406" w:name="_Toc2597"/>
      <w:bookmarkStart w:id="407" w:name="_Toc5133"/>
      <w:bookmarkStart w:id="408" w:name="_Toc16501"/>
      <w:bookmarkStart w:id="409" w:name="_Toc20359"/>
      <w:bookmarkStart w:id="410" w:name="_Toc24217"/>
      <w:bookmarkStart w:id="411" w:name="_Toc31129"/>
      <w:bookmarkStart w:id="412" w:name="_Toc6772"/>
      <w:bookmarkStart w:id="413" w:name="_Toc10258"/>
      <w:bookmarkStart w:id="414" w:name="_Toc27143"/>
      <w:bookmarkStart w:id="415" w:name="_Toc28852"/>
      <w:bookmarkStart w:id="416" w:name="_Toc8602"/>
      <w:bookmarkStart w:id="417" w:name="_Toc26843"/>
    </w:p>
    <w:p>
      <w:pPr>
        <w:spacing w:line="560" w:lineRule="exact"/>
        <w:jc w:val="center"/>
        <w:outlineLvl w:val="0"/>
        <w:rPr>
          <w:rFonts w:hint="eastAsia" w:ascii="Times New Roman" w:hAnsi="Times New Roman" w:cs="Times New Roman"/>
          <w:b/>
          <w:sz w:val="44"/>
          <w:szCs w:val="44"/>
          <w:lang w:val="en-US" w:eastAsia="zh-CN"/>
        </w:rPr>
      </w:pPr>
    </w:p>
    <w:p>
      <w:pPr>
        <w:spacing w:line="560" w:lineRule="exact"/>
        <w:jc w:val="center"/>
        <w:outlineLvl w:val="0"/>
        <w:rPr>
          <w:rFonts w:hint="eastAsia" w:ascii="Times New Roman" w:hAnsi="Times New Roman" w:cs="Times New Roman"/>
          <w:b w:val="0"/>
          <w:bCs/>
          <w:sz w:val="28"/>
          <w:szCs w:val="28"/>
          <w:lang w:val="en-US" w:eastAsia="zh-CN"/>
        </w:rPr>
      </w:pPr>
      <w:bookmarkStart w:id="418" w:name="_Toc1770"/>
      <w:r>
        <w:rPr>
          <w:rFonts w:hint="eastAsia" w:ascii="Times New Roman" w:hAnsi="Times New Roman" w:cs="Times New Roman"/>
          <w:b/>
          <w:sz w:val="44"/>
          <w:szCs w:val="44"/>
          <w:lang w:val="en-US" w:eastAsia="zh-CN"/>
        </w:rPr>
        <w:t>中山市装配式建筑设计指南</w:t>
      </w:r>
      <w:r>
        <w:rPr>
          <w:rFonts w:hint="eastAsia" w:ascii="Times New Roman" w:hAnsi="Times New Roman" w:cs="Times New Roman"/>
          <w:b w:val="0"/>
          <w:bCs/>
          <w:sz w:val="28"/>
          <w:szCs w:val="28"/>
          <w:lang w:val="en-US" w:eastAsia="zh-CN"/>
        </w:rPr>
        <w:t>（</w:t>
      </w:r>
      <w:r>
        <w:rPr>
          <w:rFonts w:hint="eastAsia" w:ascii="Times New Roman" w:hAnsi="Times New Roman" w:eastAsia="Times New Roman" w:cs="Times New Roman"/>
          <w:b w:val="0"/>
          <w:bCs/>
          <w:sz w:val="28"/>
          <w:szCs w:val="28"/>
          <w:lang w:val="en-US" w:eastAsia="zh-CN"/>
        </w:rPr>
        <w:t>2021</w:t>
      </w:r>
      <w:r>
        <w:rPr>
          <w:rFonts w:hint="eastAsia" w:ascii="Times New Roman" w:hAnsi="Times New Roman" w:cs="Times New Roman"/>
          <w:b w:val="0"/>
          <w:bCs/>
          <w:sz w:val="28"/>
          <w:szCs w:val="28"/>
          <w:lang w:val="en-US" w:eastAsia="zh-CN"/>
        </w:rPr>
        <w:t>版）</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pStyle w:val="2"/>
        <w:rPr>
          <w:rFonts w:hint="eastAsia" w:ascii="Times New Roman" w:hAnsi="Times New Roman" w:cs="Times New Roman"/>
          <w:b/>
          <w:sz w:val="32"/>
          <w:szCs w:val="32"/>
          <w:lang w:val="en-US" w:eastAsia="zh-CN"/>
        </w:rPr>
      </w:pPr>
    </w:p>
    <w:p>
      <w:pPr>
        <w:rPr>
          <w:rFonts w:hint="eastAsia" w:ascii="Times New Roman" w:hAnsi="Times New Roman" w:cs="Times New Roman"/>
          <w:b/>
          <w:sz w:val="32"/>
          <w:szCs w:val="32"/>
          <w:lang w:val="en-US" w:eastAsia="zh-CN"/>
        </w:rPr>
      </w:pPr>
    </w:p>
    <w:p>
      <w:pPr>
        <w:pStyle w:val="2"/>
        <w:rPr>
          <w:rFonts w:hint="eastAsia"/>
          <w:lang w:val="en-US" w:eastAsia="zh-CN"/>
        </w:rPr>
      </w:pPr>
    </w:p>
    <w:p>
      <w:pPr>
        <w:spacing w:line="560" w:lineRule="exact"/>
        <w:jc w:val="both"/>
        <w:outlineLvl w:val="0"/>
        <w:rPr>
          <w:rFonts w:hint="eastAsia" w:ascii="Times New Roman" w:hAnsi="Times New Roman" w:cs="Times New Roman"/>
          <w:b/>
          <w:sz w:val="32"/>
          <w:szCs w:val="32"/>
          <w:lang w:val="en-US" w:eastAsia="zh-CN"/>
        </w:rPr>
      </w:pPr>
    </w:p>
    <w:p>
      <w:pPr>
        <w:spacing w:line="360" w:lineRule="auto"/>
        <w:jc w:val="center"/>
        <w:outlineLvl w:val="0"/>
        <w:rPr>
          <w:rFonts w:hint="eastAsia" w:ascii="宋体" w:hAnsi="宋体" w:eastAsia="宋体" w:cs="宋体"/>
          <w:b w:val="0"/>
          <w:bCs/>
          <w:sz w:val="32"/>
          <w:szCs w:val="32"/>
          <w:lang w:val="en-US" w:eastAsia="zh-CN"/>
        </w:rPr>
      </w:pPr>
      <w:bookmarkStart w:id="419" w:name="_Toc21016"/>
      <w:bookmarkStart w:id="420" w:name="_Toc1960"/>
      <w:bookmarkStart w:id="421" w:name="_Toc19985"/>
      <w:bookmarkStart w:id="422" w:name="_Toc18406"/>
      <w:bookmarkStart w:id="423" w:name="_Toc656"/>
      <w:bookmarkStart w:id="424" w:name="_Toc6351"/>
      <w:bookmarkStart w:id="425" w:name="_Toc18903"/>
      <w:bookmarkStart w:id="426" w:name="_Toc6216"/>
      <w:bookmarkStart w:id="427" w:name="_Toc24313"/>
      <w:bookmarkStart w:id="428" w:name="_Toc16562"/>
      <w:bookmarkStart w:id="429" w:name="_Toc4589"/>
      <w:bookmarkStart w:id="430" w:name="_Toc24069"/>
      <w:bookmarkStart w:id="431" w:name="_Toc3433"/>
      <w:bookmarkStart w:id="432" w:name="_Toc18265"/>
      <w:bookmarkStart w:id="433" w:name="_Toc10612"/>
      <w:bookmarkStart w:id="434" w:name="_Toc31588"/>
      <w:bookmarkStart w:id="435" w:name="_Toc18271"/>
      <w:r>
        <w:rPr>
          <w:rFonts w:hint="eastAsia" w:ascii="Times New Roman" w:hAnsi="Times New Roman" w:cs="Times New Roman"/>
          <w:b/>
          <w:sz w:val="32"/>
          <w:szCs w:val="32"/>
          <w:lang w:val="en-US" w:eastAsia="zh-CN"/>
        </w:rPr>
        <w:t>目 录</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14"/>
        <w:tabs>
          <w:tab w:val="right" w:leader="dot" w:pos="8730"/>
        </w:tabs>
      </w:pPr>
      <w:bookmarkStart w:id="436" w:name="_Toc11030"/>
      <w:bookmarkStart w:id="437" w:name="_Toc16739"/>
      <w:bookmarkStart w:id="438" w:name="_Toc2476"/>
      <w:bookmarkStart w:id="439" w:name="_Toc4076"/>
      <w:bookmarkStart w:id="440" w:name="_Toc30460"/>
      <w:r>
        <w:fldChar w:fldCharType="begin"/>
      </w:r>
      <w:r>
        <w:instrText xml:space="preserve">TOC \o "1-3" \h \u </w:instrText>
      </w:r>
      <w:bookmarkEnd w:id="436"/>
      <w:bookmarkEnd w:id="437"/>
      <w:bookmarkEnd w:id="438"/>
      <w:bookmarkEnd w:id="439"/>
      <w:bookmarkEnd w:id="440"/>
      <w:r>
        <w:fldChar w:fldCharType="separate"/>
      </w:r>
    </w:p>
    <w:p>
      <w:pPr>
        <w:pStyle w:val="14"/>
        <w:tabs>
          <w:tab w:val="right" w:leader="dot" w:pos="8730"/>
        </w:tabs>
        <w:rPr>
          <w:sz w:val="28"/>
          <w:szCs w:val="28"/>
        </w:rPr>
      </w:pPr>
      <w:r>
        <w:rPr>
          <w:sz w:val="28"/>
          <w:szCs w:val="28"/>
        </w:rPr>
        <w:fldChar w:fldCharType="begin"/>
      </w:r>
      <w:r>
        <w:rPr>
          <w:sz w:val="28"/>
          <w:szCs w:val="28"/>
        </w:rPr>
        <w:instrText xml:space="preserve"> HYPERLINK \l _Toc13378 </w:instrText>
      </w:r>
      <w:r>
        <w:rPr>
          <w:sz w:val="28"/>
          <w:szCs w:val="28"/>
        </w:rPr>
        <w:fldChar w:fldCharType="separate"/>
      </w:r>
      <w:r>
        <w:rPr>
          <w:rFonts w:hint="eastAsia" w:ascii="Times New Roman" w:hAnsi="Times New Roman" w:eastAsia="Times New Roman" w:cs="Times New Roman"/>
          <w:bCs/>
          <w:sz w:val="28"/>
          <w:szCs w:val="28"/>
        </w:rPr>
        <w:t>1</w:t>
      </w:r>
      <w:r>
        <w:rPr>
          <w:rFonts w:hint="default" w:ascii="Times New Roman" w:hAnsi="Times New Roman"/>
          <w:bCs/>
          <w:sz w:val="28"/>
          <w:szCs w:val="28"/>
        </w:rPr>
        <w:t xml:space="preserve">  总  则</w:t>
      </w:r>
      <w:r>
        <w:rPr>
          <w:sz w:val="28"/>
          <w:szCs w:val="28"/>
        </w:rPr>
        <w:tab/>
      </w:r>
      <w:r>
        <w:rPr>
          <w:sz w:val="28"/>
          <w:szCs w:val="28"/>
        </w:rPr>
        <w:fldChar w:fldCharType="begin"/>
      </w:r>
      <w:r>
        <w:rPr>
          <w:sz w:val="28"/>
          <w:szCs w:val="28"/>
        </w:rPr>
        <w:instrText xml:space="preserve"> PAGEREF _Toc13378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_Toc1460 </w:instrText>
      </w:r>
      <w:r>
        <w:rPr>
          <w:sz w:val="28"/>
          <w:szCs w:val="28"/>
        </w:rPr>
        <w:fldChar w:fldCharType="separate"/>
      </w:r>
      <w:r>
        <w:rPr>
          <w:rFonts w:hint="default" w:ascii="Times New Roman" w:hAnsi="Times New Roman" w:eastAsia="Times New Roman" w:cs="Times New Roman"/>
          <w:sz w:val="28"/>
          <w:szCs w:val="28"/>
          <w:lang w:val="en-US" w:eastAsia="zh-CN"/>
        </w:rPr>
        <w:t>2</w:t>
      </w:r>
      <w:r>
        <w:rPr>
          <w:rFonts w:hint="default" w:ascii="宋体" w:hAnsi="宋体" w:eastAsia="宋体" w:cs="宋体"/>
          <w:sz w:val="28"/>
          <w:szCs w:val="28"/>
          <w:lang w:val="en-US" w:eastAsia="zh-CN"/>
        </w:rPr>
        <w:t xml:space="preserve"> </w:t>
      </w:r>
      <w:r>
        <w:rPr>
          <w:rFonts w:hint="default" w:cs="宋体"/>
          <w:sz w:val="28"/>
          <w:szCs w:val="28"/>
          <w:lang w:val="en-US" w:eastAsia="zh-CN"/>
        </w:rPr>
        <w:t xml:space="preserve"> </w:t>
      </w:r>
      <w:r>
        <w:rPr>
          <w:rFonts w:hint="default" w:ascii="宋体" w:hAnsi="宋体" w:eastAsia="宋体" w:cs="宋体"/>
          <w:sz w:val="28"/>
          <w:szCs w:val="28"/>
          <w:lang w:val="en-US" w:eastAsia="zh-CN"/>
        </w:rPr>
        <w:t>术</w:t>
      </w:r>
      <w:r>
        <w:rPr>
          <w:rFonts w:hint="default" w:cs="宋体"/>
          <w:sz w:val="28"/>
          <w:szCs w:val="28"/>
          <w:lang w:val="en-US" w:eastAsia="zh-CN"/>
        </w:rPr>
        <w:t xml:space="preserve">  </w:t>
      </w:r>
      <w:r>
        <w:rPr>
          <w:rFonts w:hint="default" w:ascii="宋体" w:hAnsi="宋体" w:eastAsia="宋体" w:cs="宋体"/>
          <w:sz w:val="28"/>
          <w:szCs w:val="28"/>
          <w:lang w:val="en-US" w:eastAsia="zh-CN"/>
        </w:rPr>
        <w:t>语</w:t>
      </w:r>
      <w:r>
        <w:rPr>
          <w:sz w:val="28"/>
          <w:szCs w:val="28"/>
        </w:rPr>
        <w:tab/>
      </w:r>
      <w:r>
        <w:rPr>
          <w:sz w:val="28"/>
          <w:szCs w:val="28"/>
        </w:rPr>
        <w:fldChar w:fldCharType="begin"/>
      </w:r>
      <w:r>
        <w:rPr>
          <w:sz w:val="28"/>
          <w:szCs w:val="28"/>
        </w:rPr>
        <w:instrText xml:space="preserve"> PAGEREF _Toc1460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_Toc18304 </w:instrText>
      </w:r>
      <w:r>
        <w:rPr>
          <w:sz w:val="28"/>
          <w:szCs w:val="28"/>
        </w:rPr>
        <w:fldChar w:fldCharType="separate"/>
      </w:r>
      <w:r>
        <w:rPr>
          <w:rFonts w:hint="default" w:ascii="Times New Roman" w:hAnsi="Times New Roman" w:eastAsia="Times New Roman" w:cs="Times New Roman"/>
          <w:bCs/>
          <w:sz w:val="28"/>
          <w:szCs w:val="28"/>
          <w:lang w:val="en-US" w:eastAsia="zh-CN"/>
        </w:rPr>
        <w:t>3</w:t>
      </w:r>
      <w:r>
        <w:rPr>
          <w:rFonts w:hint="default" w:ascii="Times New Roman" w:hAnsi="Times New Roman" w:cs="Times New Roman"/>
          <w:bCs/>
          <w:sz w:val="28"/>
          <w:szCs w:val="28"/>
          <w:lang w:val="en-US" w:eastAsia="zh-CN"/>
        </w:rPr>
        <w:t xml:space="preserve"> </w:t>
      </w:r>
      <w:r>
        <w:rPr>
          <w:rFonts w:hint="default" w:ascii="Times New Roman" w:hAnsi="Times New Roman" w:eastAsia="宋体" w:cs="Times New Roman"/>
          <w:bCs/>
          <w:sz w:val="28"/>
          <w:szCs w:val="28"/>
          <w:lang w:val="en-US" w:eastAsia="zh-CN"/>
        </w:rPr>
        <w:t xml:space="preserve"> </w:t>
      </w:r>
      <w:r>
        <w:rPr>
          <w:rFonts w:hint="default" w:cs="Times New Roman"/>
          <w:bCs/>
          <w:sz w:val="28"/>
          <w:szCs w:val="28"/>
          <w:lang w:val="en-US" w:eastAsia="zh-CN"/>
        </w:rPr>
        <w:t>一般规定</w:t>
      </w:r>
      <w:r>
        <w:rPr>
          <w:sz w:val="28"/>
          <w:szCs w:val="28"/>
        </w:rPr>
        <w:tab/>
      </w:r>
      <w:r>
        <w:rPr>
          <w:sz w:val="28"/>
          <w:szCs w:val="28"/>
        </w:rPr>
        <w:fldChar w:fldCharType="begin"/>
      </w:r>
      <w:r>
        <w:rPr>
          <w:sz w:val="28"/>
          <w:szCs w:val="28"/>
        </w:rPr>
        <w:instrText xml:space="preserve"> PAGEREF _Toc18304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_Toc17890 </w:instrText>
      </w:r>
      <w:r>
        <w:rPr>
          <w:sz w:val="28"/>
          <w:szCs w:val="28"/>
        </w:rPr>
        <w:fldChar w:fldCharType="separate"/>
      </w:r>
      <w:r>
        <w:rPr>
          <w:rFonts w:hint="eastAsia" w:eastAsia="Times New Roman"/>
          <w:sz w:val="28"/>
          <w:szCs w:val="28"/>
          <w:lang w:val="en-US" w:eastAsia="zh-CN"/>
        </w:rPr>
        <w:t>4</w:t>
      </w:r>
      <w:r>
        <w:rPr>
          <w:rFonts w:hint="eastAsia"/>
          <w:sz w:val="28"/>
          <w:szCs w:val="28"/>
          <w:lang w:val="en-US" w:eastAsia="zh-CN"/>
        </w:rPr>
        <w:t xml:space="preserve">  装配式建筑设计说明专篇</w:t>
      </w:r>
      <w:r>
        <w:rPr>
          <w:sz w:val="28"/>
          <w:szCs w:val="28"/>
        </w:rPr>
        <w:tab/>
      </w:r>
      <w:r>
        <w:rPr>
          <w:sz w:val="28"/>
          <w:szCs w:val="28"/>
        </w:rPr>
        <w:fldChar w:fldCharType="begin"/>
      </w:r>
      <w:r>
        <w:rPr>
          <w:sz w:val="28"/>
          <w:szCs w:val="28"/>
        </w:rPr>
        <w:instrText xml:space="preserve"> PAGEREF _Toc17890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_Toc3294 </w:instrText>
      </w:r>
      <w:r>
        <w:rPr>
          <w:sz w:val="28"/>
          <w:szCs w:val="28"/>
        </w:rPr>
        <w:fldChar w:fldCharType="separate"/>
      </w:r>
      <w:r>
        <w:rPr>
          <w:rFonts w:hint="default" w:ascii="Times New Roman" w:hAnsi="Times New Roman" w:eastAsia="Times New Roman" w:cs="Times New Roman"/>
          <w:bCs/>
          <w:sz w:val="28"/>
          <w:szCs w:val="28"/>
          <w:lang w:val="en-US" w:eastAsia="zh-CN"/>
        </w:rPr>
        <w:t>5</w:t>
      </w:r>
      <w:r>
        <w:rPr>
          <w:rFonts w:hint="default" w:ascii="Times New Roman" w:hAnsi="Times New Roman" w:eastAsia="宋体" w:cs="Times New Roman"/>
          <w:bCs/>
          <w:sz w:val="28"/>
          <w:szCs w:val="28"/>
          <w:lang w:val="en-US" w:eastAsia="zh-CN"/>
        </w:rPr>
        <w:t xml:space="preserve"> </w:t>
      </w:r>
      <w:r>
        <w:rPr>
          <w:rFonts w:hint="eastAsia"/>
          <w:bCs/>
          <w:sz w:val="28"/>
          <w:szCs w:val="28"/>
          <w:lang w:val="en-US" w:eastAsia="zh-CN"/>
        </w:rPr>
        <w:t xml:space="preserve"> </w:t>
      </w:r>
      <w:r>
        <w:rPr>
          <w:rFonts w:hint="default" w:ascii="Times New Roman" w:hAnsi="Times New Roman" w:cs="Times New Roman"/>
          <w:bCs/>
          <w:sz w:val="28"/>
          <w:szCs w:val="28"/>
          <w:lang w:val="en-US" w:eastAsia="zh-CN"/>
        </w:rPr>
        <w:t>中山市装配式建筑</w:t>
      </w:r>
      <w:r>
        <w:rPr>
          <w:rFonts w:hint="default" w:ascii="Times New Roman" w:hAnsi="Times New Roman" w:eastAsia="宋体" w:cs="Times New Roman"/>
          <w:bCs/>
          <w:sz w:val="28"/>
          <w:szCs w:val="28"/>
          <w:lang w:val="en-US" w:eastAsia="zh-CN"/>
        </w:rPr>
        <w:t>设计阶段评分</w:t>
      </w:r>
      <w:r>
        <w:rPr>
          <w:rFonts w:hint="default" w:ascii="Times New Roman" w:hAnsi="Times New Roman" w:cs="Times New Roman"/>
          <w:bCs/>
          <w:sz w:val="28"/>
          <w:szCs w:val="28"/>
          <w:lang w:val="en-US" w:eastAsia="zh-CN"/>
        </w:rPr>
        <w:t>审查</w:t>
      </w:r>
      <w:r>
        <w:rPr>
          <w:rFonts w:hint="default" w:ascii="Times New Roman" w:hAnsi="Times New Roman" w:eastAsia="宋体" w:cs="Times New Roman"/>
          <w:bCs/>
          <w:sz w:val="28"/>
          <w:szCs w:val="28"/>
          <w:lang w:val="en-US" w:eastAsia="zh-CN"/>
        </w:rPr>
        <w:t>表</w:t>
      </w:r>
      <w:r>
        <w:rPr>
          <w:sz w:val="28"/>
          <w:szCs w:val="28"/>
        </w:rPr>
        <w:tab/>
      </w:r>
      <w:r>
        <w:rPr>
          <w:sz w:val="28"/>
          <w:szCs w:val="28"/>
        </w:rPr>
        <w:fldChar w:fldCharType="begin"/>
      </w:r>
      <w:r>
        <w:rPr>
          <w:sz w:val="28"/>
          <w:szCs w:val="28"/>
        </w:rPr>
        <w:instrText xml:space="preserve"> PAGEREF _Toc3294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_Toc2354 </w:instrText>
      </w:r>
      <w:r>
        <w:rPr>
          <w:sz w:val="28"/>
          <w:szCs w:val="28"/>
        </w:rPr>
        <w:fldChar w:fldCharType="separate"/>
      </w:r>
      <w:r>
        <w:rPr>
          <w:rFonts w:hint="default" w:ascii="Times New Roman" w:hAnsi="Times New Roman" w:eastAsia="Times New Roman"/>
          <w:bCs/>
          <w:sz w:val="28"/>
          <w:szCs w:val="28"/>
          <w:lang w:val="en-US" w:eastAsia="zh-CN"/>
        </w:rPr>
        <w:t>6</w:t>
      </w:r>
      <w:r>
        <w:rPr>
          <w:rFonts w:hint="default" w:ascii="Times New Roman" w:hAnsi="Times New Roman"/>
          <w:bCs/>
          <w:sz w:val="28"/>
          <w:szCs w:val="28"/>
          <w:lang w:val="en-US" w:eastAsia="zh-CN"/>
        </w:rPr>
        <w:t xml:space="preserve"> </w:t>
      </w:r>
      <w:r>
        <w:rPr>
          <w:rFonts w:hint="eastAsia"/>
          <w:bCs/>
          <w:sz w:val="28"/>
          <w:szCs w:val="28"/>
          <w:lang w:val="en-US" w:eastAsia="zh-CN"/>
        </w:rPr>
        <w:t xml:space="preserve"> </w:t>
      </w:r>
      <w:r>
        <w:rPr>
          <w:rFonts w:hint="default" w:ascii="Times New Roman" w:hAnsi="Times New Roman"/>
          <w:bCs/>
          <w:sz w:val="28"/>
          <w:szCs w:val="28"/>
        </w:rPr>
        <w:t>装配式建筑评分</w:t>
      </w:r>
      <w:r>
        <w:rPr>
          <w:rFonts w:hint="default" w:ascii="Times New Roman" w:hAnsi="Times New Roman"/>
          <w:bCs/>
          <w:sz w:val="28"/>
          <w:szCs w:val="28"/>
          <w:lang w:val="en-US" w:eastAsia="zh-CN"/>
        </w:rPr>
        <w:t>细则</w:t>
      </w:r>
      <w:r>
        <w:rPr>
          <w:sz w:val="28"/>
          <w:szCs w:val="28"/>
        </w:rPr>
        <w:tab/>
      </w:r>
      <w:r>
        <w:rPr>
          <w:sz w:val="28"/>
          <w:szCs w:val="28"/>
        </w:rPr>
        <w:fldChar w:fldCharType="begin"/>
      </w:r>
      <w:r>
        <w:rPr>
          <w:sz w:val="28"/>
          <w:szCs w:val="28"/>
        </w:rPr>
        <w:instrText xml:space="preserve"> PAGEREF _Toc2354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4"/>
        <w:tabs>
          <w:tab w:val="right" w:pos="2800"/>
          <w:tab w:val="right" w:leader="dot" w:pos="8730"/>
        </w:tabs>
        <w:rPr>
          <w:sz w:val="28"/>
          <w:szCs w:val="28"/>
        </w:rPr>
      </w:pPr>
      <w:r>
        <w:rPr>
          <w:sz w:val="28"/>
          <w:szCs w:val="28"/>
        </w:rPr>
        <w:fldChar w:fldCharType="begin"/>
      </w:r>
      <w:r>
        <w:rPr>
          <w:sz w:val="28"/>
          <w:szCs w:val="28"/>
        </w:rPr>
        <w:instrText xml:space="preserve"> HYPERLINK \l _Toc6473 </w:instrText>
      </w:r>
      <w:r>
        <w:rPr>
          <w:sz w:val="28"/>
          <w:szCs w:val="28"/>
        </w:rPr>
        <w:fldChar w:fldCharType="separate"/>
      </w:r>
      <w:r>
        <w:rPr>
          <w:rFonts w:hint="eastAsia"/>
          <w:sz w:val="28"/>
          <w:szCs w:val="28"/>
          <w:lang w:val="en-US" w:eastAsia="zh-CN"/>
        </w:rPr>
        <w:t>附录A 装修设计文件承诺达标函</w:t>
      </w:r>
      <w:r>
        <w:rPr>
          <w:sz w:val="28"/>
          <w:szCs w:val="28"/>
        </w:rPr>
        <w:tab/>
      </w:r>
      <w:r>
        <w:rPr>
          <w:sz w:val="28"/>
          <w:szCs w:val="28"/>
        </w:rPr>
        <w:fldChar w:fldCharType="begin"/>
      </w:r>
      <w:r>
        <w:rPr>
          <w:sz w:val="28"/>
          <w:szCs w:val="28"/>
        </w:rPr>
        <w:instrText xml:space="preserve"> PAGEREF _Toc6473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4"/>
        <w:tabs>
          <w:tab w:val="right" w:pos="2800"/>
          <w:tab w:val="right" w:leader="dot" w:pos="8730"/>
        </w:tabs>
        <w:rPr>
          <w:sz w:val="28"/>
          <w:szCs w:val="28"/>
        </w:rPr>
      </w:pPr>
      <w:r>
        <w:rPr>
          <w:sz w:val="28"/>
          <w:szCs w:val="28"/>
        </w:rPr>
        <w:fldChar w:fldCharType="begin"/>
      </w:r>
      <w:r>
        <w:rPr>
          <w:sz w:val="28"/>
          <w:szCs w:val="28"/>
        </w:rPr>
        <w:instrText xml:space="preserve"> HYPERLINK \l _Toc12026 </w:instrText>
      </w:r>
      <w:r>
        <w:rPr>
          <w:sz w:val="28"/>
          <w:szCs w:val="28"/>
        </w:rPr>
        <w:fldChar w:fldCharType="separate"/>
      </w:r>
      <w:r>
        <w:rPr>
          <w:rFonts w:hint="eastAsia"/>
          <w:sz w:val="28"/>
          <w:szCs w:val="28"/>
          <w:lang w:val="en-US" w:eastAsia="zh-CN"/>
        </w:rPr>
        <w:t>附录B 绿色建筑（施工阶段BIM信息模型、智能化系统、绿色施工）承诺达标函....................</w:t>
      </w:r>
      <w:r>
        <w:rPr>
          <w:sz w:val="28"/>
          <w:szCs w:val="28"/>
        </w:rPr>
        <w:tab/>
      </w:r>
      <w:r>
        <w:rPr>
          <w:sz w:val="28"/>
          <w:szCs w:val="28"/>
        </w:rPr>
        <w:fldChar w:fldCharType="begin"/>
      </w:r>
      <w:r>
        <w:rPr>
          <w:sz w:val="28"/>
          <w:szCs w:val="28"/>
        </w:rPr>
        <w:instrText xml:space="preserve"> PAGEREF _Toc12026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_Toc1790 </w:instrText>
      </w:r>
      <w:r>
        <w:rPr>
          <w:sz w:val="28"/>
          <w:szCs w:val="28"/>
        </w:rPr>
        <w:fldChar w:fldCharType="separate"/>
      </w:r>
      <w:r>
        <w:rPr>
          <w:rFonts w:hint="eastAsia"/>
          <w:sz w:val="28"/>
          <w:szCs w:val="28"/>
          <w:lang w:val="en-US" w:eastAsia="zh-CN"/>
        </w:rPr>
        <w:t>附录C 《中山市住房和城乡建设局关于开展装配式建筑评价工作（试行）的通知》（中建通</w:t>
      </w:r>
      <w:r>
        <w:rPr>
          <w:rFonts w:hint="eastAsia" w:eastAsia="Times New Roman"/>
          <w:sz w:val="28"/>
          <w:szCs w:val="28"/>
        </w:rPr>
        <w:t>〔</w:t>
      </w:r>
      <w:r>
        <w:rPr>
          <w:rFonts w:hint="eastAsia"/>
          <w:sz w:val="28"/>
          <w:szCs w:val="28"/>
          <w:lang w:val="en-US" w:eastAsia="zh-CN"/>
        </w:rPr>
        <w:t>2019</w:t>
      </w:r>
      <w:r>
        <w:rPr>
          <w:rFonts w:hint="eastAsia" w:eastAsia="Times New Roman"/>
          <w:sz w:val="28"/>
          <w:szCs w:val="28"/>
        </w:rPr>
        <w:t>〕</w:t>
      </w:r>
      <w:r>
        <w:rPr>
          <w:rFonts w:hint="eastAsia" w:eastAsia="Times New Roman"/>
          <w:sz w:val="28"/>
          <w:szCs w:val="28"/>
          <w:lang w:val="en-US" w:eastAsia="zh-CN"/>
        </w:rPr>
        <w:t>126</w:t>
      </w:r>
      <w:r>
        <w:rPr>
          <w:rFonts w:hint="eastAsia"/>
          <w:sz w:val="28"/>
          <w:szCs w:val="28"/>
          <w:lang w:val="en-US" w:eastAsia="zh-CN"/>
        </w:rPr>
        <w:t>号）</w:t>
      </w:r>
      <w:r>
        <w:rPr>
          <w:sz w:val="28"/>
          <w:szCs w:val="28"/>
        </w:rPr>
        <w:tab/>
      </w:r>
      <w:r>
        <w:rPr>
          <w:sz w:val="28"/>
          <w:szCs w:val="28"/>
        </w:rPr>
        <w:fldChar w:fldCharType="begin"/>
      </w:r>
      <w:r>
        <w:rPr>
          <w:sz w:val="28"/>
          <w:szCs w:val="28"/>
        </w:rPr>
        <w:instrText xml:space="preserve"> PAGEREF _Toc1790 \h </w:instrText>
      </w:r>
      <w:r>
        <w:rPr>
          <w:sz w:val="28"/>
          <w:szCs w:val="28"/>
        </w:rPr>
        <w:fldChar w:fldCharType="separate"/>
      </w:r>
      <w:r>
        <w:rPr>
          <w:sz w:val="28"/>
          <w:szCs w:val="28"/>
        </w:rPr>
        <w:t>39</w:t>
      </w:r>
      <w:r>
        <w:rPr>
          <w:sz w:val="28"/>
          <w:szCs w:val="28"/>
        </w:rPr>
        <w:fldChar w:fldCharType="end"/>
      </w:r>
      <w:r>
        <w:rPr>
          <w:sz w:val="28"/>
          <w:szCs w:val="28"/>
        </w:rPr>
        <w:fldChar w:fldCharType="end"/>
      </w:r>
    </w:p>
    <w:p>
      <w:pPr>
        <w:spacing w:line="560" w:lineRule="exact"/>
        <w:jc w:val="center"/>
        <w:outlineLvl w:val="0"/>
        <w:rPr>
          <w:rFonts w:hint="eastAsia" w:ascii="宋体" w:hAnsi="宋体" w:eastAsia="宋体" w:cs="宋体"/>
          <w:b w:val="0"/>
          <w:bCs/>
          <w:sz w:val="28"/>
          <w:szCs w:val="28"/>
          <w:lang w:val="en-US" w:eastAsia="zh-CN"/>
        </w:rPr>
      </w:pPr>
      <w:r>
        <w:fldChar w:fldCharType="end"/>
      </w: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both"/>
        <w:outlineLvl w:val="0"/>
        <w:rPr>
          <w:rFonts w:hint="eastAsia" w:ascii="Times New Roman" w:hAnsi="Times New Roman" w:cs="Times New Roman"/>
          <w:b/>
          <w:sz w:val="32"/>
          <w:szCs w:val="32"/>
          <w:lang w:val="en-US" w:eastAsia="zh-CN"/>
        </w:rPr>
        <w:sectPr>
          <w:footerReference r:id="rId8" w:type="default"/>
          <w:pgSz w:w="11906" w:h="16838"/>
          <w:pgMar w:top="2098" w:right="1588" w:bottom="209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pacing w:before="0" w:line="360" w:lineRule="auto"/>
        <w:rPr>
          <w:rFonts w:hint="eastAsia" w:ascii="宋体" w:hAnsi="宋体" w:cs="宋体"/>
          <w:b/>
          <w:sz w:val="32"/>
          <w:szCs w:val="32"/>
        </w:rPr>
      </w:pPr>
      <w:bookmarkStart w:id="441" w:name="_Toc23142"/>
      <w:bookmarkStart w:id="442" w:name="_Toc6455"/>
      <w:bookmarkStart w:id="443" w:name="_Toc4219"/>
      <w:bookmarkStart w:id="444" w:name="_Toc17020"/>
      <w:bookmarkStart w:id="445" w:name="_Toc30927"/>
      <w:bookmarkStart w:id="446" w:name="_Toc25362"/>
      <w:bookmarkStart w:id="447" w:name="_Toc27894"/>
      <w:bookmarkStart w:id="448" w:name="_Toc9232"/>
      <w:bookmarkStart w:id="449" w:name="_Toc27865"/>
      <w:bookmarkStart w:id="450" w:name="_Toc30745"/>
      <w:bookmarkStart w:id="451" w:name="_Toc20423"/>
      <w:bookmarkStart w:id="452" w:name="_Toc13284"/>
      <w:bookmarkStart w:id="453" w:name="_Toc3654"/>
      <w:bookmarkStart w:id="454" w:name="_Toc20402"/>
      <w:bookmarkStart w:id="455" w:name="_Toc12062"/>
      <w:bookmarkStart w:id="456" w:name="_Toc29931"/>
      <w:bookmarkStart w:id="457" w:name="_Toc13378"/>
      <w:bookmarkStart w:id="458" w:name="_Toc27456"/>
      <w:r>
        <w:rPr>
          <w:rFonts w:hint="eastAsia" w:ascii="宋体" w:hAnsi="宋体" w:eastAsia="宋体" w:cs="宋体"/>
          <w:b/>
          <w:bCs/>
          <w:sz w:val="32"/>
          <w:szCs w:val="24"/>
        </w:rPr>
        <w:t>1</w:t>
      </w:r>
      <w:r>
        <w:rPr>
          <w:rFonts w:hint="eastAsia" w:ascii="宋体" w:hAnsi="宋体" w:cs="宋体"/>
          <w:b/>
          <w:bCs/>
          <w:sz w:val="32"/>
          <w:szCs w:val="24"/>
        </w:rPr>
        <w:t xml:space="preserve">  总  则</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adjustRightInd w:val="0"/>
        <w:snapToGrid w:val="0"/>
        <w:spacing w:before="93" w:beforeLines="30" w:after="93" w:afterLines="30" w:line="360" w:lineRule="auto"/>
        <w:jc w:val="left"/>
        <w:outlineLvl w:val="9"/>
        <w:rPr>
          <w:rFonts w:hint="default" w:ascii="Times New Roman" w:hAnsi="Times New Roman" w:cs="Times New Roman"/>
          <w:color w:val="auto"/>
          <w:sz w:val="28"/>
          <w:szCs w:val="28"/>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根据《广东省人民政府办公厅关于大力发展装配式建筑的实施意见》（粤府办[</w:t>
      </w:r>
      <w:r>
        <w:rPr>
          <w:rFonts w:hint="eastAsia" w:ascii="Times New Roman" w:hAnsi="Times New Roman" w:eastAsia="Times New Roman" w:cs="Times New Roman"/>
          <w:sz w:val="28"/>
          <w:szCs w:val="28"/>
          <w:lang w:val="en-US" w:eastAsia="zh-CN"/>
        </w:rPr>
        <w:t>2017</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28</w:t>
      </w:r>
      <w:r>
        <w:rPr>
          <w:rFonts w:hint="eastAsia" w:ascii="Times New Roman" w:hAnsi="Times New Roman" w:cs="Times New Roman"/>
          <w:sz w:val="28"/>
          <w:szCs w:val="28"/>
          <w:lang w:val="en-US" w:eastAsia="zh-CN"/>
        </w:rPr>
        <w:t>号）、《中山市人民政府办公室关于加快发展装配式建筑的实施意见》（中府办[</w:t>
      </w:r>
      <w:r>
        <w:rPr>
          <w:rFonts w:hint="eastAsia" w:ascii="Times New Roman" w:hAnsi="Times New Roman" w:eastAsia="Times New Roman" w:cs="Times New Roman"/>
          <w:sz w:val="28"/>
          <w:szCs w:val="28"/>
          <w:lang w:val="en-US" w:eastAsia="zh-CN"/>
        </w:rPr>
        <w:t>2018</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47</w:t>
      </w:r>
      <w:r>
        <w:rPr>
          <w:rFonts w:hint="eastAsia" w:ascii="Times New Roman" w:hAnsi="Times New Roman" w:cs="Times New Roman"/>
          <w:sz w:val="28"/>
          <w:szCs w:val="28"/>
          <w:lang w:val="en-US" w:eastAsia="zh-CN"/>
        </w:rPr>
        <w:t>号）、《中山市住房和城乡建设局关于开展装配式建筑评价工作（试行）的通知》（中建通[</w:t>
      </w:r>
      <w:r>
        <w:rPr>
          <w:rFonts w:hint="eastAsia" w:ascii="Times New Roman" w:hAnsi="Times New Roman" w:eastAsia="Times New Roman" w:cs="Times New Roman"/>
          <w:sz w:val="28"/>
          <w:szCs w:val="28"/>
          <w:lang w:val="en-US" w:eastAsia="zh-CN"/>
        </w:rPr>
        <w:t>2019</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126</w:t>
      </w:r>
      <w:r>
        <w:rPr>
          <w:rFonts w:hint="eastAsia" w:ascii="Times New Roman" w:hAnsi="Times New Roman" w:cs="Times New Roman"/>
          <w:sz w:val="28"/>
          <w:szCs w:val="28"/>
          <w:lang w:val="en-US" w:eastAsia="zh-CN"/>
        </w:rPr>
        <w:t>号）和</w:t>
      </w:r>
      <w:r>
        <w:rPr>
          <w:rFonts w:hint="default" w:ascii="Times New Roman" w:hAnsi="Times New Roman" w:cs="Times New Roman"/>
          <w:sz w:val="28"/>
          <w:szCs w:val="28"/>
        </w:rPr>
        <w:t>《中山市住房和城乡建设局关于装配式建筑项目实施建筑面积奖励措施的通知》（中建通[</w:t>
      </w:r>
      <w:r>
        <w:rPr>
          <w:rFonts w:hint="default" w:ascii="Times New Roman" w:hAnsi="Times New Roman" w:eastAsia="Times New Roman" w:cs="Times New Roman"/>
          <w:sz w:val="28"/>
          <w:szCs w:val="28"/>
        </w:rPr>
        <w:t>2020</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5</w:t>
      </w:r>
      <w:r>
        <w:rPr>
          <w:rFonts w:hint="default" w:ascii="Times New Roman" w:hAnsi="Times New Roman" w:cs="Times New Roman"/>
          <w:sz w:val="28"/>
          <w:szCs w:val="28"/>
        </w:rPr>
        <w:t>号）</w:t>
      </w:r>
      <w:r>
        <w:rPr>
          <w:rFonts w:hint="eastAsia" w:ascii="Times New Roman" w:hAnsi="Times New Roman" w:cs="Times New Roman"/>
          <w:sz w:val="28"/>
          <w:szCs w:val="28"/>
          <w:lang w:val="en-US" w:eastAsia="zh-CN"/>
        </w:rPr>
        <w:t>等文件要求</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为</w:t>
      </w:r>
      <w:r>
        <w:rPr>
          <w:rFonts w:hint="default" w:ascii="Times New Roman" w:hAnsi="Times New Roman" w:cs="Times New Roman"/>
          <w:sz w:val="28"/>
          <w:szCs w:val="28"/>
        </w:rPr>
        <w:t>推进中山市</w:t>
      </w:r>
      <w:r>
        <w:rPr>
          <w:rFonts w:hint="eastAsia" w:ascii="Times New Roman" w:hAnsi="Times New Roman" w:cs="Times New Roman"/>
          <w:sz w:val="28"/>
          <w:szCs w:val="28"/>
          <w:lang w:val="en-US" w:eastAsia="zh-CN"/>
        </w:rPr>
        <w:t>装配式建筑</w:t>
      </w:r>
      <w:r>
        <w:rPr>
          <w:rFonts w:hint="default" w:ascii="Times New Roman" w:hAnsi="Times New Roman" w:cs="Times New Roman"/>
          <w:sz w:val="28"/>
          <w:szCs w:val="28"/>
        </w:rPr>
        <w:t>发展，规范</w:t>
      </w:r>
      <w:r>
        <w:rPr>
          <w:rFonts w:hint="eastAsia" w:ascii="Times New Roman" w:hAnsi="Times New Roman" w:cs="Times New Roman"/>
          <w:sz w:val="28"/>
          <w:szCs w:val="28"/>
          <w:lang w:val="en-US" w:eastAsia="zh-CN"/>
        </w:rPr>
        <w:t>装配式建筑的</w:t>
      </w:r>
      <w:r>
        <w:rPr>
          <w:rFonts w:hint="default" w:ascii="Times New Roman" w:hAnsi="Times New Roman" w:cs="Times New Roman"/>
          <w:sz w:val="28"/>
          <w:szCs w:val="28"/>
        </w:rPr>
        <w:t>设计</w:t>
      </w:r>
      <w:r>
        <w:rPr>
          <w:rFonts w:hint="eastAsia" w:ascii="Times New Roman" w:hAnsi="Times New Roman" w:cs="Times New Roman"/>
          <w:sz w:val="28"/>
          <w:szCs w:val="28"/>
          <w:lang w:eastAsia="zh-CN"/>
        </w:rPr>
        <w:t>、</w:t>
      </w:r>
      <w:r>
        <w:rPr>
          <w:rFonts w:hint="default" w:ascii="Times New Roman" w:hAnsi="Times New Roman" w:cs="Times New Roman"/>
          <w:color w:val="auto"/>
          <w:sz w:val="28"/>
          <w:szCs w:val="28"/>
          <w:lang w:eastAsia="zh-CN"/>
        </w:rPr>
        <w:t>审查、</w:t>
      </w:r>
      <w:r>
        <w:rPr>
          <w:rFonts w:hint="eastAsia" w:ascii="Times New Roman" w:hAnsi="Times New Roman" w:cs="Times New Roman"/>
          <w:color w:val="auto"/>
          <w:sz w:val="28"/>
          <w:szCs w:val="28"/>
          <w:lang w:val="en-US" w:eastAsia="zh-CN"/>
        </w:rPr>
        <w:t>预评价</w:t>
      </w:r>
      <w:r>
        <w:rPr>
          <w:rFonts w:hint="eastAsia" w:ascii="Times New Roman" w:hAnsi="Times New Roman" w:cs="Times New Roman"/>
          <w:sz w:val="28"/>
          <w:szCs w:val="28"/>
          <w:lang w:val="en-US" w:eastAsia="zh-CN"/>
        </w:rPr>
        <w:t>及竣工评价工作</w:t>
      </w:r>
      <w:r>
        <w:rPr>
          <w:rFonts w:hint="default" w:ascii="Times New Roman" w:hAnsi="Times New Roman" w:cs="Times New Roman"/>
          <w:sz w:val="28"/>
          <w:szCs w:val="28"/>
        </w:rPr>
        <w:t>，依照</w:t>
      </w:r>
      <w:r>
        <w:rPr>
          <w:rFonts w:hint="eastAsia" w:ascii="Times New Roman" w:hAnsi="Times New Roman" w:cs="Times New Roman"/>
          <w:sz w:val="28"/>
          <w:szCs w:val="28"/>
          <w:lang w:val="en-US" w:eastAsia="zh-CN"/>
        </w:rPr>
        <w:t>广东省标准</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装配式建筑评价标准</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DBJ/T</w:t>
      </w:r>
      <w:r>
        <w:rPr>
          <w:rFonts w:hint="eastAsia" w:ascii="Times New Roman" w:hAnsi="Times New Roman" w:eastAsia="Times New Roman" w:cs="Times New Roman"/>
          <w:sz w:val="28"/>
          <w:szCs w:val="28"/>
          <w:lang w:val="en-US" w:eastAsia="zh-CN"/>
        </w:rPr>
        <w:t>15</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163</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2019</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并结合中山市具体情况</w:t>
      </w:r>
      <w:r>
        <w:rPr>
          <w:rFonts w:hint="default" w:ascii="Times New Roman" w:hAnsi="Times New Roman" w:cs="Times New Roman"/>
          <w:color w:val="auto"/>
          <w:sz w:val="28"/>
          <w:szCs w:val="28"/>
        </w:rPr>
        <w:t>，制定本指南</w:t>
      </w:r>
      <w:r>
        <w:rPr>
          <w:rFonts w:hint="default" w:ascii="Times New Roman" w:hAnsi="Times New Roman" w:cs="Times New Roman"/>
          <w:color w:val="auto"/>
          <w:sz w:val="28"/>
          <w:szCs w:val="28"/>
          <w:lang w:eastAsia="zh-CN"/>
        </w:rPr>
        <w:t>。</w:t>
      </w:r>
    </w:p>
    <w:p>
      <w:pPr>
        <w:adjustRightInd w:val="0"/>
        <w:snapToGrid w:val="0"/>
        <w:spacing w:before="93" w:beforeLines="30" w:after="93" w:afterLines="30" w:line="360" w:lineRule="auto"/>
        <w:jc w:val="left"/>
        <w:outlineLvl w:val="9"/>
        <w:rPr>
          <w:rFonts w:hint="default" w:ascii="Times New Roman" w:hAnsi="Times New Roman" w:eastAsia="宋体" w:cs="Times New Roman"/>
          <w:color w:val="auto"/>
          <w:sz w:val="28"/>
          <w:szCs w:val="28"/>
        </w:rPr>
      </w:pPr>
      <w:r>
        <w:rPr>
          <w:rFonts w:hint="default" w:ascii="Times New Roman" w:hAnsi="Times New Roman" w:eastAsia="Times New Roman" w:cs="Times New Roman"/>
          <w:color w:val="auto"/>
          <w:sz w:val="28"/>
          <w:szCs w:val="28"/>
        </w:rPr>
        <w:t>1</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0</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2</w:t>
      </w:r>
      <w:r>
        <w:rPr>
          <w:rFonts w:hint="eastAsia" w:ascii="Times New Roman" w:hAnsi="Times New Roman" w:cs="Times New Roman"/>
          <w:color w:val="auto"/>
          <w:sz w:val="28"/>
          <w:szCs w:val="28"/>
          <w:lang w:val="en-US" w:eastAsia="zh-CN"/>
        </w:rPr>
        <w:t xml:space="preserve">  本指南适用于中山市</w:t>
      </w:r>
      <w:r>
        <w:rPr>
          <w:rFonts w:hint="eastAsia" w:ascii="Times New Roman" w:hAnsi="Times New Roman" w:cs="Times New Roman"/>
          <w:color w:val="auto"/>
          <w:kern w:val="0"/>
          <w:sz w:val="28"/>
          <w:szCs w:val="28"/>
          <w:lang w:val="en-US" w:eastAsia="zh-CN"/>
        </w:rPr>
        <w:t>装配式建筑的</w:t>
      </w:r>
      <w:r>
        <w:rPr>
          <w:rFonts w:hint="default" w:ascii="Times New Roman" w:hAnsi="Times New Roman" w:eastAsia="宋体" w:cs="Times New Roman"/>
          <w:color w:val="auto"/>
          <w:sz w:val="28"/>
          <w:szCs w:val="28"/>
        </w:rPr>
        <w:t>设计</w:t>
      </w:r>
      <w:r>
        <w:rPr>
          <w:rFonts w:hint="default" w:ascii="Times New Roman" w:hAnsi="Times New Roman" w:cs="Times New Roman"/>
          <w:color w:val="auto"/>
          <w:sz w:val="28"/>
          <w:szCs w:val="28"/>
          <w:lang w:eastAsia="zh-CN"/>
        </w:rPr>
        <w:t>、审查、</w:t>
      </w:r>
      <w:r>
        <w:rPr>
          <w:rFonts w:hint="eastAsia" w:ascii="Times New Roman" w:hAnsi="Times New Roman" w:cs="Times New Roman"/>
          <w:color w:val="auto"/>
          <w:sz w:val="28"/>
          <w:szCs w:val="28"/>
          <w:lang w:val="en-US" w:eastAsia="zh-CN"/>
        </w:rPr>
        <w:t>预评价</w:t>
      </w:r>
      <w:r>
        <w:rPr>
          <w:rFonts w:hint="default" w:ascii="Times New Roman" w:hAnsi="Times New Roman" w:eastAsia="宋体" w:cs="Times New Roman"/>
          <w:color w:val="auto"/>
          <w:sz w:val="28"/>
          <w:szCs w:val="28"/>
          <w:lang w:eastAsia="zh-CN"/>
        </w:rPr>
        <w:t>及</w:t>
      </w:r>
      <w:r>
        <w:rPr>
          <w:rFonts w:hint="eastAsia" w:ascii="Times New Roman" w:hAnsi="Times New Roman" w:cs="Times New Roman"/>
          <w:color w:val="auto"/>
          <w:sz w:val="28"/>
          <w:szCs w:val="28"/>
          <w:lang w:val="en-US" w:eastAsia="zh-CN"/>
        </w:rPr>
        <w:t>竣工评价</w:t>
      </w:r>
      <w:r>
        <w:rPr>
          <w:rFonts w:hint="default" w:ascii="Times New Roman" w:hAnsi="Times New Roman" w:eastAsia="宋体" w:cs="Times New Roman"/>
          <w:color w:val="auto"/>
          <w:sz w:val="28"/>
          <w:szCs w:val="28"/>
        </w:rPr>
        <w:t>。</w:t>
      </w:r>
    </w:p>
    <w:p>
      <w:pPr>
        <w:adjustRightInd w:val="0"/>
        <w:snapToGrid w:val="0"/>
        <w:spacing w:before="93" w:beforeLines="30" w:after="93" w:afterLines="30" w:line="360" w:lineRule="auto"/>
        <w:jc w:val="left"/>
        <w:outlineLvl w:val="9"/>
        <w:rPr>
          <w:rFonts w:hint="eastAsia" w:ascii="Times New Roman" w:hAnsi="Times New Roman" w:cs="Times New Roman"/>
          <w:color w:val="auto"/>
          <w:sz w:val="28"/>
          <w:szCs w:val="28"/>
          <w:lang w:val="en-US" w:eastAsia="zh-CN"/>
        </w:rPr>
      </w:pPr>
      <w:r>
        <w:rPr>
          <w:rFonts w:hint="default" w:ascii="Times New Roman" w:hAnsi="Times New Roman" w:eastAsia="Times New Roman" w:cs="Times New Roman"/>
          <w:color w:val="auto"/>
          <w:sz w:val="28"/>
          <w:szCs w:val="28"/>
          <w:lang w:val="en-US"/>
        </w:rPr>
        <w:t>1</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0</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3</w:t>
      </w:r>
      <w:r>
        <w:rPr>
          <w:rFonts w:hint="eastAsia" w:ascii="Times New Roman" w:hAnsi="Times New Roman" w:cs="Times New Roman"/>
          <w:color w:val="auto"/>
          <w:sz w:val="28"/>
          <w:szCs w:val="28"/>
          <w:lang w:val="en-US" w:eastAsia="zh-CN"/>
        </w:rPr>
        <w:t xml:space="preserve">  下列项目应进行装配式建筑评价（预评价及竣工评价）：</w:t>
      </w:r>
    </w:p>
    <w:p>
      <w:pPr>
        <w:adjustRightInd w:val="0"/>
        <w:snapToGrid w:val="0"/>
        <w:spacing w:before="93" w:beforeLines="30" w:after="93" w:afterLines="30" w:line="360" w:lineRule="auto"/>
        <w:ind w:firstLine="560" w:firstLineChars="200"/>
        <w:jc w:val="left"/>
        <w:outlineLvl w:val="9"/>
        <w:rPr>
          <w:rFonts w:hint="eastAsia" w:ascii="Times New Roman" w:hAnsi="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1</w:t>
      </w:r>
      <w:r>
        <w:rPr>
          <w:rFonts w:hint="eastAsia" w:ascii="Times New Roman" w:hAnsi="Times New Roman" w:cs="Times New Roman"/>
          <w:color w:val="auto"/>
          <w:sz w:val="28"/>
          <w:szCs w:val="28"/>
          <w:lang w:val="en-US" w:eastAsia="zh-CN"/>
        </w:rPr>
        <w:t xml:space="preserve">  土地出让文件、城市更新单元规划批复等政府文件规定按装配式建筑要求实施的项目。</w:t>
      </w:r>
    </w:p>
    <w:p>
      <w:pPr>
        <w:adjustRightInd w:val="0"/>
        <w:snapToGrid w:val="0"/>
        <w:spacing w:before="93" w:beforeLines="30" w:after="93" w:afterLines="30" w:line="360" w:lineRule="auto"/>
        <w:ind w:firstLine="560" w:firstLineChars="200"/>
        <w:jc w:val="left"/>
        <w:outlineLvl w:val="9"/>
        <w:rPr>
          <w:rFonts w:hint="default" w:ascii="Times New Roman" w:hAnsi="Times New Roman" w:cs="Times New Roman"/>
          <w:color w:val="auto"/>
          <w:sz w:val="28"/>
          <w:szCs w:val="28"/>
          <w:lang w:eastAsia="zh-CN"/>
        </w:rPr>
      </w:pPr>
      <w:r>
        <w:rPr>
          <w:rFonts w:hint="eastAsia" w:ascii="Times New Roman" w:hAnsi="Times New Roman" w:eastAsia="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rPr>
        <w:t>政府投资单体建筑面积大于（含）</w:t>
      </w:r>
      <w:r>
        <w:rPr>
          <w:rFonts w:hint="default" w:ascii="Times New Roman" w:hAnsi="Times New Roman" w:eastAsia="Times New Roman" w:cs="Times New Roman"/>
          <w:color w:val="auto"/>
          <w:sz w:val="28"/>
          <w:szCs w:val="28"/>
        </w:rPr>
        <w:t>3000</w:t>
      </w:r>
      <w:r>
        <w:rPr>
          <w:rFonts w:hint="default" w:ascii="Times New Roman" w:hAnsi="Times New Roman" w:eastAsia="宋体" w:cs="Times New Roman"/>
          <w:color w:val="auto"/>
          <w:sz w:val="28"/>
          <w:szCs w:val="28"/>
        </w:rPr>
        <w:t>平方米的新建建筑和纳入市保障性住房建设计划的项目</w:t>
      </w:r>
      <w:r>
        <w:rPr>
          <w:rFonts w:hint="default" w:ascii="Times New Roman" w:hAnsi="Times New Roman" w:cs="Times New Roman"/>
          <w:color w:val="auto"/>
          <w:sz w:val="28"/>
          <w:szCs w:val="28"/>
          <w:lang w:eastAsia="zh-CN"/>
        </w:rPr>
        <w:t>。</w:t>
      </w:r>
    </w:p>
    <w:p>
      <w:pPr>
        <w:adjustRightInd w:val="0"/>
        <w:snapToGrid w:val="0"/>
        <w:spacing w:before="93" w:beforeLines="30" w:after="93" w:afterLines="30" w:line="360" w:lineRule="auto"/>
        <w:ind w:firstLine="560" w:firstLineChars="200"/>
        <w:jc w:val="left"/>
        <w:outlineLvl w:val="9"/>
        <w:rPr>
          <w:rFonts w:hint="eastAsia" w:ascii="Times New Roman" w:hAnsi="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3</w:t>
      </w:r>
      <w:r>
        <w:rPr>
          <w:rFonts w:hint="eastAsia" w:ascii="Times New Roman" w:hAnsi="Times New Roman" w:cs="Times New Roman"/>
          <w:color w:val="auto"/>
          <w:sz w:val="28"/>
          <w:szCs w:val="28"/>
          <w:lang w:val="en-US" w:eastAsia="zh-CN"/>
        </w:rPr>
        <w:t xml:space="preserve">  上述</w:t>
      </w:r>
      <w:r>
        <w:rPr>
          <w:rFonts w:hint="eastAsia" w:ascii="Times New Roman" w:hAnsi="Times New Roman" w:eastAsia="Times New Roman" w:cs="Times New Roman"/>
          <w:color w:val="auto"/>
          <w:sz w:val="28"/>
          <w:szCs w:val="28"/>
          <w:lang w:val="en-US" w:eastAsia="zh-CN"/>
        </w:rPr>
        <w:t>1</w:t>
      </w:r>
      <w:r>
        <w:rPr>
          <w:rFonts w:hint="eastAsia" w:ascii="Times New Roman" w:hAnsi="Times New Roman" w:cs="Times New Roman"/>
          <w:color w:val="auto"/>
          <w:sz w:val="28"/>
          <w:szCs w:val="28"/>
          <w:lang w:val="en-US" w:eastAsia="zh-CN"/>
        </w:rPr>
        <w:t>、</w:t>
      </w:r>
      <w:r>
        <w:rPr>
          <w:rFonts w:hint="eastAsia" w:ascii="Times New Roman" w:hAnsi="Times New Roman" w:eastAsia="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项外，建设单位在自有土地上实施装配式建筑，并申请建筑面积奖励的项目。</w:t>
      </w:r>
    </w:p>
    <w:p>
      <w:pPr>
        <w:adjustRightInd w:val="0"/>
        <w:snapToGrid w:val="0"/>
        <w:spacing w:before="93" w:beforeLines="30" w:after="93" w:afterLines="30" w:line="360" w:lineRule="auto"/>
        <w:ind w:firstLine="560" w:firstLineChars="200"/>
        <w:jc w:val="left"/>
        <w:outlineLvl w:val="9"/>
        <w:rPr>
          <w:rFonts w:hint="default" w:ascii="Times New Roman" w:hAnsi="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4</w:t>
      </w:r>
      <w:r>
        <w:rPr>
          <w:rFonts w:hint="eastAsia" w:ascii="Times New Roman" w:hAnsi="Times New Roman" w:cs="Times New Roman"/>
          <w:color w:val="auto"/>
          <w:sz w:val="28"/>
          <w:szCs w:val="28"/>
          <w:lang w:val="en-US" w:eastAsia="zh-CN"/>
        </w:rPr>
        <w:t xml:space="preserve">  其它政府主管部门要求进行装配式建筑评价的项目。</w:t>
      </w:r>
    </w:p>
    <w:p>
      <w:pPr>
        <w:adjustRightInd w:val="0"/>
        <w:snapToGrid w:val="0"/>
        <w:spacing w:before="93" w:beforeLines="30" w:after="93" w:afterLines="30" w:line="360" w:lineRule="auto"/>
        <w:ind w:firstLine="420" w:firstLineChars="200"/>
        <w:jc w:val="left"/>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（注：本条如政府有关部门有最新规定，以最新规定为准。）</w:t>
      </w:r>
    </w:p>
    <w:p>
      <w:pPr>
        <w:adjustRightInd w:val="0"/>
        <w:snapToGrid w:val="0"/>
        <w:spacing w:before="93" w:beforeLines="30" w:after="93" w:afterLines="30" w:line="360" w:lineRule="auto"/>
        <w:ind w:left="0" w:firstLine="0" w:firstLineChars="0"/>
        <w:jc w:val="left"/>
        <w:outlineLvl w:val="9"/>
        <w:rPr>
          <w:rFonts w:hint="eastAsia" w:ascii="宋体" w:hAnsi="宋体" w:cs="宋体"/>
          <w:color w:val="auto"/>
          <w:sz w:val="21"/>
          <w:szCs w:val="21"/>
          <w:lang w:val="en-US" w:eastAsia="zh-CN"/>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eastAsia" w:ascii="Times New Roman" w:hAnsi="Times New Roman" w:eastAsia="Times New Roman" w:cs="Times New Roman"/>
          <w:sz w:val="28"/>
          <w:szCs w:val="28"/>
          <w:lang w:val="en-US" w:eastAsia="zh-CN"/>
        </w:rPr>
        <w:t>4</w:t>
      </w:r>
      <w:r>
        <w:rPr>
          <w:rFonts w:hint="eastAsia" w:ascii="Times New Roman" w:hAnsi="Times New Roman" w:cs="Times New Roman"/>
          <w:sz w:val="28"/>
          <w:szCs w:val="28"/>
          <w:lang w:val="en-US" w:eastAsia="zh-CN"/>
        </w:rPr>
        <w:t xml:space="preserve">  装配式建筑</w:t>
      </w:r>
      <w:r>
        <w:rPr>
          <w:rFonts w:hint="default" w:ascii="Times New Roman" w:hAnsi="Times New Roman" w:cs="Times New Roman"/>
          <w:sz w:val="28"/>
          <w:szCs w:val="28"/>
        </w:rPr>
        <w:t>的设计除应符合本指南外，尚应符合国家</w:t>
      </w:r>
      <w:r>
        <w:rPr>
          <w:rFonts w:hint="default" w:ascii="Times New Roman" w:hAnsi="Times New Roman" w:cs="Times New Roman"/>
          <w:sz w:val="28"/>
          <w:szCs w:val="28"/>
          <w:lang w:eastAsia="zh-CN"/>
        </w:rPr>
        <w:t>、广东省及</w:t>
      </w:r>
      <w:r>
        <w:rPr>
          <w:rFonts w:hint="eastAsia" w:ascii="Times New Roman" w:hAnsi="Times New Roman" w:cs="Times New Roman"/>
          <w:sz w:val="28"/>
          <w:szCs w:val="28"/>
          <w:lang w:val="en-US" w:eastAsia="zh-CN"/>
        </w:rPr>
        <w:t>中山</w:t>
      </w:r>
      <w:r>
        <w:rPr>
          <w:rFonts w:hint="default" w:ascii="Times New Roman" w:hAnsi="Times New Roman" w:cs="Times New Roman"/>
          <w:sz w:val="28"/>
          <w:szCs w:val="28"/>
          <w:lang w:eastAsia="zh-CN"/>
        </w:rPr>
        <w:t>市</w:t>
      </w:r>
      <w:r>
        <w:rPr>
          <w:rFonts w:hint="eastAsia"/>
          <w:sz w:val="28"/>
          <w:szCs w:val="28"/>
          <w:lang w:eastAsia="zh-CN"/>
        </w:rPr>
        <w:t>的法律法规和</w:t>
      </w:r>
      <w:r>
        <w:rPr>
          <w:rFonts w:hint="eastAsia"/>
          <w:sz w:val="28"/>
          <w:szCs w:val="28"/>
        </w:rPr>
        <w:t>现行</w:t>
      </w:r>
      <w:r>
        <w:rPr>
          <w:rFonts w:hint="eastAsia"/>
          <w:sz w:val="28"/>
          <w:szCs w:val="28"/>
          <w:lang w:eastAsia="zh-CN"/>
        </w:rPr>
        <w:t>的</w:t>
      </w:r>
      <w:r>
        <w:rPr>
          <w:rFonts w:hint="eastAsia"/>
          <w:sz w:val="28"/>
          <w:szCs w:val="28"/>
        </w:rPr>
        <w:t>有关</w:t>
      </w:r>
      <w:r>
        <w:rPr>
          <w:rFonts w:hint="eastAsia"/>
          <w:sz w:val="28"/>
          <w:szCs w:val="28"/>
          <w:lang w:eastAsia="zh-CN"/>
        </w:rPr>
        <w:t>强制性</w:t>
      </w:r>
      <w:r>
        <w:rPr>
          <w:rFonts w:hint="eastAsia"/>
          <w:sz w:val="28"/>
          <w:szCs w:val="28"/>
        </w:rPr>
        <w:t>标准</w:t>
      </w:r>
      <w:r>
        <w:rPr>
          <w:rFonts w:hint="eastAsia"/>
          <w:sz w:val="28"/>
          <w:szCs w:val="28"/>
          <w:lang w:val="en-US" w:eastAsia="zh-CN"/>
        </w:rPr>
        <w:t>规定</w:t>
      </w:r>
      <w:r>
        <w:rPr>
          <w:rFonts w:hint="eastAsia"/>
          <w:sz w:val="28"/>
          <w:szCs w:val="28"/>
        </w:rPr>
        <w:t>。</w:t>
      </w:r>
    </w:p>
    <w:p>
      <w:pPr>
        <w:rPr>
          <w:rFonts w:hint="eastAsia" w:ascii="宋体" w:hAnsi="宋体" w:cs="宋体"/>
          <w:color w:val="auto"/>
          <w:sz w:val="21"/>
          <w:szCs w:val="21"/>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both"/>
        <w:rPr>
          <w:rFonts w:hint="eastAsia" w:ascii="宋体" w:hAnsi="宋体" w:eastAsia="宋体" w:cs="宋体"/>
          <w:sz w:val="32"/>
          <w:szCs w:val="32"/>
          <w:lang w:val="en-US" w:eastAsia="zh-CN"/>
        </w:rPr>
      </w:pPr>
    </w:p>
    <w:p>
      <w:pPr>
        <w:pStyle w:val="5"/>
        <w:bidi w:val="0"/>
        <w:jc w:val="both"/>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pStyle w:val="3"/>
        <w:spacing w:line="360" w:lineRule="auto"/>
        <w:rPr>
          <w:rFonts w:hint="eastAsia"/>
          <w:lang w:val="en-US" w:eastAsia="zh-CN"/>
        </w:rPr>
      </w:pPr>
      <w:bookmarkStart w:id="459" w:name="_Toc8991"/>
      <w:bookmarkStart w:id="460" w:name="_Toc10250"/>
      <w:bookmarkStart w:id="461" w:name="_Toc9574"/>
      <w:bookmarkStart w:id="462" w:name="_Toc1827"/>
      <w:bookmarkStart w:id="463" w:name="_Toc29222"/>
      <w:bookmarkStart w:id="464" w:name="_Toc29383"/>
      <w:bookmarkStart w:id="465" w:name="_Toc3394"/>
      <w:bookmarkStart w:id="466" w:name="_Toc30496"/>
      <w:bookmarkStart w:id="467" w:name="_Toc4770"/>
      <w:bookmarkStart w:id="468" w:name="_Toc13423"/>
      <w:bookmarkStart w:id="469" w:name="_Toc27972"/>
      <w:bookmarkStart w:id="470" w:name="_Toc21710"/>
      <w:bookmarkStart w:id="471" w:name="_Toc4751"/>
      <w:bookmarkStart w:id="472" w:name="_Toc1460"/>
      <w:bookmarkStart w:id="473" w:name="_Toc27124"/>
      <w:bookmarkStart w:id="474" w:name="_Toc12176"/>
      <w:bookmarkStart w:id="475" w:name="_Toc16567"/>
      <w:bookmarkStart w:id="476" w:name="_Toc31774"/>
      <w:r>
        <w:rPr>
          <w:rFonts w:hint="default" w:ascii="Times New Roman" w:hAnsi="Times New Roman" w:eastAsia="Times New Roman" w:cs="Times New Roman"/>
          <w:sz w:val="32"/>
          <w:szCs w:val="24"/>
          <w:lang w:val="en-US" w:eastAsia="zh-CN"/>
        </w:rPr>
        <w:t>2</w:t>
      </w:r>
      <w:r>
        <w:rPr>
          <w:rFonts w:hint="default" w:ascii="宋体" w:hAnsi="宋体" w:eastAsia="宋体" w:cs="宋体"/>
          <w:sz w:val="32"/>
          <w:szCs w:val="24"/>
          <w:lang w:val="en-US" w:eastAsia="zh-CN"/>
        </w:rPr>
        <w:t xml:space="preserve"> </w:t>
      </w:r>
      <w:r>
        <w:rPr>
          <w:rFonts w:hint="default" w:cs="宋体"/>
          <w:sz w:val="32"/>
          <w:szCs w:val="24"/>
          <w:lang w:val="en-US" w:eastAsia="zh-CN"/>
        </w:rPr>
        <w:t xml:space="preserve"> </w:t>
      </w:r>
      <w:r>
        <w:rPr>
          <w:rFonts w:hint="default" w:ascii="宋体" w:hAnsi="宋体" w:eastAsia="宋体" w:cs="宋体"/>
          <w:sz w:val="32"/>
          <w:szCs w:val="24"/>
          <w:lang w:val="en-US" w:eastAsia="zh-CN"/>
        </w:rPr>
        <w:t>术</w:t>
      </w:r>
      <w:r>
        <w:rPr>
          <w:rFonts w:hint="default" w:cs="宋体"/>
          <w:sz w:val="32"/>
          <w:szCs w:val="24"/>
          <w:lang w:val="en-US" w:eastAsia="zh-CN"/>
        </w:rPr>
        <w:t xml:space="preserve">  </w:t>
      </w:r>
      <w:r>
        <w:rPr>
          <w:rFonts w:hint="default" w:ascii="宋体" w:hAnsi="宋体" w:eastAsia="宋体" w:cs="宋体"/>
          <w:sz w:val="32"/>
          <w:szCs w:val="24"/>
          <w:lang w:val="en-US" w:eastAsia="zh-CN"/>
        </w:rPr>
        <w:t>语</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装配式建筑</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prefabricated building</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由预制部品部件在工地装配而成的建筑。</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装配率</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prefabrication ratio</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建筑评价范围以内（室外地坪以上）的主体结构、围护墙、内隔墙、装修和设备管线等采用预制部品部件及标准化设计、绿色与信息化技术应用、施工与管理等的综合比例。</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全装修</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decorated</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建筑功能空间的固定面装修和设备设施安装全部完成，达到建筑使用功能和性能的基本要求。</w:t>
      </w:r>
    </w:p>
    <w:p>
      <w:pPr>
        <w:snapToGrid w:val="0"/>
        <w:spacing w:line="360" w:lineRule="auto"/>
        <w:rPr>
          <w:rFonts w:hint="default"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集成厨房</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integrated kitchen</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地面、吊顶、墙面、橱柜、厨房设备及管线等通过设计集成、工厂生产，在工地现场主要采用干式工法施工完成的厨房。</w:t>
      </w:r>
    </w:p>
    <w:p>
      <w:pPr>
        <w:snapToGrid w:val="0"/>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5</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集成卫生间</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integrated bathroom</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地面、吊顶、墙面、洁具设备及管线等通过设计集成、工厂生产，在工地主要采用干式工法装配而成的卫生间。</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干式工法</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non-wet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construction</w:t>
      </w:r>
    </w:p>
    <w:p>
      <w:pPr>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采用干作业的施工方法。</w:t>
      </w:r>
    </w:p>
    <w:p>
      <w:pPr>
        <w:rPr>
          <w:rFonts w:hint="eastAsia" w:ascii="宋体" w:hAnsi="宋体" w:eastAsia="宋体" w:cs="宋体"/>
          <w:sz w:val="28"/>
          <w:szCs w:val="28"/>
          <w:lang w:val="en-US" w:eastAsia="zh-CN"/>
        </w:rPr>
      </w:pPr>
    </w:p>
    <w:p>
      <w:pPr>
        <w:rPr>
          <w:rFonts w:hint="eastAsia"/>
          <w:lang w:val="en-US" w:eastAsia="zh-CN"/>
        </w:rPr>
      </w:pPr>
    </w:p>
    <w:p>
      <w:pPr>
        <w:pStyle w:val="3"/>
        <w:spacing w:line="360" w:lineRule="auto"/>
        <w:rPr>
          <w:rFonts w:hint="default"/>
          <w:lang w:val="en-US" w:eastAsia="zh-CN"/>
        </w:rPr>
      </w:pPr>
      <w:bookmarkStart w:id="477" w:name="_Toc7784"/>
      <w:bookmarkStart w:id="478" w:name="_Toc7581"/>
      <w:bookmarkStart w:id="479" w:name="_Toc11380"/>
      <w:bookmarkStart w:id="480" w:name="_Toc5236"/>
      <w:bookmarkStart w:id="481" w:name="_Toc27509"/>
      <w:bookmarkStart w:id="482" w:name="_Toc30162"/>
      <w:bookmarkStart w:id="483" w:name="_Toc8462"/>
      <w:bookmarkStart w:id="484" w:name="_Toc7211"/>
      <w:bookmarkStart w:id="485" w:name="_Toc3825"/>
      <w:bookmarkStart w:id="486" w:name="_Toc18304"/>
      <w:bookmarkStart w:id="487" w:name="_Toc18306"/>
      <w:bookmarkStart w:id="488" w:name="_Toc1956"/>
      <w:bookmarkStart w:id="489" w:name="_Toc31815"/>
      <w:r>
        <w:rPr>
          <w:rFonts w:hint="default" w:ascii="Times New Roman" w:hAnsi="Times New Roman" w:eastAsia="Times New Roman" w:cs="Times New Roman"/>
          <w:b/>
          <w:bCs/>
          <w:sz w:val="32"/>
          <w:szCs w:val="24"/>
          <w:lang w:val="en-US" w:eastAsia="zh-CN"/>
        </w:rPr>
        <w:t>3</w:t>
      </w:r>
      <w:r>
        <w:rPr>
          <w:rFonts w:hint="default" w:ascii="Times New Roman" w:hAnsi="Times New Roman" w:cs="Times New Roman"/>
          <w:b/>
          <w:bCs/>
          <w:sz w:val="32"/>
          <w:szCs w:val="24"/>
          <w:lang w:val="en-US" w:eastAsia="zh-CN"/>
        </w:rPr>
        <w:t xml:space="preserve"> </w:t>
      </w:r>
      <w:r>
        <w:rPr>
          <w:rFonts w:hint="default" w:ascii="Times New Roman" w:hAnsi="Times New Roman" w:eastAsia="宋体" w:cs="Times New Roman"/>
          <w:b/>
          <w:bCs/>
          <w:sz w:val="32"/>
          <w:szCs w:val="24"/>
          <w:lang w:val="en-US" w:eastAsia="zh-CN"/>
        </w:rPr>
        <w:t xml:space="preserve"> </w:t>
      </w:r>
      <w:r>
        <w:rPr>
          <w:rFonts w:hint="default" w:cs="Times New Roman"/>
          <w:b/>
          <w:bCs/>
          <w:sz w:val="32"/>
          <w:szCs w:val="24"/>
          <w:lang w:val="en-US" w:eastAsia="zh-CN"/>
        </w:rPr>
        <w:t>一般规定</w:t>
      </w:r>
      <w:bookmarkEnd w:id="477"/>
      <w:bookmarkEnd w:id="478"/>
      <w:bookmarkEnd w:id="479"/>
      <w:bookmarkEnd w:id="480"/>
      <w:bookmarkEnd w:id="481"/>
      <w:bookmarkEnd w:id="482"/>
      <w:bookmarkEnd w:id="483"/>
      <w:bookmarkEnd w:id="484"/>
      <w:bookmarkEnd w:id="485"/>
      <w:bookmarkEnd w:id="486"/>
      <w:bookmarkEnd w:id="487"/>
      <w:bookmarkEnd w:id="488"/>
      <w:bookmarkEnd w:id="489"/>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装配率计算和装配式建筑等级评价宜以单体建筑作为计算和评价单元，并应符合下列规定：</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单体建筑应按项目规划批准文件的建筑编号确认</w:t>
      </w:r>
      <w:r>
        <w:rPr>
          <w:rFonts w:hint="eastAsia" w:ascii="仿宋" w:hAnsi="仿宋" w:eastAsia="仿宋"/>
          <w:color w:val="auto"/>
          <w:sz w:val="28"/>
          <w:szCs w:val="28"/>
          <w:lang w:eastAsia="zh-CN"/>
        </w:rPr>
        <w:t>，</w:t>
      </w:r>
      <w:r>
        <w:rPr>
          <w:rFonts w:hint="eastAsia" w:ascii="宋体" w:hAnsi="宋体" w:eastAsia="宋体" w:cs="宋体"/>
          <w:color w:val="auto"/>
          <w:sz w:val="28"/>
          <w:szCs w:val="28"/>
          <w:lang w:val="en-US" w:eastAsia="zh-CN"/>
        </w:rPr>
        <w:t>当申请奖励面积项目需在规划许可前申请预评价时，单体建筑可临时编号，当临时编号与项目规划审批图纸的建筑编号有异时，应在规划申报前向</w:t>
      </w:r>
      <w:r>
        <w:rPr>
          <w:rFonts w:hint="eastAsia" w:ascii="宋体" w:hAnsi="宋体" w:cs="宋体"/>
          <w:color w:val="auto"/>
          <w:sz w:val="28"/>
          <w:szCs w:val="28"/>
          <w:lang w:val="en-US" w:eastAsia="zh-CN"/>
        </w:rPr>
        <w:t>市</w:t>
      </w:r>
      <w:r>
        <w:rPr>
          <w:rFonts w:hint="eastAsia" w:ascii="宋体" w:hAnsi="宋体" w:eastAsia="宋体" w:cs="宋体"/>
          <w:color w:val="auto"/>
          <w:sz w:val="28"/>
          <w:szCs w:val="28"/>
          <w:lang w:val="en-US" w:eastAsia="zh-CN"/>
        </w:rPr>
        <w:t>住</w:t>
      </w:r>
      <w:r>
        <w:rPr>
          <w:rFonts w:hint="eastAsia" w:ascii="宋体" w:hAnsi="宋体" w:cs="宋体"/>
          <w:color w:val="auto"/>
          <w:sz w:val="28"/>
          <w:szCs w:val="28"/>
          <w:lang w:val="en-US" w:eastAsia="zh-CN"/>
        </w:rPr>
        <w:t>房和城乡</w:t>
      </w:r>
      <w:r>
        <w:rPr>
          <w:rFonts w:hint="eastAsia" w:ascii="宋体" w:hAnsi="宋体" w:eastAsia="宋体" w:cs="宋体"/>
          <w:color w:val="auto"/>
          <w:sz w:val="28"/>
          <w:szCs w:val="28"/>
          <w:lang w:val="en-US" w:eastAsia="zh-CN"/>
        </w:rPr>
        <w:t>建</w:t>
      </w:r>
      <w:r>
        <w:rPr>
          <w:rFonts w:hint="eastAsia" w:ascii="宋体" w:hAnsi="宋体" w:cs="宋体"/>
          <w:color w:val="auto"/>
          <w:sz w:val="28"/>
          <w:szCs w:val="28"/>
          <w:lang w:val="en-US" w:eastAsia="zh-CN"/>
        </w:rPr>
        <w:t>设</w:t>
      </w:r>
      <w:r>
        <w:rPr>
          <w:rFonts w:hint="eastAsia" w:ascii="宋体" w:hAnsi="宋体" w:eastAsia="宋体" w:cs="宋体"/>
          <w:color w:val="auto"/>
          <w:sz w:val="28"/>
          <w:szCs w:val="28"/>
          <w:lang w:val="en-US" w:eastAsia="zh-CN"/>
        </w:rPr>
        <w:t>局提交变更申请；</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单体建筑由主楼、裙楼组成时，主楼、裙楼可按不同的单体建筑进行计算和评价；</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单体建筑的层数不大于</w:t>
      </w:r>
      <w:r>
        <w:rPr>
          <w:rFonts w:hint="eastAsia" w:ascii="宋体" w:hAnsi="宋体" w:eastAsia="Times New Roman" w:cs="宋体"/>
          <w:sz w:val="28"/>
          <w:szCs w:val="28"/>
          <w:lang w:val="en-US" w:eastAsia="zh-CN"/>
        </w:rPr>
        <w:t>3</w:t>
      </w:r>
      <w:r>
        <w:rPr>
          <w:rFonts w:hint="eastAsia" w:ascii="宋体" w:hAnsi="宋体" w:eastAsia="宋体" w:cs="宋体"/>
          <w:sz w:val="28"/>
          <w:szCs w:val="28"/>
          <w:lang w:val="en-US" w:eastAsia="zh-CN"/>
        </w:rPr>
        <w:t>层，且地上建筑面积不超过</w:t>
      </w:r>
      <w:r>
        <w:rPr>
          <w:rFonts w:hint="eastAsia" w:ascii="宋体" w:hAnsi="宋体" w:eastAsia="Times New Roman" w:cs="宋体"/>
          <w:sz w:val="28"/>
          <w:szCs w:val="28"/>
          <w:lang w:val="en-US" w:eastAsia="zh-CN"/>
        </w:rPr>
        <w:t>500</w:t>
      </w:r>
      <w:r>
        <w:rPr>
          <w:rFonts w:hint="eastAsia" w:ascii="宋体" w:hAnsi="宋体" w:eastAsia="宋体" w:cs="宋体"/>
          <w:sz w:val="28"/>
          <w:szCs w:val="28"/>
          <w:lang w:val="en-US" w:eastAsia="zh-CN"/>
        </w:rPr>
        <w:t>㎡时，可由多个单体建筑组成建筑组团作为计算和评价单元；</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4</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地下建筑（含地下室）可单独进行计算和评价。</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装配式建筑评价应符合下列规定：</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设计阶段应进行预评价，并按应设计文件计算装配率；</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项目评价应在项目竣工验收阶段进行，并应按竣工验收资料计算装配率确定评价等级。</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单体建筑（评价单元）同时满足下列要求时，认定为装配式建筑：</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主体结构部分的评价分值不低于</w:t>
      </w:r>
      <w:r>
        <w:rPr>
          <w:rFonts w:hint="eastAsia" w:ascii="宋体" w:hAnsi="宋体" w:eastAsia="Times New Roman" w:cs="宋体"/>
          <w:sz w:val="28"/>
          <w:szCs w:val="28"/>
          <w:lang w:val="en-US" w:eastAsia="zh-CN"/>
        </w:rPr>
        <w:t>20</w:t>
      </w:r>
      <w:r>
        <w:rPr>
          <w:rFonts w:hint="eastAsia" w:ascii="宋体" w:hAnsi="宋体" w:eastAsia="宋体" w:cs="宋体"/>
          <w:sz w:val="28"/>
          <w:szCs w:val="28"/>
          <w:lang w:val="en-US" w:eastAsia="zh-CN"/>
        </w:rPr>
        <w:t>分；</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围护墙和内隔墙部分的评价分值不低于</w:t>
      </w:r>
      <w:r>
        <w:rPr>
          <w:rFonts w:hint="eastAsia" w:ascii="宋体" w:hAnsi="宋体" w:eastAsia="Times New Roman" w:cs="宋体"/>
          <w:sz w:val="28"/>
          <w:szCs w:val="28"/>
          <w:lang w:val="en-US" w:eastAsia="zh-CN"/>
        </w:rPr>
        <w:t>10</w:t>
      </w:r>
      <w:r>
        <w:rPr>
          <w:rFonts w:hint="eastAsia" w:ascii="宋体" w:hAnsi="宋体" w:eastAsia="宋体" w:cs="宋体"/>
          <w:sz w:val="28"/>
          <w:szCs w:val="28"/>
          <w:lang w:val="en-US" w:eastAsia="zh-CN"/>
        </w:rPr>
        <w:t>分；</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采用全装修；</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4</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装配率不低于</w:t>
      </w:r>
      <w:r>
        <w:rPr>
          <w:rFonts w:hint="eastAsia" w:ascii="宋体" w:hAnsi="宋体" w:eastAsia="Times New Roman" w:cs="宋体"/>
          <w:sz w:val="28"/>
          <w:szCs w:val="28"/>
          <w:lang w:val="en-US" w:eastAsia="zh-CN"/>
        </w:rPr>
        <w:t>50</w:t>
      </w:r>
      <w:r>
        <w:rPr>
          <w:rFonts w:hint="eastAsia" w:ascii="宋体" w:hAnsi="宋体" w:eastAsia="宋体" w:cs="宋体"/>
          <w:sz w:val="28"/>
          <w:szCs w:val="28"/>
          <w:lang w:val="en-US" w:eastAsia="zh-CN"/>
        </w:rPr>
        <w:t>%。</w:t>
      </w:r>
    </w:p>
    <w:p>
      <w:pPr>
        <w:snapToGrid w:val="0"/>
        <w:spacing w:line="360" w:lineRule="auto"/>
        <w:rPr>
          <w:rFonts w:hint="default"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本指南</w:t>
      </w:r>
      <w:r>
        <w:rPr>
          <w:rFonts w:hint="eastAsia" w:ascii="宋体" w:hAnsi="宋体" w:eastAsia="Times New Roman" w:cs="宋体"/>
          <w:sz w:val="28"/>
          <w:szCs w:val="28"/>
          <w:lang w:val="en-US" w:eastAsia="zh-CN"/>
        </w:rPr>
        <w:t>1</w:t>
      </w:r>
      <w:r>
        <w:rPr>
          <w:rFonts w:hint="eastAsia" w:ascii="宋体" w:hAnsi="宋体" w:cs="宋体"/>
          <w:sz w:val="28"/>
          <w:szCs w:val="28"/>
          <w:lang w:val="en-US" w:eastAsia="zh-CN"/>
        </w:rPr>
        <w:t>.</w:t>
      </w:r>
      <w:r>
        <w:rPr>
          <w:rFonts w:hint="eastAsia" w:ascii="宋体" w:hAnsi="宋体" w:eastAsia="Times New Roman" w:cs="宋体"/>
          <w:sz w:val="28"/>
          <w:szCs w:val="28"/>
          <w:lang w:val="en-US" w:eastAsia="zh-CN"/>
        </w:rPr>
        <w:t>0</w:t>
      </w:r>
      <w:r>
        <w:rPr>
          <w:rFonts w:hint="eastAsia" w:ascii="宋体" w:hAnsi="宋体" w:cs="宋体"/>
          <w:sz w:val="28"/>
          <w:szCs w:val="28"/>
          <w:lang w:val="en-US" w:eastAsia="zh-CN"/>
        </w:rPr>
        <w:t>.</w:t>
      </w:r>
      <w:r>
        <w:rPr>
          <w:rFonts w:hint="eastAsia" w:ascii="宋体" w:hAnsi="宋体" w:eastAsia="Times New Roman" w:cs="宋体"/>
          <w:sz w:val="28"/>
          <w:szCs w:val="28"/>
          <w:lang w:val="en-US" w:eastAsia="zh-CN"/>
        </w:rPr>
        <w:t>3</w:t>
      </w:r>
      <w:r>
        <w:rPr>
          <w:rFonts w:hint="eastAsia" w:ascii="宋体" w:hAnsi="宋体" w:cs="宋体"/>
          <w:sz w:val="28"/>
          <w:szCs w:val="28"/>
          <w:lang w:val="en-US" w:eastAsia="zh-CN"/>
        </w:rPr>
        <w:t>条所涵括装配式建筑项目各设计阶段、施工图审查及钢筋混凝土预制构件深化的有关要求：</w:t>
      </w:r>
    </w:p>
    <w:p>
      <w:pPr>
        <w:snapToGrid w:val="0"/>
        <w:spacing w:line="360" w:lineRule="auto"/>
        <w:ind w:firstLine="560" w:firstLineChars="200"/>
        <w:rPr>
          <w:rFonts w:hint="eastAsia"/>
          <w:sz w:val="28"/>
          <w:szCs w:val="28"/>
        </w:rPr>
      </w:pPr>
      <w:r>
        <w:rPr>
          <w:rFonts w:hint="default" w:ascii="Times New Roman" w:hAnsi="Times New Roman" w:eastAsia="Times New Roman" w:cs="Times New Roman"/>
          <w:sz w:val="28"/>
          <w:szCs w:val="28"/>
          <w:lang w:val="en-US" w:eastAsia="zh-CN"/>
        </w:rPr>
        <w:t>1</w:t>
      </w:r>
      <w:r>
        <w:rPr>
          <w:rFonts w:hint="eastAsia"/>
          <w:sz w:val="28"/>
          <w:szCs w:val="28"/>
          <w:lang w:val="en-US" w:eastAsia="zh-CN"/>
        </w:rPr>
        <w:t xml:space="preserve">  </w:t>
      </w:r>
      <w:r>
        <w:rPr>
          <w:rFonts w:hint="eastAsia"/>
          <w:sz w:val="28"/>
          <w:szCs w:val="28"/>
        </w:rPr>
        <w:t>在方案设计阶段，设计单位应当按照装配式建筑技术要求进行设计。方案设计文件应当对实施装配式建筑的建筑面积、结构类型和装配率等内容进行专篇说明。申请建筑面积奖励的装配式建筑项目，还应当对申请奖励的住宅面积和比例等内容予以说明。</w:t>
      </w:r>
    </w:p>
    <w:p>
      <w:pPr>
        <w:numPr>
          <w:ilvl w:val="0"/>
          <w:numId w:val="0"/>
        </w:numPr>
        <w:snapToGrid w:val="0"/>
        <w:spacing w:line="360" w:lineRule="auto"/>
        <w:ind w:firstLine="560" w:firstLineChars="200"/>
        <w:rPr>
          <w:rFonts w:hint="eastAsia"/>
          <w:sz w:val="28"/>
          <w:szCs w:val="28"/>
        </w:rPr>
      </w:pP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 xml:space="preserve"> </w:t>
      </w:r>
      <w:r>
        <w:rPr>
          <w:rFonts w:hint="eastAsia"/>
          <w:sz w:val="28"/>
          <w:szCs w:val="28"/>
          <w:lang w:val="en-US" w:eastAsia="zh-CN"/>
        </w:rPr>
        <w:t xml:space="preserve"> </w:t>
      </w:r>
      <w:r>
        <w:rPr>
          <w:rFonts w:hint="eastAsia"/>
          <w:sz w:val="28"/>
          <w:szCs w:val="28"/>
        </w:rPr>
        <w:t>在初步设计阶段，建设单位应当编制装配式建筑项目装配率计算书及实施方案。依法应当进行超限高层建筑工程抗震设防专项审查的项目，应当先完成专项审查。设计文件应当对实施装配式建筑的建筑面积、结构类型、预制构件种类、装配式施工技术、装配率等内容进行专篇说明。</w:t>
      </w:r>
    </w:p>
    <w:p>
      <w:pPr>
        <w:numPr>
          <w:ilvl w:val="0"/>
          <w:numId w:val="0"/>
        </w:numPr>
        <w:snapToGrid w:val="0"/>
        <w:spacing w:line="360" w:lineRule="auto"/>
        <w:ind w:leftChars="0" w:firstLine="560" w:firstLineChars="200"/>
        <w:rPr>
          <w:rFonts w:hint="eastAsia"/>
          <w:color w:val="auto"/>
          <w:sz w:val="28"/>
          <w:szCs w:val="28"/>
          <w:lang w:eastAsia="zh-CN"/>
        </w:rPr>
      </w:pPr>
      <w:r>
        <w:rPr>
          <w:rFonts w:hint="eastAsia" w:eastAsia="Times New Roman"/>
          <w:sz w:val="28"/>
          <w:szCs w:val="28"/>
          <w:lang w:val="en-US" w:eastAsia="zh-CN"/>
        </w:rPr>
        <w:t>3</w:t>
      </w:r>
      <w:r>
        <w:rPr>
          <w:rFonts w:hint="eastAsia"/>
          <w:sz w:val="28"/>
          <w:szCs w:val="28"/>
          <w:lang w:val="en-US" w:eastAsia="zh-CN"/>
        </w:rPr>
        <w:t xml:space="preserve">  </w:t>
      </w:r>
      <w:r>
        <w:rPr>
          <w:rFonts w:hint="eastAsia"/>
          <w:color w:val="auto"/>
          <w:sz w:val="28"/>
          <w:szCs w:val="28"/>
        </w:rPr>
        <w:t>在施工图设计阶段，</w:t>
      </w:r>
      <w:r>
        <w:rPr>
          <w:rFonts w:hint="eastAsia"/>
          <w:color w:val="auto"/>
          <w:sz w:val="28"/>
          <w:szCs w:val="28"/>
          <w:lang w:val="en-US" w:eastAsia="zh-CN"/>
        </w:rPr>
        <w:t>设计图纸应包含《</w:t>
      </w:r>
      <w:r>
        <w:rPr>
          <w:rFonts w:hint="eastAsia" w:ascii="宋体" w:hAnsi="宋体" w:eastAsia="宋体" w:cs="宋体"/>
          <w:b w:val="0"/>
          <w:bCs/>
          <w:color w:val="auto"/>
          <w:sz w:val="28"/>
          <w:szCs w:val="28"/>
          <w:lang w:val="en-US" w:eastAsia="zh-CN"/>
        </w:rPr>
        <w:t>中山市装配式建筑设计说明专篇</w:t>
      </w:r>
      <w:r>
        <w:rPr>
          <w:rFonts w:hint="eastAsia"/>
          <w:color w:val="auto"/>
          <w:sz w:val="28"/>
          <w:szCs w:val="28"/>
          <w:lang w:val="en-US" w:eastAsia="zh-CN"/>
        </w:rPr>
        <w:t>》</w:t>
      </w:r>
      <w:r>
        <w:rPr>
          <w:rFonts w:hint="eastAsia" w:ascii="宋体" w:hAnsi="宋体" w:eastAsia="宋体" w:cs="宋体"/>
          <w:b w:val="0"/>
          <w:bCs/>
          <w:color w:val="auto"/>
          <w:sz w:val="28"/>
          <w:szCs w:val="28"/>
          <w:lang w:val="en-US" w:eastAsia="zh-CN"/>
        </w:rPr>
        <w:t>及</w:t>
      </w:r>
      <w:r>
        <w:rPr>
          <w:rFonts w:hint="eastAsia"/>
          <w:color w:val="auto"/>
          <w:sz w:val="28"/>
          <w:szCs w:val="28"/>
          <w:lang w:val="en-US" w:eastAsia="zh-CN"/>
        </w:rPr>
        <w:t>《中山市装配式建筑设计阶段评分审查表》</w:t>
      </w:r>
      <w:r>
        <w:rPr>
          <w:rFonts w:hint="eastAsia" w:ascii="宋体" w:hAnsi="宋体" w:eastAsia="宋体" w:cs="宋体"/>
          <w:b w:val="0"/>
          <w:bCs/>
          <w:color w:val="auto"/>
          <w:sz w:val="28"/>
          <w:szCs w:val="28"/>
          <w:lang w:val="en-US" w:eastAsia="zh-CN"/>
        </w:rPr>
        <w:t>，</w:t>
      </w:r>
      <w:r>
        <w:rPr>
          <w:rFonts w:hint="eastAsia"/>
          <w:color w:val="auto"/>
          <w:sz w:val="28"/>
          <w:szCs w:val="28"/>
        </w:rPr>
        <w:t>各专业设计说明和设计图纸中应有装配式建筑专项内容</w:t>
      </w:r>
      <w:r>
        <w:rPr>
          <w:rFonts w:hint="eastAsia"/>
          <w:color w:val="auto"/>
          <w:sz w:val="28"/>
          <w:szCs w:val="28"/>
          <w:lang w:eastAsia="zh-CN"/>
        </w:rPr>
        <w:t>（</w:t>
      </w:r>
      <w:r>
        <w:rPr>
          <w:rFonts w:hint="eastAsia"/>
          <w:color w:val="auto"/>
          <w:sz w:val="28"/>
          <w:szCs w:val="28"/>
          <w:lang w:val="en-US" w:eastAsia="zh-CN"/>
        </w:rPr>
        <w:t>应含有各专业装配式专项说明、装配式节点大样），</w:t>
      </w:r>
      <w:r>
        <w:rPr>
          <w:rFonts w:hint="eastAsia"/>
          <w:color w:val="auto"/>
          <w:sz w:val="28"/>
          <w:szCs w:val="28"/>
        </w:rPr>
        <w:t>设计图纸需用不同图例注明预制构件的种类，标示预制构件的位置，列明所用预制构件的清单表</w:t>
      </w:r>
      <w:r>
        <w:rPr>
          <w:rFonts w:hint="eastAsia"/>
          <w:color w:val="auto"/>
          <w:sz w:val="28"/>
          <w:szCs w:val="28"/>
          <w:lang w:eastAsia="zh-CN"/>
        </w:rPr>
        <w:t>。</w:t>
      </w:r>
    </w:p>
    <w:p>
      <w:pPr>
        <w:numPr>
          <w:ilvl w:val="0"/>
          <w:numId w:val="0"/>
        </w:numPr>
        <w:snapToGrid w:val="0"/>
        <w:spacing w:line="360" w:lineRule="auto"/>
        <w:ind w:leftChars="0" w:firstLine="560" w:firstLineChars="200"/>
        <w:rPr>
          <w:rFonts w:hint="eastAsia"/>
          <w:color w:val="auto"/>
          <w:sz w:val="28"/>
          <w:szCs w:val="28"/>
          <w:lang w:val="en-US" w:eastAsia="zh-CN"/>
        </w:rPr>
      </w:pPr>
      <w:r>
        <w:rPr>
          <w:rFonts w:hint="eastAsia"/>
          <w:color w:val="auto"/>
          <w:sz w:val="28"/>
          <w:szCs w:val="28"/>
          <w:shd w:val="clear" w:color="auto" w:fill="auto"/>
          <w:lang w:val="en-US" w:eastAsia="zh-CN"/>
        </w:rPr>
        <w:t>除装修设计文件外</w:t>
      </w:r>
      <w:r>
        <w:rPr>
          <w:rFonts w:hint="eastAsia"/>
          <w:color w:val="auto"/>
          <w:sz w:val="28"/>
          <w:szCs w:val="28"/>
          <w:lang w:val="en-US" w:eastAsia="zh-CN"/>
        </w:rPr>
        <w:t>，本款所述装配式相关设计图纸均应由主体设计单位审核、盖章出图。</w:t>
      </w:r>
    </w:p>
    <w:p>
      <w:pPr>
        <w:numPr>
          <w:ilvl w:val="0"/>
          <w:numId w:val="0"/>
        </w:numPr>
        <w:snapToGrid w:val="0"/>
        <w:spacing w:line="360" w:lineRule="auto"/>
        <w:ind w:leftChars="0" w:firstLine="420" w:firstLineChars="200"/>
        <w:rPr>
          <w:rFonts w:hint="default"/>
          <w:color w:val="auto"/>
          <w:sz w:val="21"/>
          <w:szCs w:val="21"/>
          <w:lang w:val="en-US" w:eastAsia="zh-CN"/>
        </w:rPr>
      </w:pPr>
      <w:r>
        <w:rPr>
          <w:rFonts w:hint="eastAsia"/>
          <w:color w:val="auto"/>
          <w:sz w:val="21"/>
          <w:szCs w:val="21"/>
          <w:lang w:val="en-US" w:eastAsia="zh-CN"/>
        </w:rPr>
        <w:t>（注：主体设计单位即项目五方责任主体中的设计单位。）</w:t>
      </w:r>
    </w:p>
    <w:p>
      <w:pPr>
        <w:numPr>
          <w:ilvl w:val="0"/>
          <w:numId w:val="0"/>
        </w:numPr>
        <w:snapToGrid w:val="0"/>
        <w:spacing w:line="360" w:lineRule="auto"/>
        <w:ind w:leftChars="0" w:firstLine="560" w:firstLineChars="200"/>
        <w:rPr>
          <w:rFonts w:hint="eastAsia"/>
          <w:color w:val="auto"/>
          <w:sz w:val="28"/>
          <w:szCs w:val="28"/>
          <w:lang w:val="en-US" w:eastAsia="zh-CN"/>
        </w:rPr>
      </w:pPr>
      <w:r>
        <w:rPr>
          <w:rFonts w:hint="eastAsia" w:eastAsia="Times New Roman"/>
          <w:sz w:val="28"/>
          <w:szCs w:val="28"/>
          <w:lang w:val="en-US" w:eastAsia="zh-CN"/>
        </w:rPr>
        <w:t>4</w:t>
      </w:r>
      <w:r>
        <w:rPr>
          <w:rFonts w:hint="eastAsia"/>
          <w:sz w:val="28"/>
          <w:szCs w:val="28"/>
          <w:lang w:val="en-US" w:eastAsia="zh-CN"/>
        </w:rPr>
        <w:t xml:space="preserve">  </w:t>
      </w:r>
      <w:r>
        <w:rPr>
          <w:rFonts w:hint="eastAsia"/>
          <w:color w:val="auto"/>
          <w:sz w:val="28"/>
          <w:szCs w:val="28"/>
        </w:rPr>
        <w:t>建设单位委托施工图审查机构审查时，应当明确将装配率作为审查内容。</w:t>
      </w:r>
      <w:r>
        <w:rPr>
          <w:rFonts w:hint="eastAsia"/>
          <w:color w:val="auto"/>
          <w:sz w:val="28"/>
          <w:szCs w:val="28"/>
          <w:lang w:val="en-US" w:eastAsia="zh-CN"/>
        </w:rPr>
        <w:t>在项目施工图设计完成后，建设单位应当将施工图设计文件以及主管部门出具的评价意见书、《中山市装配式建筑项目设计阶段预评价申请表》、《中山市装配式建筑项目装配率计算书》、《中山市装配式建筑项目实施方案》等相关材料提交至施工图审查机构审查。</w:t>
      </w:r>
    </w:p>
    <w:p>
      <w:pPr>
        <w:numPr>
          <w:ilvl w:val="0"/>
          <w:numId w:val="0"/>
        </w:numPr>
        <w:snapToGrid w:val="0"/>
        <w:spacing w:line="360" w:lineRule="auto"/>
        <w:ind w:leftChars="0" w:firstLine="560" w:firstLineChars="200"/>
        <w:rPr>
          <w:rFonts w:hint="eastAsia"/>
          <w:color w:val="auto"/>
          <w:sz w:val="28"/>
          <w:szCs w:val="28"/>
          <w:lang w:val="en-US" w:eastAsia="zh-CN"/>
        </w:rPr>
      </w:pPr>
      <w:r>
        <w:rPr>
          <w:rFonts w:hint="eastAsia"/>
          <w:color w:val="auto"/>
          <w:sz w:val="28"/>
          <w:szCs w:val="28"/>
        </w:rPr>
        <w:t>施工图审查机构应当对</w:t>
      </w:r>
      <w:r>
        <w:rPr>
          <w:rFonts w:hint="eastAsia"/>
          <w:color w:val="auto"/>
          <w:sz w:val="28"/>
          <w:szCs w:val="28"/>
          <w:lang w:val="en-US" w:eastAsia="zh-CN"/>
        </w:rPr>
        <w:t>项目</w:t>
      </w:r>
      <w:r>
        <w:rPr>
          <w:rFonts w:hint="eastAsia"/>
          <w:color w:val="auto"/>
          <w:sz w:val="28"/>
          <w:szCs w:val="28"/>
        </w:rPr>
        <w:t>进行</w:t>
      </w:r>
      <w:r>
        <w:rPr>
          <w:rFonts w:hint="eastAsia"/>
          <w:color w:val="auto"/>
          <w:sz w:val="28"/>
          <w:szCs w:val="28"/>
          <w:lang w:val="en-US" w:eastAsia="zh-CN"/>
        </w:rPr>
        <w:t>装配式</w:t>
      </w:r>
      <w:r>
        <w:rPr>
          <w:rFonts w:hint="eastAsia"/>
          <w:color w:val="auto"/>
          <w:sz w:val="28"/>
          <w:szCs w:val="28"/>
        </w:rPr>
        <w:t>专项内容审查，</w:t>
      </w:r>
      <w:r>
        <w:rPr>
          <w:rFonts w:hint="eastAsia"/>
          <w:color w:val="auto"/>
          <w:sz w:val="28"/>
          <w:szCs w:val="28"/>
          <w:lang w:val="en-US" w:eastAsia="zh-CN"/>
        </w:rPr>
        <w:t>经审查合格，才能出具施工图设计文件审查合格证书，并在施工图设计审查合格证书和《中山市装配式建筑设计阶段评分审查表》中注明“本工程设计文件符合广东省《装配式建筑评价标准》装配率等装配式建筑相关要求”</w:t>
      </w:r>
      <w:r>
        <w:rPr>
          <w:rFonts w:hint="eastAsia"/>
          <w:color w:val="auto"/>
          <w:sz w:val="28"/>
          <w:szCs w:val="28"/>
        </w:rPr>
        <w:t>。</w:t>
      </w:r>
    </w:p>
    <w:p>
      <w:pPr>
        <w:numPr>
          <w:ilvl w:val="0"/>
          <w:numId w:val="0"/>
        </w:numPr>
        <w:shd w:val="clear" w:color="auto" w:fill="FFFFFF"/>
        <w:snapToGrid w:val="0"/>
        <w:spacing w:line="360" w:lineRule="auto"/>
        <w:ind w:leftChars="0" w:firstLine="560" w:firstLineChars="200"/>
        <w:rPr>
          <w:rFonts w:hint="eastAsia"/>
          <w:color w:val="auto"/>
          <w:sz w:val="28"/>
          <w:szCs w:val="28"/>
          <w:lang w:val="en-US" w:eastAsia="zh-CN"/>
        </w:rPr>
      </w:pPr>
      <w:r>
        <w:rPr>
          <w:rFonts w:hint="eastAsia"/>
          <w:color w:val="000000"/>
          <w:sz w:val="28"/>
          <w:szCs w:val="28"/>
          <w:shd w:val="clear" w:color="auto" w:fill="auto"/>
          <w:lang w:val="en-US" w:eastAsia="zh-CN"/>
        </w:rPr>
        <w:t>为积极、稳妥推进装配式建筑施工图审查工作，装修设计文件可实行承诺达标制，由建设单位出具书面承诺达标函（格式见附件A），并在施工图合格证书出具后</w:t>
      </w:r>
      <w:r>
        <w:rPr>
          <w:rFonts w:hint="eastAsia" w:eastAsia="Times New Roman"/>
          <w:color w:val="000000"/>
          <w:sz w:val="28"/>
          <w:szCs w:val="28"/>
          <w:shd w:val="clear" w:color="auto" w:fill="auto"/>
          <w:lang w:val="en-US" w:eastAsia="zh-CN"/>
        </w:rPr>
        <w:t>90</w:t>
      </w:r>
      <w:r>
        <w:rPr>
          <w:rFonts w:hint="eastAsia"/>
          <w:color w:val="000000"/>
          <w:sz w:val="28"/>
          <w:szCs w:val="28"/>
          <w:shd w:val="clear" w:color="auto" w:fill="auto"/>
          <w:lang w:val="en-US" w:eastAsia="zh-CN"/>
        </w:rPr>
        <w:t>天内将符合要求的装修设计文件送交至相关施工图审查机构。</w:t>
      </w:r>
    </w:p>
    <w:p>
      <w:pPr>
        <w:keepNext w:val="0"/>
        <w:keepLines w:val="0"/>
        <w:widowControl/>
        <w:numPr>
          <w:ilvl w:val="0"/>
          <w:numId w:val="0"/>
        </w:numPr>
        <w:suppressLineNumbers w:val="0"/>
        <w:snapToGrid w:val="0"/>
        <w:spacing w:line="360" w:lineRule="auto"/>
        <w:ind w:firstLine="560" w:firstLineChars="200"/>
        <w:jc w:val="left"/>
        <w:rPr>
          <w:rFonts w:hint="eastAsia"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5</w:t>
      </w:r>
      <w:r>
        <w:rPr>
          <w:rFonts w:hint="default" w:ascii="Times New Roman" w:hAnsi="Times New Roman" w:cs="Times New Roman"/>
          <w:color w:val="auto"/>
          <w:kern w:val="0"/>
          <w:sz w:val="28"/>
          <w:szCs w:val="28"/>
          <w:lang w:val="en-US" w:eastAsia="zh-CN" w:bidi="ar"/>
        </w:rPr>
        <w:t xml:space="preserve"> </w:t>
      </w:r>
      <w:r>
        <w:rPr>
          <w:rFonts w:hint="eastAsia" w:ascii="宋体" w:hAnsi="宋体" w:cs="宋体"/>
          <w:color w:val="auto"/>
          <w:kern w:val="0"/>
          <w:sz w:val="28"/>
          <w:szCs w:val="28"/>
          <w:lang w:val="en-US" w:eastAsia="zh-CN" w:bidi="ar"/>
        </w:rPr>
        <w:t xml:space="preserve"> </w:t>
      </w:r>
      <w:r>
        <w:rPr>
          <w:rFonts w:hint="eastAsia" w:ascii="宋体" w:hAnsi="宋体" w:eastAsia="宋体" w:cs="宋体"/>
          <w:color w:val="auto"/>
          <w:kern w:val="0"/>
          <w:sz w:val="28"/>
          <w:szCs w:val="28"/>
          <w:lang w:val="en-US" w:eastAsia="zh-CN" w:bidi="ar"/>
        </w:rPr>
        <w:t>依法应当进行超限高层建筑工程抗震设防专项审查的项目，在超限审查文件中应包含装配式建筑相关内容，完成超限专项审查后才可召开装配式建筑的评审会。</w:t>
      </w:r>
    </w:p>
    <w:p>
      <w:pPr>
        <w:keepNext w:val="0"/>
        <w:keepLines w:val="0"/>
        <w:widowControl/>
        <w:numPr>
          <w:ilvl w:val="0"/>
          <w:numId w:val="0"/>
        </w:numPr>
        <w:suppressLineNumbers w:val="0"/>
        <w:snapToGrid w:val="0"/>
        <w:spacing w:line="360" w:lineRule="auto"/>
        <w:ind w:firstLine="560" w:firstLineChars="200"/>
        <w:jc w:val="left"/>
        <w:rPr>
          <w:rFonts w:hint="eastAsia"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sz w:val="28"/>
          <w:szCs w:val="28"/>
          <w:lang w:val="en-US" w:eastAsia="zh-CN"/>
        </w:rPr>
        <w:t>6</w:t>
      </w:r>
      <w:r>
        <w:rPr>
          <w:rFonts w:hint="eastAsia"/>
          <w:color w:val="auto"/>
          <w:sz w:val="28"/>
          <w:szCs w:val="28"/>
          <w:lang w:val="en-US" w:eastAsia="zh-CN"/>
        </w:rPr>
        <w:t xml:space="preserve">  装配式混凝土建筑的预制构件加工图一般含加工说明、预制构件平面布置（拆分）、构件加工大样、构件配筋、设备管线布置、材料表等内容，深化深度要求见广东省标准《装配式混凝土建筑深化技术规程》DBJ/T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155</w:t>
      </w:r>
      <w:r>
        <w:rPr>
          <w:rFonts w:hint="eastAsia"/>
          <w:color w:val="auto"/>
          <w:sz w:val="28"/>
          <w:szCs w:val="28"/>
          <w:lang w:val="en-US" w:eastAsia="zh-CN"/>
        </w:rPr>
        <w:t>-</w:t>
      </w:r>
      <w:r>
        <w:rPr>
          <w:rFonts w:hint="eastAsia" w:eastAsia="Times New Roman"/>
          <w:color w:val="auto"/>
          <w:sz w:val="28"/>
          <w:szCs w:val="28"/>
          <w:lang w:val="en-US" w:eastAsia="zh-CN"/>
        </w:rPr>
        <w:t>2019</w:t>
      </w:r>
      <w:r>
        <w:rPr>
          <w:rFonts w:hint="eastAsia"/>
          <w:color w:val="auto"/>
          <w:sz w:val="28"/>
          <w:szCs w:val="28"/>
          <w:lang w:val="en-US" w:eastAsia="zh-CN"/>
        </w:rPr>
        <w:t>；预制构件加工图由主体设计单位设计，也可由咨询单位、施工单位、构件厂或其他设计单位设计，经主体设计单位审核后方可实施。</w:t>
      </w:r>
    </w:p>
    <w:p>
      <w:pPr>
        <w:keepNext w:val="0"/>
        <w:keepLines w:val="0"/>
        <w:widowControl/>
        <w:suppressLineNumbers w:val="0"/>
        <w:snapToGrid w:val="0"/>
        <w:spacing w:line="360" w:lineRule="auto"/>
        <w:jc w:val="left"/>
        <w:rPr>
          <w:rFonts w:hint="eastAsia" w:ascii="宋体" w:hAnsi="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3</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0</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5</w:t>
      </w:r>
      <w:r>
        <w:rPr>
          <w:rFonts w:hint="eastAsia" w:ascii="宋体" w:hAnsi="宋体" w:cs="宋体"/>
          <w:color w:val="auto"/>
          <w:kern w:val="0"/>
          <w:sz w:val="28"/>
          <w:szCs w:val="28"/>
          <w:lang w:val="en-US" w:eastAsia="zh-CN" w:bidi="ar"/>
        </w:rPr>
        <w:t xml:space="preserve">  当叠合板楼盖后浇混凝土叠合层内需预埋管线或存在角部加强筋时，后浇混凝土叠合层厚度不应少于</w:t>
      </w:r>
      <w:r>
        <w:rPr>
          <w:rFonts w:hint="eastAsia" w:ascii="宋体" w:hAnsi="宋体" w:eastAsia="Times New Roman" w:cs="宋体"/>
          <w:color w:val="auto"/>
          <w:kern w:val="0"/>
          <w:sz w:val="28"/>
          <w:szCs w:val="28"/>
          <w:lang w:val="en-US" w:eastAsia="zh-CN" w:bidi="ar"/>
        </w:rPr>
        <w:t>80</w:t>
      </w:r>
      <w:r>
        <w:rPr>
          <w:rFonts w:hint="eastAsia" w:ascii="宋体" w:hAnsi="宋体" w:cs="宋体"/>
          <w:color w:val="auto"/>
          <w:kern w:val="0"/>
          <w:sz w:val="28"/>
          <w:szCs w:val="28"/>
          <w:lang w:val="en-US" w:eastAsia="zh-CN" w:bidi="ar"/>
        </w:rPr>
        <w:t>mm。</w:t>
      </w:r>
    </w:p>
    <w:p>
      <w:pPr>
        <w:keepNext w:val="0"/>
        <w:keepLines w:val="0"/>
        <w:widowControl/>
        <w:suppressLineNumbers w:val="0"/>
        <w:snapToGrid w:val="0"/>
        <w:spacing w:line="360" w:lineRule="auto"/>
        <w:jc w:val="left"/>
        <w:rPr>
          <w:rFonts w:hint="default"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3</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0</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6</w:t>
      </w:r>
      <w:r>
        <w:rPr>
          <w:rFonts w:hint="eastAsia" w:ascii="宋体" w:hAnsi="宋体" w:cs="宋体"/>
          <w:color w:val="auto"/>
          <w:kern w:val="0"/>
          <w:sz w:val="28"/>
          <w:szCs w:val="28"/>
          <w:lang w:val="en-US" w:eastAsia="zh-CN" w:bidi="ar"/>
        </w:rPr>
        <w:t xml:space="preserve">  装配式混凝土建筑预制构件节点设计需满足国家标准《装配式混凝土建筑技术标准》GB/T </w:t>
      </w:r>
      <w:r>
        <w:rPr>
          <w:rFonts w:hint="eastAsia" w:ascii="宋体" w:hAnsi="宋体" w:eastAsia="Times New Roman" w:cs="宋体"/>
          <w:color w:val="auto"/>
          <w:kern w:val="0"/>
          <w:sz w:val="28"/>
          <w:szCs w:val="28"/>
          <w:lang w:val="en-US" w:eastAsia="zh-CN" w:bidi="ar"/>
        </w:rPr>
        <w:t>51231</w:t>
      </w:r>
      <w:r>
        <w:rPr>
          <w:rFonts w:hint="eastAsia" w:ascii="宋体" w:hAnsi="宋体" w:cs="宋体"/>
          <w:color w:val="auto"/>
          <w:kern w:val="0"/>
          <w:sz w:val="28"/>
          <w:szCs w:val="28"/>
          <w:lang w:val="en-US" w:eastAsia="zh-CN" w:bidi="ar"/>
        </w:rPr>
        <w:t xml:space="preserve">或广东省标准《装配式混凝土建筑结构技术规程》DBJ </w:t>
      </w:r>
      <w:r>
        <w:rPr>
          <w:rFonts w:hint="eastAsia" w:ascii="宋体" w:hAnsi="宋体" w:eastAsia="Times New Roman" w:cs="宋体"/>
          <w:color w:val="auto"/>
          <w:kern w:val="0"/>
          <w:sz w:val="28"/>
          <w:szCs w:val="28"/>
          <w:lang w:val="en-US" w:eastAsia="zh-CN" w:bidi="ar"/>
        </w:rPr>
        <w:t>15</w:t>
      </w:r>
      <w:r>
        <w:rPr>
          <w:rFonts w:hint="eastAsia" w:ascii="宋体" w:hAnsi="宋体" w:cs="宋体"/>
          <w:color w:val="auto"/>
          <w:kern w:val="0"/>
          <w:sz w:val="28"/>
          <w:szCs w:val="28"/>
          <w:lang w:val="en-US" w:eastAsia="zh-CN" w:bidi="ar"/>
        </w:rPr>
        <w:t>-</w:t>
      </w:r>
      <w:r>
        <w:rPr>
          <w:rFonts w:hint="eastAsia" w:ascii="宋体" w:hAnsi="宋体" w:eastAsia="Times New Roman" w:cs="宋体"/>
          <w:color w:val="auto"/>
          <w:kern w:val="0"/>
          <w:sz w:val="28"/>
          <w:szCs w:val="28"/>
          <w:lang w:val="en-US" w:eastAsia="zh-CN" w:bidi="ar"/>
        </w:rPr>
        <w:t>107</w:t>
      </w:r>
      <w:r>
        <w:rPr>
          <w:rFonts w:hint="eastAsia" w:ascii="宋体" w:hAnsi="宋体" w:cs="宋体"/>
          <w:color w:val="auto"/>
          <w:kern w:val="0"/>
          <w:sz w:val="28"/>
          <w:szCs w:val="28"/>
          <w:lang w:val="en-US" w:eastAsia="zh-CN" w:bidi="ar"/>
        </w:rPr>
        <w:t>规定，或采用国家、省、市建筑标准图集节点大样。</w:t>
      </w:r>
    </w:p>
    <w:p>
      <w:pPr>
        <w:keepNext w:val="0"/>
        <w:keepLines w:val="0"/>
        <w:widowControl/>
        <w:suppressLineNumbers w:val="0"/>
        <w:snapToGrid w:val="0"/>
        <w:spacing w:line="360" w:lineRule="auto"/>
        <w:jc w:val="left"/>
        <w:rPr>
          <w:rFonts w:hint="eastAsia"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3</w:t>
      </w:r>
      <w:r>
        <w:rPr>
          <w:rFonts w:hint="default" w:ascii="Times New Roman" w:hAnsi="Times New Roman" w:eastAsia="宋体"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0</w:t>
      </w:r>
      <w:r>
        <w:rPr>
          <w:rFonts w:hint="default" w:ascii="Times New Roman" w:hAnsi="Times New Roman" w:eastAsia="宋体"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7</w:t>
      </w:r>
      <w:r>
        <w:rPr>
          <w:rFonts w:hint="eastAsia" w:ascii="宋体" w:hAnsi="宋体" w:cs="宋体"/>
          <w:color w:val="auto"/>
          <w:kern w:val="0"/>
          <w:sz w:val="28"/>
          <w:szCs w:val="28"/>
          <w:lang w:val="en-US" w:eastAsia="zh-CN" w:bidi="ar"/>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户型标准化、构件标准化的比例计算</w:t>
      </w:r>
      <w:r>
        <w:rPr>
          <w:rFonts w:hint="eastAsia" w:ascii="宋体" w:hAnsi="宋体" w:eastAsia="宋体" w:cs="宋体"/>
          <w:color w:val="auto"/>
          <w:sz w:val="28"/>
          <w:szCs w:val="28"/>
          <w:lang w:val="en-US" w:eastAsia="zh-CN"/>
        </w:rPr>
        <w:t>时</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同一项目中以各评价单元独立计算。其中</w:t>
      </w:r>
      <w:r>
        <w:rPr>
          <w:rFonts w:hint="eastAsia" w:ascii="宋体" w:hAnsi="宋体" w:eastAsia="宋体" w:cs="宋体"/>
          <w:color w:val="auto"/>
          <w:kern w:val="0"/>
          <w:sz w:val="28"/>
          <w:szCs w:val="28"/>
          <w:lang w:val="en-US" w:eastAsia="zh-CN" w:bidi="ar"/>
        </w:rPr>
        <w:t>建筑设计图中户型完全相同（含镜像） 为标准化户型；构件标准化计算时，对于叠合板，由于结构剪力墙厚度上下层不同，其相应位置仅叠合板单一方向有所变化的上下层叠合板，</w:t>
      </w:r>
      <w:r>
        <w:rPr>
          <w:rFonts w:hint="eastAsia" w:ascii="宋体" w:hAnsi="宋体" w:cs="宋体"/>
          <w:color w:val="auto"/>
          <w:kern w:val="0"/>
          <w:sz w:val="28"/>
          <w:szCs w:val="28"/>
          <w:lang w:val="en-US" w:eastAsia="zh-CN" w:bidi="ar"/>
        </w:rPr>
        <w:t>可视</w:t>
      </w:r>
      <w:r>
        <w:rPr>
          <w:rFonts w:hint="eastAsia" w:ascii="宋体" w:hAnsi="宋体" w:eastAsia="宋体" w:cs="宋体"/>
          <w:color w:val="auto"/>
          <w:kern w:val="0"/>
          <w:sz w:val="28"/>
          <w:szCs w:val="28"/>
          <w:lang w:val="en-US" w:eastAsia="zh-CN" w:bidi="ar"/>
        </w:rPr>
        <w:t>为同一预制构件。</w:t>
      </w:r>
    </w:p>
    <w:p>
      <w:pPr>
        <w:ind w:firstLine="560" w:firstLineChars="200"/>
        <w:rPr>
          <w:rFonts w:hint="eastAsia"/>
          <w:sz w:val="28"/>
          <w:szCs w:val="28"/>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3"/>
        <w:spacing w:line="360" w:lineRule="auto"/>
        <w:rPr>
          <w:rFonts w:hint="eastAsia" w:eastAsia="Times New Roman"/>
          <w:lang w:val="en-US" w:eastAsia="zh-CN"/>
        </w:rPr>
      </w:pPr>
      <w:bookmarkStart w:id="490" w:name="_Toc17890"/>
      <w:bookmarkStart w:id="491" w:name="_Toc4731"/>
      <w:bookmarkStart w:id="492" w:name="_Toc3342"/>
      <w:bookmarkStart w:id="493" w:name="_Toc10063"/>
      <w:bookmarkStart w:id="494" w:name="_Toc20753"/>
      <w:bookmarkStart w:id="495" w:name="_Toc26361"/>
      <w:bookmarkStart w:id="496" w:name="_Toc13565"/>
      <w:bookmarkStart w:id="497" w:name="_Toc3166"/>
    </w:p>
    <w:p>
      <w:pPr>
        <w:rPr>
          <w:rFonts w:hint="eastAsia" w:eastAsia="Times New Roman"/>
          <w:lang w:val="en-US" w:eastAsia="zh-CN"/>
        </w:rPr>
      </w:pPr>
    </w:p>
    <w:p>
      <w:pPr>
        <w:pStyle w:val="2"/>
        <w:rPr>
          <w:rFonts w:hint="eastAsia" w:eastAsia="Times New Roman"/>
          <w:lang w:val="en-US" w:eastAsia="zh-CN"/>
        </w:rPr>
      </w:pPr>
    </w:p>
    <w:p>
      <w:pPr>
        <w:rPr>
          <w:rFonts w:hint="eastAsia"/>
          <w:lang w:val="en-US" w:eastAsia="zh-CN"/>
        </w:rPr>
      </w:pPr>
    </w:p>
    <w:p>
      <w:pPr>
        <w:pStyle w:val="3"/>
        <w:spacing w:line="360" w:lineRule="auto"/>
        <w:rPr>
          <w:rFonts w:hint="default" w:ascii="黑体" w:hAnsi="黑体" w:eastAsia="黑体" w:cs="黑体"/>
          <w:b/>
          <w:bCs/>
          <w:sz w:val="32"/>
          <w:szCs w:val="32"/>
          <w:lang w:val="en-US" w:eastAsia="zh-CN"/>
        </w:rPr>
      </w:pPr>
      <w:bookmarkStart w:id="498" w:name="_Toc10506"/>
      <w:bookmarkStart w:id="499" w:name="_Toc23915"/>
      <w:bookmarkStart w:id="500" w:name="_Toc29147"/>
      <w:bookmarkStart w:id="501" w:name="_Toc13732"/>
      <w:bookmarkStart w:id="502" w:name="_Toc9112"/>
      <w:r>
        <w:rPr>
          <w:rFonts w:hint="eastAsia" w:eastAsia="Times New Roman"/>
          <w:lang w:val="en-US" w:eastAsia="zh-CN"/>
        </w:rPr>
        <w:t>4</w:t>
      </w:r>
      <w:r>
        <w:rPr>
          <w:rFonts w:hint="eastAsia"/>
          <w:lang w:val="en-US" w:eastAsia="zh-CN"/>
        </w:rPr>
        <w:t xml:space="preserve">  装配式建筑设计说明专篇</w:t>
      </w:r>
      <w:bookmarkEnd w:id="490"/>
      <w:bookmarkEnd w:id="491"/>
      <w:bookmarkEnd w:id="492"/>
      <w:bookmarkEnd w:id="493"/>
      <w:bookmarkEnd w:id="494"/>
      <w:bookmarkEnd w:id="495"/>
      <w:bookmarkEnd w:id="496"/>
      <w:bookmarkEnd w:id="497"/>
      <w:bookmarkEnd w:id="498"/>
      <w:bookmarkEnd w:id="499"/>
      <w:bookmarkEnd w:id="500"/>
      <w:bookmarkEnd w:id="501"/>
      <w:bookmarkEnd w:id="502"/>
    </w:p>
    <w:p>
      <w:pPr>
        <w:jc w:val="center"/>
        <w:rPr>
          <w:rFonts w:hint="eastAsia"/>
          <w:b/>
          <w:bCs/>
          <w:sz w:val="28"/>
          <w:szCs w:val="28"/>
          <w:lang w:val="en-US" w:eastAsia="zh-CN"/>
        </w:rPr>
      </w:pPr>
      <w:r>
        <w:rPr>
          <w:rFonts w:hint="eastAsia" w:ascii="黑体" w:hAnsi="黑体" w:eastAsia="黑体" w:cs="黑体"/>
          <w:sz w:val="28"/>
          <w:szCs w:val="28"/>
          <w:lang w:val="en-US" w:eastAsia="zh-CN"/>
        </w:rPr>
        <w:t>中山市装配式建筑设计说明专篇</w:t>
      </w:r>
    </w:p>
    <w:p>
      <w:pPr>
        <w:spacing w:line="480" w:lineRule="auto"/>
        <w:rPr>
          <w:rFonts w:hint="default" w:eastAsia="Times New Roman"/>
          <w:b/>
          <w:bCs/>
          <w:sz w:val="28"/>
          <w:szCs w:val="28"/>
          <w:lang w:val="en-US" w:eastAsia="zh-CN"/>
        </w:rPr>
      </w:pPr>
    </w:p>
    <w:p>
      <w:pPr>
        <w:spacing w:line="480" w:lineRule="auto"/>
        <w:rPr>
          <w:rFonts w:hint="default" w:eastAsia="宋体"/>
          <w:b/>
          <w:bCs/>
          <w:sz w:val="28"/>
          <w:szCs w:val="28"/>
          <w:lang w:val="en-US" w:eastAsia="zh-CN"/>
        </w:rPr>
      </w:pPr>
      <w:r>
        <w:rPr>
          <w:rFonts w:hint="eastAsia" w:eastAsia="Times New Roman"/>
          <w:b/>
          <w:bCs/>
          <w:sz w:val="28"/>
          <w:szCs w:val="28"/>
          <w:lang w:val="en-US" w:eastAsia="zh-CN"/>
        </w:rPr>
        <w:t>1、</w:t>
      </w:r>
      <w:r>
        <w:rPr>
          <w:rFonts w:hint="eastAsia"/>
          <w:b/>
          <w:bCs/>
          <w:sz w:val="28"/>
          <w:szCs w:val="28"/>
          <w:lang w:val="en-US" w:eastAsia="zh-CN"/>
        </w:rPr>
        <w:t>设计依据</w:t>
      </w:r>
    </w:p>
    <w:p>
      <w:pPr>
        <w:rPr>
          <w:rFonts w:hint="eastAsia" w:eastAsia="宋体"/>
          <w:sz w:val="28"/>
          <w:szCs w:val="28"/>
          <w:lang w:eastAsia="zh-CN"/>
        </w:rPr>
      </w:pPr>
      <w:r>
        <w:rPr>
          <w:rFonts w:hint="eastAsia"/>
          <w:sz w:val="28"/>
          <w:szCs w:val="28"/>
          <w:lang w:val="en-US" w:eastAsia="zh-CN"/>
        </w:rPr>
        <w:t>1.</w:t>
      </w:r>
      <w:r>
        <w:rPr>
          <w:rFonts w:hint="eastAsia"/>
          <w:sz w:val="28"/>
          <w:szCs w:val="28"/>
          <w:lang w:eastAsia="zh-CN"/>
        </w:rPr>
        <w:t>《</w:t>
      </w:r>
      <w:r>
        <w:rPr>
          <w:rFonts w:hint="eastAsia"/>
          <w:sz w:val="28"/>
          <w:szCs w:val="28"/>
        </w:rPr>
        <w:t>建筑设计防火规范》GB</w:t>
      </w:r>
      <w:r>
        <w:rPr>
          <w:rFonts w:hint="eastAsia"/>
          <w:sz w:val="28"/>
          <w:szCs w:val="28"/>
          <w:lang w:val="en-US" w:eastAsia="zh-CN"/>
        </w:rPr>
        <w:t xml:space="preserve"> </w:t>
      </w:r>
      <w:r>
        <w:rPr>
          <w:rFonts w:hint="eastAsia" w:eastAsia="Times New Roman"/>
          <w:sz w:val="28"/>
          <w:szCs w:val="28"/>
        </w:rPr>
        <w:t>50016</w:t>
      </w:r>
    </w:p>
    <w:p>
      <w:pPr>
        <w:rPr>
          <w:rFonts w:hint="eastAsia" w:eastAsia="宋体"/>
          <w:sz w:val="28"/>
          <w:szCs w:val="28"/>
          <w:lang w:eastAsia="zh-CN"/>
        </w:rPr>
      </w:pPr>
      <w:r>
        <w:rPr>
          <w:rFonts w:hint="eastAsia"/>
          <w:sz w:val="28"/>
          <w:szCs w:val="28"/>
          <w:lang w:val="en-US" w:eastAsia="zh-CN"/>
        </w:rPr>
        <w:t>2.</w:t>
      </w:r>
      <w:r>
        <w:rPr>
          <w:rFonts w:hint="eastAsia"/>
          <w:sz w:val="28"/>
          <w:szCs w:val="28"/>
        </w:rPr>
        <w:t>《住宅设计规范》</w:t>
      </w:r>
      <w:r>
        <w:rPr>
          <w:rFonts w:hint="eastAsia"/>
          <w:sz w:val="28"/>
          <w:szCs w:val="28"/>
          <w:lang w:val="en-US" w:eastAsia="zh-CN"/>
        </w:rPr>
        <w:t xml:space="preserve">GB </w:t>
      </w:r>
      <w:r>
        <w:rPr>
          <w:rFonts w:hint="eastAsia" w:eastAsia="Times New Roman"/>
          <w:sz w:val="28"/>
          <w:szCs w:val="28"/>
          <w:lang w:val="en-US" w:eastAsia="zh-CN"/>
        </w:rPr>
        <w:t>5</w:t>
      </w:r>
      <w:r>
        <w:rPr>
          <w:rFonts w:hint="eastAsia" w:eastAsia="Times New Roman"/>
          <w:sz w:val="28"/>
          <w:szCs w:val="28"/>
        </w:rPr>
        <w:t>0096</w:t>
      </w:r>
    </w:p>
    <w:p>
      <w:pPr>
        <w:rPr>
          <w:rFonts w:hint="eastAsia" w:eastAsia="宋体"/>
          <w:sz w:val="28"/>
          <w:szCs w:val="28"/>
          <w:lang w:eastAsia="zh-CN"/>
        </w:rPr>
      </w:pPr>
      <w:r>
        <w:rPr>
          <w:rFonts w:hint="eastAsia"/>
          <w:sz w:val="28"/>
          <w:szCs w:val="28"/>
          <w:lang w:val="en-US" w:eastAsia="zh-CN"/>
        </w:rPr>
        <w:t>3.</w:t>
      </w:r>
      <w:r>
        <w:rPr>
          <w:rFonts w:hint="eastAsia"/>
          <w:sz w:val="28"/>
          <w:szCs w:val="28"/>
        </w:rPr>
        <w:t>《民用建筑设计统一标准》</w:t>
      </w:r>
      <w:r>
        <w:rPr>
          <w:rFonts w:hint="eastAsia"/>
          <w:sz w:val="28"/>
          <w:szCs w:val="28"/>
          <w:lang w:val="en-US" w:eastAsia="zh-CN"/>
        </w:rPr>
        <w:t>G</w:t>
      </w:r>
      <w:r>
        <w:rPr>
          <w:rFonts w:hint="eastAsia"/>
          <w:sz w:val="28"/>
          <w:szCs w:val="28"/>
        </w:rPr>
        <w:t>B</w:t>
      </w:r>
      <w:r>
        <w:rPr>
          <w:rFonts w:hint="eastAsia"/>
          <w:sz w:val="28"/>
          <w:szCs w:val="28"/>
          <w:lang w:val="en-US" w:eastAsia="zh-CN"/>
        </w:rPr>
        <w:t xml:space="preserve"> </w:t>
      </w:r>
      <w:r>
        <w:rPr>
          <w:rFonts w:hint="eastAsia" w:eastAsia="Times New Roman"/>
          <w:sz w:val="28"/>
          <w:szCs w:val="28"/>
        </w:rPr>
        <w:t>50352</w:t>
      </w:r>
    </w:p>
    <w:p>
      <w:pPr>
        <w:rPr>
          <w:rFonts w:hint="eastAsia" w:eastAsia="宋体"/>
          <w:sz w:val="28"/>
          <w:szCs w:val="28"/>
          <w:lang w:eastAsia="zh-CN"/>
        </w:rPr>
      </w:pPr>
      <w:r>
        <w:rPr>
          <w:rFonts w:hint="eastAsia"/>
          <w:sz w:val="28"/>
          <w:szCs w:val="28"/>
          <w:lang w:val="en-US" w:eastAsia="zh-CN"/>
        </w:rPr>
        <w:t>4.</w:t>
      </w:r>
      <w:r>
        <w:rPr>
          <w:rFonts w:hint="eastAsia"/>
          <w:sz w:val="28"/>
          <w:szCs w:val="28"/>
        </w:rPr>
        <w:t>《住宅建筑规范》GB</w:t>
      </w:r>
      <w:r>
        <w:rPr>
          <w:rFonts w:hint="eastAsia"/>
          <w:sz w:val="28"/>
          <w:szCs w:val="28"/>
          <w:lang w:val="en-US" w:eastAsia="zh-CN"/>
        </w:rPr>
        <w:t xml:space="preserve"> </w:t>
      </w:r>
      <w:r>
        <w:rPr>
          <w:rFonts w:hint="eastAsia" w:eastAsia="Times New Roman"/>
          <w:sz w:val="28"/>
          <w:szCs w:val="28"/>
        </w:rPr>
        <w:t>50368</w:t>
      </w:r>
    </w:p>
    <w:p>
      <w:pPr>
        <w:rPr>
          <w:rFonts w:hint="eastAsia" w:eastAsia="宋体"/>
          <w:sz w:val="28"/>
          <w:szCs w:val="28"/>
          <w:lang w:eastAsia="zh-CN"/>
        </w:rPr>
      </w:pPr>
      <w:r>
        <w:rPr>
          <w:rFonts w:hint="eastAsia"/>
          <w:sz w:val="28"/>
          <w:szCs w:val="28"/>
          <w:lang w:val="en-US" w:eastAsia="zh-CN"/>
        </w:rPr>
        <w:t>5.</w:t>
      </w:r>
      <w:r>
        <w:rPr>
          <w:rFonts w:hint="eastAsia"/>
          <w:sz w:val="28"/>
          <w:szCs w:val="28"/>
        </w:rPr>
        <w:t>《建筑模数协调标准》</w:t>
      </w:r>
      <w:r>
        <w:rPr>
          <w:rFonts w:hint="eastAsia"/>
          <w:sz w:val="28"/>
          <w:szCs w:val="28"/>
          <w:lang w:val="en-US" w:eastAsia="zh-CN"/>
        </w:rPr>
        <w:t>G</w:t>
      </w:r>
      <w:r>
        <w:rPr>
          <w:rFonts w:hint="eastAsia"/>
          <w:sz w:val="28"/>
          <w:szCs w:val="28"/>
        </w:rPr>
        <w:t>B/T</w:t>
      </w:r>
      <w:r>
        <w:rPr>
          <w:rFonts w:hint="eastAsia"/>
          <w:sz w:val="28"/>
          <w:szCs w:val="28"/>
          <w:lang w:val="en-US" w:eastAsia="zh-CN"/>
        </w:rPr>
        <w:t xml:space="preserve"> </w:t>
      </w:r>
      <w:r>
        <w:rPr>
          <w:rFonts w:hint="eastAsia" w:eastAsia="Times New Roman"/>
          <w:sz w:val="28"/>
          <w:szCs w:val="28"/>
        </w:rPr>
        <w:t>50002</w:t>
      </w:r>
    </w:p>
    <w:p>
      <w:pPr>
        <w:rPr>
          <w:rFonts w:hint="eastAsia" w:eastAsia="宋体"/>
          <w:sz w:val="28"/>
          <w:szCs w:val="28"/>
          <w:lang w:eastAsia="zh-CN"/>
        </w:rPr>
      </w:pPr>
      <w:r>
        <w:rPr>
          <w:rFonts w:hint="eastAsia"/>
          <w:sz w:val="28"/>
          <w:szCs w:val="28"/>
          <w:lang w:val="en-US" w:eastAsia="zh-CN"/>
        </w:rPr>
        <w:t>6.</w:t>
      </w:r>
      <w:r>
        <w:rPr>
          <w:rFonts w:hint="eastAsia"/>
          <w:sz w:val="28"/>
          <w:szCs w:val="28"/>
        </w:rPr>
        <w:t>《混凝土结构设计规范》</w:t>
      </w:r>
      <w:r>
        <w:rPr>
          <w:rFonts w:hint="eastAsia"/>
          <w:sz w:val="28"/>
          <w:szCs w:val="28"/>
          <w:lang w:val="en-US" w:eastAsia="zh-CN"/>
        </w:rPr>
        <w:t>G</w:t>
      </w:r>
      <w:r>
        <w:rPr>
          <w:rFonts w:hint="eastAsia"/>
          <w:sz w:val="28"/>
          <w:szCs w:val="28"/>
        </w:rPr>
        <w:t>B</w:t>
      </w:r>
      <w:r>
        <w:rPr>
          <w:rFonts w:hint="eastAsia"/>
          <w:sz w:val="28"/>
          <w:szCs w:val="28"/>
          <w:lang w:val="en-US" w:eastAsia="zh-CN"/>
        </w:rPr>
        <w:t xml:space="preserve"> </w:t>
      </w:r>
      <w:r>
        <w:rPr>
          <w:rFonts w:hint="eastAsia" w:eastAsia="Times New Roman"/>
          <w:sz w:val="28"/>
          <w:szCs w:val="28"/>
        </w:rPr>
        <w:t>50010</w:t>
      </w:r>
    </w:p>
    <w:p>
      <w:pPr>
        <w:rPr>
          <w:rFonts w:hint="eastAsia" w:eastAsia="宋体"/>
          <w:sz w:val="28"/>
          <w:szCs w:val="28"/>
          <w:lang w:eastAsia="zh-CN"/>
        </w:rPr>
      </w:pPr>
      <w:r>
        <w:rPr>
          <w:rFonts w:hint="eastAsia"/>
          <w:sz w:val="28"/>
          <w:szCs w:val="28"/>
          <w:lang w:val="en-US" w:eastAsia="zh-CN"/>
        </w:rPr>
        <w:t>7.</w:t>
      </w:r>
      <w:r>
        <w:rPr>
          <w:rFonts w:hint="eastAsia"/>
          <w:sz w:val="28"/>
          <w:szCs w:val="28"/>
        </w:rPr>
        <w:t>《建筑抗震设计规范》GB</w:t>
      </w:r>
      <w:r>
        <w:rPr>
          <w:rFonts w:hint="eastAsia"/>
          <w:sz w:val="28"/>
          <w:szCs w:val="28"/>
          <w:lang w:val="en-US" w:eastAsia="zh-CN"/>
        </w:rPr>
        <w:t xml:space="preserve"> </w:t>
      </w:r>
      <w:r>
        <w:rPr>
          <w:rFonts w:hint="eastAsia" w:eastAsia="Times New Roman"/>
          <w:sz w:val="28"/>
          <w:szCs w:val="28"/>
        </w:rPr>
        <w:t>50011</w:t>
      </w:r>
    </w:p>
    <w:p>
      <w:pPr>
        <w:rPr>
          <w:rFonts w:hint="eastAsia" w:eastAsia="宋体"/>
          <w:sz w:val="28"/>
          <w:szCs w:val="28"/>
          <w:lang w:eastAsia="zh-CN"/>
        </w:rPr>
      </w:pPr>
      <w:r>
        <w:rPr>
          <w:rFonts w:hint="eastAsia"/>
          <w:sz w:val="28"/>
          <w:szCs w:val="28"/>
          <w:lang w:val="en-US" w:eastAsia="zh-CN"/>
        </w:rPr>
        <w:t>8.</w:t>
      </w:r>
      <w:r>
        <w:rPr>
          <w:rFonts w:hint="eastAsia"/>
          <w:sz w:val="28"/>
          <w:szCs w:val="28"/>
        </w:rPr>
        <w:t>《装配式建筑评价标准》</w:t>
      </w:r>
      <w:r>
        <w:rPr>
          <w:rFonts w:hint="eastAsia"/>
          <w:sz w:val="28"/>
          <w:szCs w:val="28"/>
          <w:lang w:val="en-US" w:eastAsia="zh-CN"/>
        </w:rPr>
        <w:t>GB</w:t>
      </w:r>
      <w:r>
        <w:rPr>
          <w:rFonts w:hint="eastAsia"/>
          <w:sz w:val="28"/>
          <w:szCs w:val="28"/>
        </w:rPr>
        <w:t>/T</w:t>
      </w:r>
      <w:r>
        <w:rPr>
          <w:rFonts w:hint="eastAsia"/>
          <w:sz w:val="28"/>
          <w:szCs w:val="28"/>
          <w:lang w:val="en-US" w:eastAsia="zh-CN"/>
        </w:rPr>
        <w:t xml:space="preserve"> </w:t>
      </w:r>
      <w:r>
        <w:rPr>
          <w:rFonts w:hint="eastAsia" w:eastAsia="Times New Roman"/>
          <w:sz w:val="28"/>
          <w:szCs w:val="28"/>
        </w:rPr>
        <w:t>51129</w:t>
      </w:r>
    </w:p>
    <w:p>
      <w:pPr>
        <w:rPr>
          <w:rFonts w:hint="eastAsia"/>
          <w:sz w:val="28"/>
          <w:szCs w:val="28"/>
        </w:rPr>
      </w:pPr>
      <w:r>
        <w:rPr>
          <w:rFonts w:hint="eastAsia"/>
          <w:sz w:val="28"/>
          <w:szCs w:val="28"/>
          <w:lang w:val="en-US" w:eastAsia="zh-CN"/>
        </w:rPr>
        <w:t>9.</w:t>
      </w:r>
      <w:r>
        <w:rPr>
          <w:rFonts w:hint="eastAsia"/>
          <w:sz w:val="28"/>
          <w:szCs w:val="28"/>
        </w:rPr>
        <w:t>《装配式混凝土建筑技术标准》GB/T</w:t>
      </w:r>
      <w:r>
        <w:rPr>
          <w:rFonts w:hint="eastAsia"/>
          <w:sz w:val="28"/>
          <w:szCs w:val="28"/>
          <w:lang w:val="en-US" w:eastAsia="zh-CN"/>
        </w:rPr>
        <w:t xml:space="preserve"> </w:t>
      </w:r>
      <w:r>
        <w:rPr>
          <w:rFonts w:hint="eastAsia" w:eastAsia="Times New Roman"/>
          <w:sz w:val="28"/>
          <w:szCs w:val="28"/>
        </w:rPr>
        <w:t>51231</w:t>
      </w:r>
    </w:p>
    <w:p>
      <w:pPr>
        <w:rPr>
          <w:rFonts w:hint="default" w:eastAsia="宋体"/>
          <w:sz w:val="28"/>
          <w:szCs w:val="28"/>
          <w:lang w:val="en-US" w:eastAsia="zh-CN"/>
        </w:rPr>
      </w:pPr>
      <w:r>
        <w:rPr>
          <w:rFonts w:hint="eastAsia"/>
          <w:sz w:val="28"/>
          <w:szCs w:val="28"/>
          <w:lang w:val="en-US" w:eastAsia="zh-CN"/>
        </w:rPr>
        <w:t>10.</w:t>
      </w:r>
      <w:r>
        <w:rPr>
          <w:rFonts w:hint="eastAsia"/>
          <w:sz w:val="28"/>
          <w:szCs w:val="28"/>
          <w:lang w:eastAsia="zh-CN"/>
        </w:rPr>
        <w:t>《</w:t>
      </w:r>
      <w:r>
        <w:rPr>
          <w:rFonts w:hint="eastAsia"/>
          <w:sz w:val="28"/>
          <w:szCs w:val="28"/>
          <w:lang w:val="en-US" w:eastAsia="zh-CN"/>
        </w:rPr>
        <w:t>装配式钢结构建筑技术标准</w:t>
      </w:r>
      <w:r>
        <w:rPr>
          <w:rFonts w:hint="eastAsia"/>
          <w:sz w:val="28"/>
          <w:szCs w:val="28"/>
          <w:lang w:eastAsia="zh-CN"/>
        </w:rPr>
        <w:t>》</w:t>
      </w:r>
      <w:r>
        <w:rPr>
          <w:rFonts w:hint="eastAsia"/>
          <w:sz w:val="28"/>
          <w:szCs w:val="28"/>
          <w:lang w:val="en-US" w:eastAsia="zh-CN"/>
        </w:rPr>
        <w:t xml:space="preserve">GB/T </w:t>
      </w:r>
      <w:r>
        <w:rPr>
          <w:rFonts w:hint="eastAsia" w:eastAsia="Times New Roman"/>
          <w:sz w:val="28"/>
          <w:szCs w:val="28"/>
          <w:lang w:val="en-US" w:eastAsia="zh-CN"/>
        </w:rPr>
        <w:t>51232</w:t>
      </w:r>
    </w:p>
    <w:p>
      <w:pPr>
        <w:rPr>
          <w:rFonts w:hint="default" w:eastAsia="宋体"/>
          <w:sz w:val="28"/>
          <w:szCs w:val="28"/>
          <w:lang w:val="en-US" w:eastAsia="zh-CN"/>
        </w:rPr>
      </w:pPr>
      <w:r>
        <w:rPr>
          <w:rFonts w:hint="eastAsia"/>
          <w:sz w:val="28"/>
          <w:szCs w:val="28"/>
          <w:lang w:val="en-US" w:eastAsia="zh-CN"/>
        </w:rPr>
        <w:t>11.</w:t>
      </w:r>
      <w:r>
        <w:rPr>
          <w:rFonts w:hint="eastAsia"/>
          <w:sz w:val="28"/>
          <w:szCs w:val="28"/>
        </w:rPr>
        <w:t>《装配式混凝土结构技术规程》</w:t>
      </w:r>
      <w:r>
        <w:rPr>
          <w:rFonts w:hint="eastAsia"/>
          <w:sz w:val="28"/>
          <w:szCs w:val="28"/>
          <w:lang w:val="en-US" w:eastAsia="zh-CN"/>
        </w:rPr>
        <w:t xml:space="preserve">JGJ </w:t>
      </w:r>
      <w:r>
        <w:rPr>
          <w:rFonts w:hint="eastAsia" w:eastAsia="Times New Roman"/>
          <w:sz w:val="28"/>
          <w:szCs w:val="28"/>
          <w:lang w:val="en-US" w:eastAsia="zh-CN"/>
        </w:rPr>
        <w:t>1</w:t>
      </w:r>
    </w:p>
    <w:p>
      <w:pPr>
        <w:rPr>
          <w:rFonts w:hint="eastAsia" w:eastAsia="宋体"/>
          <w:sz w:val="28"/>
          <w:szCs w:val="28"/>
          <w:lang w:eastAsia="zh-CN"/>
        </w:rPr>
      </w:pPr>
      <w:r>
        <w:rPr>
          <w:rFonts w:hint="eastAsia"/>
          <w:sz w:val="28"/>
          <w:szCs w:val="28"/>
          <w:lang w:val="en-US" w:eastAsia="zh-CN"/>
        </w:rPr>
        <w:t>12.</w:t>
      </w:r>
      <w:r>
        <w:rPr>
          <w:rFonts w:hint="eastAsia"/>
          <w:sz w:val="28"/>
          <w:szCs w:val="28"/>
        </w:rPr>
        <w:t>《装配式混凝土建筑</w:t>
      </w:r>
      <w:r>
        <w:rPr>
          <w:rFonts w:hint="eastAsia"/>
          <w:sz w:val="28"/>
          <w:szCs w:val="28"/>
          <w:lang w:val="en-US" w:eastAsia="zh-CN"/>
        </w:rPr>
        <w:t>结构</w:t>
      </w:r>
      <w:r>
        <w:rPr>
          <w:rFonts w:hint="eastAsia"/>
          <w:sz w:val="28"/>
          <w:szCs w:val="28"/>
        </w:rPr>
        <w:t>技术规程》DB</w:t>
      </w:r>
      <w:r>
        <w:rPr>
          <w:rFonts w:hint="eastAsia"/>
          <w:sz w:val="28"/>
          <w:szCs w:val="28"/>
          <w:lang w:val="en-US" w:eastAsia="zh-CN"/>
        </w:rPr>
        <w:t xml:space="preserve">J </w:t>
      </w:r>
      <w:r>
        <w:rPr>
          <w:rFonts w:hint="eastAsia" w:eastAsia="Times New Roman"/>
          <w:sz w:val="28"/>
          <w:szCs w:val="28"/>
        </w:rPr>
        <w:t>15</w:t>
      </w:r>
      <w:r>
        <w:rPr>
          <w:rFonts w:hint="eastAsia"/>
          <w:sz w:val="28"/>
          <w:szCs w:val="28"/>
        </w:rPr>
        <w:t>-</w:t>
      </w:r>
      <w:r>
        <w:rPr>
          <w:rFonts w:hint="eastAsia" w:eastAsia="Times New Roman"/>
          <w:sz w:val="28"/>
          <w:szCs w:val="28"/>
        </w:rPr>
        <w:t>107</w:t>
      </w:r>
    </w:p>
    <w:p>
      <w:pPr>
        <w:rPr>
          <w:rFonts w:hint="eastAsia" w:eastAsia="Times New Roman"/>
          <w:sz w:val="28"/>
          <w:szCs w:val="28"/>
        </w:rPr>
      </w:pPr>
      <w:r>
        <w:rPr>
          <w:rFonts w:hint="eastAsia"/>
          <w:sz w:val="28"/>
          <w:szCs w:val="28"/>
          <w:lang w:val="en-US" w:eastAsia="zh-CN"/>
        </w:rPr>
        <w:t>13.</w:t>
      </w:r>
      <w:r>
        <w:rPr>
          <w:rFonts w:hint="eastAsia"/>
          <w:sz w:val="28"/>
          <w:szCs w:val="28"/>
        </w:rPr>
        <w:t>《装配式混凝土建筑深化设计技术规程》DBJ</w:t>
      </w:r>
      <w:r>
        <w:rPr>
          <w:rFonts w:hint="eastAsia"/>
          <w:sz w:val="28"/>
          <w:szCs w:val="28"/>
          <w:lang w:val="en-US" w:eastAsia="zh-CN"/>
        </w:rPr>
        <w:t xml:space="preserve"> </w:t>
      </w:r>
      <w:r>
        <w:rPr>
          <w:rFonts w:hint="eastAsia" w:eastAsia="Times New Roman"/>
          <w:sz w:val="28"/>
          <w:szCs w:val="28"/>
        </w:rPr>
        <w:t>15</w:t>
      </w:r>
      <w:r>
        <w:rPr>
          <w:rFonts w:hint="eastAsia"/>
          <w:sz w:val="28"/>
          <w:szCs w:val="28"/>
        </w:rPr>
        <w:t>-</w:t>
      </w:r>
      <w:r>
        <w:rPr>
          <w:rFonts w:hint="eastAsia" w:eastAsia="Times New Roman"/>
          <w:sz w:val="28"/>
          <w:szCs w:val="28"/>
        </w:rPr>
        <w:t>155</w:t>
      </w:r>
    </w:p>
    <w:p>
      <w:pPr>
        <w:numPr>
          <w:ilvl w:val="0"/>
          <w:numId w:val="4"/>
        </w:numPr>
        <w:rPr>
          <w:rFonts w:hint="eastAsia"/>
          <w:sz w:val="28"/>
          <w:szCs w:val="28"/>
          <w:lang w:eastAsia="zh-CN"/>
        </w:rPr>
      </w:pPr>
      <w:r>
        <w:rPr>
          <w:rFonts w:hint="eastAsia"/>
          <w:sz w:val="28"/>
          <w:szCs w:val="28"/>
        </w:rPr>
        <w:t>《装配式建筑评价标准》</w:t>
      </w:r>
      <w:r>
        <w:rPr>
          <w:rFonts w:hint="eastAsia"/>
          <w:sz w:val="28"/>
          <w:szCs w:val="28"/>
          <w:lang w:val="en-US" w:eastAsia="zh-CN"/>
        </w:rPr>
        <w:t xml:space="preserve"> D</w:t>
      </w:r>
      <w:r>
        <w:rPr>
          <w:rFonts w:hint="eastAsia"/>
          <w:sz w:val="28"/>
          <w:szCs w:val="28"/>
        </w:rPr>
        <w:t>B</w:t>
      </w:r>
      <w:r>
        <w:rPr>
          <w:rFonts w:hint="eastAsia"/>
          <w:sz w:val="28"/>
          <w:szCs w:val="28"/>
          <w:lang w:val="en-US" w:eastAsia="zh-CN"/>
        </w:rPr>
        <w:t>J</w:t>
      </w:r>
      <w:r>
        <w:rPr>
          <w:rFonts w:hint="eastAsia"/>
          <w:sz w:val="28"/>
          <w:szCs w:val="28"/>
        </w:rPr>
        <w:t>/T</w:t>
      </w:r>
      <w:r>
        <w:rPr>
          <w:rFonts w:hint="eastAsia"/>
          <w:sz w:val="28"/>
          <w:szCs w:val="28"/>
          <w:lang w:val="en-US" w:eastAsia="zh-CN"/>
        </w:rPr>
        <w:t xml:space="preserve"> </w:t>
      </w:r>
      <w:r>
        <w:rPr>
          <w:rFonts w:hint="eastAsia" w:eastAsia="Times New Roman"/>
          <w:sz w:val="28"/>
          <w:szCs w:val="28"/>
        </w:rPr>
        <w:t>15</w:t>
      </w:r>
      <w:r>
        <w:rPr>
          <w:rFonts w:hint="eastAsia"/>
          <w:sz w:val="28"/>
          <w:szCs w:val="28"/>
        </w:rPr>
        <w:t>-</w:t>
      </w:r>
      <w:r>
        <w:rPr>
          <w:rFonts w:hint="eastAsia" w:eastAsia="Times New Roman"/>
          <w:sz w:val="28"/>
          <w:szCs w:val="28"/>
        </w:rPr>
        <w:t>163</w:t>
      </w:r>
    </w:p>
    <w:p>
      <w:pPr>
        <w:numPr>
          <w:ilvl w:val="0"/>
          <w:numId w:val="4"/>
        </w:numPr>
        <w:rPr>
          <w:rFonts w:hint="eastAsia"/>
          <w:sz w:val="28"/>
          <w:szCs w:val="28"/>
          <w:lang w:eastAsia="zh-CN"/>
        </w:rPr>
      </w:pPr>
      <w:r>
        <w:rPr>
          <w:rFonts w:hint="eastAsia"/>
          <w:sz w:val="28"/>
          <w:szCs w:val="28"/>
          <w:lang w:eastAsia="zh-CN"/>
        </w:rPr>
        <w:t>《</w:t>
      </w:r>
      <w:r>
        <w:rPr>
          <w:rFonts w:hint="eastAsia"/>
          <w:sz w:val="28"/>
          <w:szCs w:val="28"/>
          <w:lang w:val="en-US" w:eastAsia="zh-CN"/>
        </w:rPr>
        <w:t>中山市装配式建筑设计指南</w:t>
      </w:r>
      <w:r>
        <w:rPr>
          <w:rFonts w:hint="eastAsia"/>
          <w:sz w:val="28"/>
          <w:szCs w:val="28"/>
          <w:lang w:eastAsia="zh-CN"/>
        </w:rPr>
        <w:t>》（</w:t>
      </w:r>
      <w:r>
        <w:rPr>
          <w:rFonts w:hint="eastAsia"/>
          <w:sz w:val="28"/>
          <w:szCs w:val="28"/>
          <w:lang w:val="en-US" w:eastAsia="zh-CN"/>
        </w:rPr>
        <w:t>2021版</w:t>
      </w:r>
      <w:r>
        <w:rPr>
          <w:rFonts w:hint="eastAsia"/>
          <w:sz w:val="28"/>
          <w:szCs w:val="28"/>
          <w:lang w:eastAsia="zh-CN"/>
        </w:rPr>
        <w:t>）</w:t>
      </w:r>
    </w:p>
    <w:p>
      <w:pPr>
        <w:numPr>
          <w:ilvl w:val="0"/>
          <w:numId w:val="4"/>
        </w:numPr>
        <w:ind w:firstLine="0" w:firstLineChars="0"/>
        <w:rPr>
          <w:rFonts w:hint="eastAsia"/>
          <w:sz w:val="28"/>
          <w:szCs w:val="28"/>
          <w:lang w:eastAsia="zh-CN"/>
        </w:rPr>
      </w:pPr>
      <w:r>
        <w:rPr>
          <w:rFonts w:hint="eastAsia" w:ascii="宋体" w:hAnsi="宋体" w:eastAsia="宋体" w:cs="宋体"/>
          <w:sz w:val="28"/>
          <w:szCs w:val="28"/>
        </w:rPr>
        <w:t>国家、省、市现行的相关法律、法规、规范性文件</w:t>
      </w:r>
    </w:p>
    <w:p>
      <w:pPr>
        <w:rPr>
          <w:rFonts w:hint="eastAsia"/>
          <w:sz w:val="24"/>
          <w:szCs w:val="24"/>
          <w:lang w:eastAsia="zh-CN"/>
        </w:rPr>
      </w:pPr>
    </w:p>
    <w:p>
      <w:pPr>
        <w:rPr>
          <w:rFonts w:hint="eastAsia" w:ascii="宋体" w:hAnsi="宋体" w:eastAsia="宋体" w:cs="宋体"/>
          <w:b/>
          <w:bCs/>
          <w:sz w:val="28"/>
          <w:szCs w:val="28"/>
          <w:lang w:eastAsia="zh-CN"/>
        </w:rPr>
      </w:pPr>
      <w:r>
        <w:rPr>
          <w:rFonts w:hint="default" w:ascii="Times New Roman" w:hAnsi="Times New Roman" w:eastAsia="Times New Roman" w:cs="Times New Roman"/>
          <w:b/>
          <w:bCs/>
          <w:sz w:val="28"/>
          <w:szCs w:val="28"/>
          <w:lang w:val="en-US" w:eastAsia="zh-CN"/>
        </w:rPr>
        <w:t>2</w:t>
      </w:r>
      <w:r>
        <w:rPr>
          <w:rFonts w:hint="eastAsia" w:ascii="宋体" w:hAnsi="宋体" w:cs="宋体"/>
          <w:b/>
          <w:bCs/>
          <w:sz w:val="28"/>
          <w:szCs w:val="28"/>
          <w:lang w:val="en-US" w:eastAsia="zh-CN"/>
        </w:rPr>
        <w:t>、</w:t>
      </w:r>
      <w:r>
        <w:rPr>
          <w:rFonts w:hint="eastAsia" w:ascii="宋体" w:hAnsi="宋体" w:eastAsia="宋体" w:cs="宋体"/>
          <w:b/>
          <w:bCs/>
          <w:sz w:val="28"/>
          <w:szCs w:val="28"/>
        </w:rPr>
        <w:t>项目概况</w:t>
      </w:r>
    </w:p>
    <w:p>
      <w:pPr>
        <w:rPr>
          <w:rFonts w:hint="eastAsia" w:ascii="宋体" w:hAnsi="宋体" w:eastAsia="宋体" w:cs="宋体"/>
          <w:sz w:val="28"/>
          <w:szCs w:val="28"/>
          <w:lang w:eastAsia="zh-CN"/>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3355340</wp:posOffset>
                </wp:positionH>
                <wp:positionV relativeFrom="paragraph">
                  <wp:posOffset>-454025</wp:posOffset>
                </wp:positionV>
                <wp:extent cx="1882140" cy="1164590"/>
                <wp:effectExtent l="7620" t="7620" r="15240" b="8890"/>
                <wp:wrapNone/>
                <wp:docPr id="3" name="矩形 284"/>
                <wp:cNvGraphicFramePr/>
                <a:graphic xmlns:a="http://schemas.openxmlformats.org/drawingml/2006/main">
                  <a:graphicData uri="http://schemas.microsoft.com/office/word/2010/wordprocessingShape">
                    <wps:wsp>
                      <wps:cNvSpPr/>
                      <wps:spPr>
                        <a:xfrm>
                          <a:off x="0" y="0"/>
                          <a:ext cx="1882140" cy="11645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rect id="矩形 284" o:spid="_x0000_s1026" o:spt="1" style="position:absolute;left:0pt;margin-left:264.2pt;margin-top:-35.75pt;height:91.7pt;width:148.2pt;z-index:251661312;mso-width-relative:page;mso-height-relative:page;" fillcolor="#FFFFFF" filled="t" stroked="t" coordsize="21600,21600" o:gfxdata="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jh8gj2AAAAAsBAAAPAAAAAAAAAAEAIAAAACIAAABkcnMvZG93bnJldi54bWxQSwECFAAUAAAA&#10;CACHTuJAcBvsAmACAADnBAAADgAAAAAAAAABACAAAAAnAQAAZHJzL2Uyb0RvYy54bWxQSwUGAAAA&#10;AAYABgBZAQAA+QUAAAAA&#10;">
                <v:fill type="gradient" on="t" color2="#FFFFFF" angle="90" focus="100%" focussize="0f,0f" focusposition="0f,0f">
                  <o:fill type="gradientUnscaled" v:ext="backwardCompatible"/>
                </v:fill>
                <v:stroke weight="1.25pt" color="#739CC3" joinstyle="miter"/>
                <v:imagedata o:title=""/>
                <o:lock v:ext="edit" aspectratio="f"/>
                <v:textbox>
                  <w:txbxContent>
                    <w:p/>
                  </w:txbxContent>
                </v:textbox>
              </v:rect>
            </w:pict>
          </mc:Fallback>
        </mc:AlternateConten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cs="宋体"/>
          <w:sz w:val="28"/>
          <w:szCs w:val="28"/>
          <w:lang w:val="en-US" w:eastAsia="zh-CN"/>
        </w:rPr>
        <w:t xml:space="preserve"> </w:t>
      </w:r>
      <w:r>
        <w:rPr>
          <w:rFonts w:hint="eastAsia" w:ascii="宋体" w:hAnsi="宋体" w:eastAsia="宋体" w:cs="宋体"/>
          <w:sz w:val="28"/>
          <w:szCs w:val="28"/>
        </w:rPr>
        <w:t>工程基本信息</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eastAsia="宋体" w:cs="宋体"/>
          <w:sz w:val="28"/>
          <w:szCs w:val="28"/>
        </w:rPr>
        <w:t>项目名称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3439160</wp:posOffset>
                </wp:positionH>
                <wp:positionV relativeFrom="paragraph">
                  <wp:posOffset>46355</wp:posOffset>
                </wp:positionV>
                <wp:extent cx="1699895" cy="287655"/>
                <wp:effectExtent l="0" t="0" r="14605" b="17145"/>
                <wp:wrapNone/>
                <wp:docPr id="4" name="文本框 285"/>
                <wp:cNvGraphicFramePr/>
                <a:graphic xmlns:a="http://schemas.openxmlformats.org/drawingml/2006/main">
                  <a:graphicData uri="http://schemas.microsoft.com/office/word/2010/wordprocessingShape">
                    <wps:wsp>
                      <wps:cNvSpPr txBox="1"/>
                      <wps:spPr>
                        <a:xfrm>
                          <a:off x="0" y="0"/>
                          <a:ext cx="1699895" cy="287655"/>
                        </a:xfrm>
                        <a:prstGeom prst="rect">
                          <a:avLst/>
                        </a:prstGeom>
                        <a:gradFill rotWithShape="0">
                          <a:gsLst>
                            <a:gs pos="0">
                              <a:srgbClr val="FFFFFF"/>
                            </a:gs>
                            <a:gs pos="100000">
                              <a:srgbClr val="FFFFFF"/>
                            </a:gs>
                          </a:gsLst>
                          <a:lin ang="0"/>
                          <a:tileRect/>
                        </a:gradFill>
                        <a:ln w="15875">
                          <a:noFill/>
                        </a:ln>
                      </wps:spPr>
                      <wps:txbx>
                        <w:txbxContent>
                          <w:p>
                            <w:pPr>
                              <w:rPr>
                                <w:rFonts w:hint="default" w:eastAsia="宋体"/>
                                <w:lang w:val="en-US" w:eastAsia="zh-CN"/>
                              </w:rPr>
                            </w:pPr>
                            <w:r>
                              <w:rPr>
                                <w:rFonts w:hint="eastAsia"/>
                                <w:lang w:val="en-US" w:eastAsia="zh-CN"/>
                              </w:rPr>
                              <w:t>装配式建筑总平面示意图</w:t>
                            </w:r>
                          </w:p>
                        </w:txbxContent>
                      </wps:txbx>
                      <wps:bodyPr vert="horz" wrap="square" anchor="t" anchorCtr="0" upright="1"/>
                    </wps:wsp>
                  </a:graphicData>
                </a:graphic>
              </wp:anchor>
            </w:drawing>
          </mc:Choice>
          <mc:Fallback>
            <w:pict>
              <v:shape id="文本框 285" o:spid="_x0000_s1026" o:spt="202" type="#_x0000_t202" style="position:absolute;left:0pt;margin-left:270.8pt;margin-top:3.65pt;height:22.65pt;width:133.85pt;z-index:251662336;mso-width-relative:page;mso-height-relative:page;" fillcolor="#FFFFFF" filled="t" stroked="f" coordsize="21600,21600" o:gfxdata="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DOWf2QAA&#10;AAgBAAAPAAAAAAAAAAEAIAAAACIAAABkcnMvZG93bnJldi54bWxQSwECFAAUAAAACACHTuJAe0Q2&#10;1B0CAAA9BAAADgAAAAAAAAABACAAAAAoAQAAZHJzL2Uyb0RvYy54bWxQSwUGAAAAAAYABgBZAQAA&#10;twUAAAAA&#10;">
                <v:fill type="gradient" on="t" color2="#FFFFFF" angle="90" focus="100%" focussize="0f,0f" focusposition="0f,0f">
                  <o:fill type="gradientUnscaled" v:ext="backwardCompatible"/>
                </v:fill>
                <v:stroke on="f" weight="1.25pt"/>
                <v:imagedata o:title=""/>
                <o:lock v:ext="edit" aspectratio="f"/>
                <v:textbox>
                  <w:txbxContent>
                    <w:p>
                      <w:pPr>
                        <w:rPr>
                          <w:rFonts w:hint="default" w:eastAsia="宋体"/>
                          <w:lang w:val="en-US" w:eastAsia="zh-CN"/>
                        </w:rPr>
                      </w:pPr>
                      <w:r>
                        <w:rPr>
                          <w:rFonts w:hint="eastAsia"/>
                          <w:lang w:val="en-US" w:eastAsia="zh-CN"/>
                        </w:rPr>
                        <w:t>装配式建筑总平面示意图</w:t>
                      </w:r>
                    </w:p>
                  </w:txbxContent>
                </v:textbox>
              </v:shape>
            </w:pict>
          </mc:Fallback>
        </mc:AlternateConten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eastAsia="宋体" w:cs="宋体"/>
          <w:sz w:val="28"/>
          <w:szCs w:val="28"/>
        </w:rPr>
        <w:t>建设地点</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cs="宋体"/>
          <w:sz w:val="28"/>
          <w:szCs w:val="28"/>
          <w:lang w:val="en-US" w:eastAsia="zh-CN"/>
        </w:rPr>
        <w:t xml:space="preserve"> </w:t>
      </w:r>
      <w:r>
        <w:rPr>
          <w:rFonts w:hint="eastAsia" w:ascii="宋体" w:hAnsi="宋体" w:eastAsia="宋体" w:cs="宋体"/>
          <w:sz w:val="28"/>
          <w:szCs w:val="28"/>
        </w:rPr>
        <w:t>本工程规划建设用地面积</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 xml:space="preserve"> ，总</w:t>
      </w:r>
      <w:r>
        <w:rPr>
          <w:rFonts w:hint="eastAsia" w:ascii="宋体" w:hAnsi="宋体" w:eastAsia="宋体" w:cs="宋体"/>
          <w:sz w:val="28"/>
          <w:szCs w:val="28"/>
        </w:rPr>
        <w:t>建筑</w:t>
      </w:r>
      <w:r>
        <w:rPr>
          <w:rFonts w:hint="eastAsia" w:ascii="宋体" w:hAnsi="宋体" w:eastAsia="宋体" w:cs="宋体"/>
          <w:sz w:val="28"/>
          <w:szCs w:val="28"/>
          <w:lang w:val="en-US" w:eastAsia="zh-CN"/>
        </w:rPr>
        <w:t>面积：</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r>
        <w:rPr>
          <w:rFonts w:hint="eastAsia" w:ascii="宋体" w:hAnsi="宋体" w:eastAsia="宋体" w:cs="宋体"/>
          <w:sz w:val="28"/>
          <w:szCs w:val="28"/>
        </w:rPr>
        <w:t>容积率</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3</w:t>
      </w:r>
      <w:r>
        <w:rPr>
          <w:rFonts w:hint="eastAsia" w:ascii="宋体" w:hAnsi="宋体" w:cs="宋体"/>
          <w:sz w:val="28"/>
          <w:szCs w:val="28"/>
          <w:lang w:val="en-US" w:eastAsia="zh-CN"/>
        </w:rPr>
        <w:t xml:space="preserve"> </w:t>
      </w:r>
      <w:r>
        <w:rPr>
          <w:rFonts w:hint="eastAsia" w:ascii="宋体" w:hAnsi="宋体" w:eastAsia="宋体" w:cs="宋体"/>
          <w:sz w:val="28"/>
          <w:szCs w:val="28"/>
        </w:rPr>
        <w:t>建筑层数、高度</w:t>
      </w:r>
      <w:r>
        <w:rPr>
          <w:rFonts w:hint="eastAsia" w:ascii="宋体" w:hAnsi="宋体" w:eastAsia="宋体" w:cs="宋体"/>
          <w:sz w:val="28"/>
          <w:szCs w:val="28"/>
          <w:lang w:eastAsia="zh-CN"/>
        </w:rPr>
        <w:t>：</w:t>
      </w:r>
      <w:r>
        <w:rPr>
          <w:rFonts w:hint="eastAsia" w:ascii="宋体" w:hAnsi="宋体" w:eastAsia="宋体" w:cs="宋体"/>
          <w:sz w:val="28"/>
          <w:szCs w:val="28"/>
        </w:rPr>
        <w:t>地上</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层，地下</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层，建筑高度</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lang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rPr>
        <w:t>4</w:t>
      </w:r>
      <w:r>
        <w:rPr>
          <w:rFonts w:hint="default" w:ascii="Times New Roman" w:hAnsi="Times New Roman" w:cs="Times New Roman"/>
          <w:sz w:val="28"/>
          <w:szCs w:val="28"/>
          <w:lang w:val="en-US" w:eastAsia="zh-CN"/>
        </w:rPr>
        <w:t xml:space="preserve"> </w:t>
      </w:r>
      <w:r>
        <w:rPr>
          <w:rFonts w:hint="eastAsia" w:ascii="宋体" w:hAnsi="宋体" w:eastAsia="宋体" w:cs="宋体"/>
          <w:sz w:val="28"/>
          <w:szCs w:val="28"/>
        </w:rPr>
        <w:t>建筑结构形式</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设计使用年限为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5</w:t>
      </w:r>
      <w:r>
        <w:rPr>
          <w:rFonts w:hint="eastAsia" w:ascii="宋体" w:hAnsi="宋体" w:eastAsia="Times New Roman" w:cs="宋体"/>
          <w:sz w:val="28"/>
          <w:szCs w:val="28"/>
          <w:lang w:val="en-US" w:eastAsia="zh-CN"/>
        </w:rPr>
        <w:t xml:space="preserve"> </w:t>
      </w:r>
      <w:r>
        <w:rPr>
          <w:rFonts w:hint="eastAsia" w:ascii="宋体" w:hAnsi="宋体" w:eastAsia="宋体" w:cs="宋体"/>
          <w:sz w:val="28"/>
          <w:szCs w:val="28"/>
        </w:rPr>
        <w:t>高层建筑分类</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建筑</w:t>
      </w:r>
      <w:r>
        <w:rPr>
          <w:rFonts w:hint="eastAsia" w:ascii="宋体" w:hAnsi="宋体" w:eastAsia="宋体" w:cs="宋体"/>
          <w:sz w:val="28"/>
          <w:szCs w:val="28"/>
          <w:lang w:val="en-US" w:eastAsia="zh-CN"/>
        </w:rPr>
        <w:t>耐火</w:t>
      </w:r>
      <w:r>
        <w:rPr>
          <w:rFonts w:hint="eastAsia" w:ascii="宋体" w:hAnsi="宋体" w:eastAsia="宋体" w:cs="宋体"/>
          <w:sz w:val="28"/>
          <w:szCs w:val="28"/>
        </w:rPr>
        <w:t>等级</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p>
    <w:p>
      <w:pPr>
        <w:rPr>
          <w:rFonts w:hint="default" w:ascii="宋体" w:hAnsi="宋体" w:cs="宋体"/>
          <w:sz w:val="28"/>
          <w:szCs w:val="28"/>
          <w:u w:val="non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装配式建筑实施范围：</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cs="宋体"/>
          <w:sz w:val="28"/>
          <w:szCs w:val="28"/>
          <w:u w:val="none"/>
          <w:lang w:val="en-US" w:eastAsia="zh-CN"/>
        </w:rPr>
      </w:pP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7</w:t>
      </w:r>
      <w:r>
        <w:rPr>
          <w:rFonts w:hint="eastAsia" w:ascii="宋体" w:hAnsi="宋体" w:cs="宋体"/>
          <w:sz w:val="28"/>
          <w:szCs w:val="28"/>
          <w:u w:val="none"/>
          <w:lang w:val="en-US" w:eastAsia="zh-CN"/>
        </w:rPr>
        <w:t xml:space="preserve"> 装配式建设目标（基于DBJ/</w:t>
      </w:r>
      <w:r>
        <w:rPr>
          <w:rFonts w:hint="eastAsia" w:ascii="宋体" w:hAnsi="宋体" w:eastAsia="Times New Roman" w:cs="宋体"/>
          <w:sz w:val="28"/>
          <w:szCs w:val="28"/>
          <w:u w:val="none"/>
          <w:lang w:val="en-US" w:eastAsia="zh-CN"/>
        </w:rPr>
        <w:t>15</w:t>
      </w:r>
      <w:r>
        <w:rPr>
          <w:rFonts w:hint="eastAsia" w:ascii="宋体" w:hAnsi="宋体" w:cs="宋体"/>
          <w:sz w:val="28"/>
          <w:szCs w:val="28"/>
          <w:u w:val="none"/>
          <w:lang w:val="en-US" w:eastAsia="zh-CN"/>
        </w:rPr>
        <w:t>-</w:t>
      </w:r>
      <w:r>
        <w:rPr>
          <w:rFonts w:hint="eastAsia" w:ascii="宋体" w:hAnsi="宋体" w:eastAsia="Times New Roman" w:cs="宋体"/>
          <w:sz w:val="28"/>
          <w:szCs w:val="28"/>
          <w:u w:val="none"/>
          <w:lang w:val="en-US" w:eastAsia="zh-CN"/>
        </w:rPr>
        <w:t>163</w:t>
      </w:r>
      <w:r>
        <w:rPr>
          <w:rFonts w:hint="eastAsia" w:ascii="宋体" w:hAnsi="宋体" w:cs="宋体"/>
          <w:sz w:val="28"/>
          <w:szCs w:val="28"/>
          <w:u w:val="none"/>
          <w:lang w:val="en-US" w:eastAsia="zh-CN"/>
        </w:rPr>
        <w:t>-</w:t>
      </w:r>
      <w:r>
        <w:rPr>
          <w:rFonts w:hint="eastAsia" w:ascii="宋体" w:hAnsi="宋体" w:eastAsia="Times New Roman" w:cs="宋体"/>
          <w:sz w:val="28"/>
          <w:szCs w:val="28"/>
          <w:u w:val="none"/>
          <w:lang w:val="en-US" w:eastAsia="zh-CN"/>
        </w:rPr>
        <w:t>2019</w:t>
      </w:r>
      <w:r>
        <w:rPr>
          <w:rFonts w:hint="eastAsia" w:ascii="宋体" w:hAnsi="宋体" w:cs="宋体"/>
          <w:sz w:val="28"/>
          <w:szCs w:val="28"/>
          <w:u w:val="none"/>
          <w:lang w:val="en-US" w:eastAsia="zh-CN"/>
        </w:rPr>
        <w:t>）：</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基本级  </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A级  </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AA级  </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AAA级</w:t>
      </w:r>
    </w:p>
    <w:p>
      <w:pPr>
        <w:rPr>
          <w:rFonts w:hint="eastAsia" w:ascii="宋体" w:hAnsi="宋体" w:eastAsia="宋体" w:cs="宋体"/>
          <w:b/>
          <w:bCs/>
          <w:sz w:val="28"/>
          <w:szCs w:val="28"/>
          <w:lang w:eastAsia="zh-CN"/>
        </w:rPr>
      </w:pPr>
      <w:r>
        <w:rPr>
          <w:rFonts w:hint="default" w:ascii="Times New Roman" w:hAnsi="Times New Roman" w:eastAsia="Times New Roman" w:cs="Times New Roman"/>
          <w:b/>
          <w:bCs/>
          <w:sz w:val="28"/>
          <w:szCs w:val="28"/>
          <w:lang w:val="en-US" w:eastAsia="zh-CN"/>
        </w:rPr>
        <w:t>3</w:t>
      </w:r>
      <w:r>
        <w:rPr>
          <w:rFonts w:hint="eastAsia" w:ascii="宋体" w:hAnsi="宋体" w:cs="宋体"/>
          <w:b/>
          <w:bCs/>
          <w:sz w:val="28"/>
          <w:szCs w:val="28"/>
          <w:lang w:val="en-US" w:eastAsia="zh-CN"/>
        </w:rPr>
        <w:t>、</w:t>
      </w:r>
      <w:r>
        <w:rPr>
          <w:rFonts w:hint="eastAsia" w:ascii="宋体" w:hAnsi="宋体" w:eastAsia="宋体" w:cs="宋体"/>
          <w:b/>
          <w:bCs/>
          <w:sz w:val="28"/>
          <w:szCs w:val="28"/>
        </w:rPr>
        <w:t>装配式建筑设计</w:t>
      </w:r>
    </w:p>
    <w:p>
      <w:pPr>
        <w:rPr>
          <w:rFonts w:hint="eastAsia" w:ascii="宋体" w:hAnsi="宋体" w:eastAsia="宋体" w:cs="宋体"/>
          <w:b w:val="0"/>
          <w:bCs w:val="0"/>
          <w:sz w:val="28"/>
          <w:szCs w:val="28"/>
          <w:lang w:eastAsia="zh-CN"/>
        </w:rPr>
      </w:pPr>
      <w:r>
        <w:rPr>
          <w:rFonts w:hint="default" w:ascii="Times New Roman" w:hAnsi="Times New Roman" w:eastAsia="Times New Roman" w:cs="Times New Roman"/>
          <w:b w:val="0"/>
          <w:bCs w:val="0"/>
          <w:sz w:val="28"/>
          <w:szCs w:val="28"/>
          <w:lang w:val="en-US" w:eastAsia="zh-CN"/>
        </w:rPr>
        <w:t>3</w:t>
      </w:r>
      <w:r>
        <w:rPr>
          <w:rFonts w:hint="default" w:ascii="Times New Roman" w:hAnsi="Times New Roman" w:eastAsia="宋体" w:cs="Times New Roman"/>
          <w:b w:val="0"/>
          <w:bCs w:val="0"/>
          <w:sz w:val="28"/>
          <w:szCs w:val="28"/>
        </w:rPr>
        <w:t>.</w:t>
      </w:r>
      <w:r>
        <w:rPr>
          <w:rFonts w:hint="default" w:ascii="Times New Roman" w:hAnsi="Times New Roman" w:eastAsia="Times New Roman" w:cs="Times New Roman"/>
          <w:b w:val="0"/>
          <w:bCs w:val="0"/>
          <w:sz w:val="28"/>
          <w:szCs w:val="28"/>
        </w:rPr>
        <w:t>1</w:t>
      </w:r>
      <w:r>
        <w:rPr>
          <w:rFonts w:hint="default" w:ascii="Times New Roman" w:hAnsi="Times New Roman" w:cs="Times New Roman"/>
          <w:b w:val="0"/>
          <w:bCs w:val="0"/>
          <w:sz w:val="28"/>
          <w:szCs w:val="28"/>
          <w:lang w:val="en-US" w:eastAsia="zh-CN"/>
        </w:rPr>
        <w:t xml:space="preserve"> </w:t>
      </w:r>
      <w:r>
        <w:rPr>
          <w:rFonts w:hint="eastAsia" w:ascii="宋体" w:hAnsi="宋体" w:eastAsia="宋体" w:cs="宋体"/>
          <w:b w:val="0"/>
          <w:bCs w:val="0"/>
          <w:sz w:val="28"/>
          <w:szCs w:val="28"/>
        </w:rPr>
        <w:t>总平面设计</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eastAsia="宋体" w:cs="宋体"/>
          <w:sz w:val="28"/>
          <w:szCs w:val="28"/>
        </w:rPr>
        <w:t>外部</w:t>
      </w:r>
      <w:r>
        <w:rPr>
          <w:rFonts w:hint="eastAsia" w:ascii="宋体" w:hAnsi="宋体" w:eastAsia="宋体" w:cs="宋体"/>
          <w:sz w:val="28"/>
          <w:szCs w:val="28"/>
          <w:lang w:val="en-US" w:eastAsia="zh-CN"/>
        </w:rPr>
        <w:t>运输</w:t>
      </w:r>
      <w:r>
        <w:rPr>
          <w:rFonts w:hint="eastAsia" w:ascii="宋体" w:hAnsi="宋体" w:eastAsia="宋体" w:cs="宋体"/>
          <w:sz w:val="28"/>
          <w:szCs w:val="28"/>
        </w:rPr>
        <w:t>条件</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eastAsia="宋体" w:cs="宋体"/>
          <w:sz w:val="28"/>
          <w:szCs w:val="28"/>
        </w:rPr>
        <w:t>内部</w:t>
      </w:r>
      <w:r>
        <w:rPr>
          <w:rFonts w:hint="eastAsia" w:ascii="宋体" w:hAnsi="宋体" w:eastAsia="宋体" w:cs="宋体"/>
          <w:sz w:val="28"/>
          <w:szCs w:val="28"/>
          <w:lang w:val="en-US" w:eastAsia="zh-CN"/>
        </w:rPr>
        <w:t>运输</w:t>
      </w:r>
      <w:r>
        <w:rPr>
          <w:rFonts w:hint="eastAsia" w:ascii="宋体" w:hAnsi="宋体" w:eastAsia="宋体" w:cs="宋体"/>
          <w:sz w:val="28"/>
          <w:szCs w:val="28"/>
        </w:rPr>
        <w:t>条件</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3</w:t>
      </w:r>
      <w:r>
        <w:rPr>
          <w:rFonts w:hint="eastAsia" w:ascii="宋体" w:hAnsi="宋体" w:eastAsia="宋体" w:cs="宋体"/>
          <w:sz w:val="28"/>
          <w:szCs w:val="28"/>
        </w:rPr>
        <w:t>构件存放与</w:t>
      </w:r>
      <w:r>
        <w:rPr>
          <w:rFonts w:hint="eastAsia" w:ascii="宋体" w:hAnsi="宋体" w:eastAsia="宋体" w:cs="宋体"/>
          <w:sz w:val="28"/>
          <w:szCs w:val="28"/>
          <w:lang w:val="en-US" w:eastAsia="zh-CN"/>
        </w:rPr>
        <w:t>吊装：</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b w:val="0"/>
          <w:bCs w:val="0"/>
          <w:sz w:val="28"/>
          <w:szCs w:val="28"/>
          <w:lang w:eastAsia="zh-CN"/>
        </w:rPr>
      </w:pPr>
      <w:r>
        <w:rPr>
          <w:rFonts w:hint="default" w:ascii="Times New Roman" w:hAnsi="Times New Roman" w:eastAsia="Times New Roman" w:cs="Times New Roman"/>
          <w:b w:val="0"/>
          <w:bCs w:val="0"/>
          <w:sz w:val="28"/>
          <w:szCs w:val="28"/>
          <w:lang w:val="en-US" w:eastAsia="zh-CN"/>
        </w:rPr>
        <w:t>3</w:t>
      </w:r>
      <w:r>
        <w:rPr>
          <w:rFonts w:hint="default" w:ascii="Times New Roman" w:hAnsi="Times New Roman" w:eastAsia="宋体" w:cs="Times New Roman"/>
          <w:b w:val="0"/>
          <w:bCs w:val="0"/>
          <w:sz w:val="28"/>
          <w:szCs w:val="28"/>
        </w:rPr>
        <w:t>.</w:t>
      </w:r>
      <w:r>
        <w:rPr>
          <w:rFonts w:hint="default" w:ascii="Times New Roman" w:hAnsi="Times New Roman" w:eastAsia="Times New Roman" w:cs="Times New Roman"/>
          <w:b w:val="0"/>
          <w:bCs w:val="0"/>
          <w:sz w:val="28"/>
          <w:szCs w:val="28"/>
        </w:rPr>
        <w:t>2</w:t>
      </w:r>
      <w:r>
        <w:rPr>
          <w:rFonts w:hint="default" w:ascii="Times New Roman" w:hAnsi="Times New Roman" w:cs="Times New Roman"/>
          <w:b w:val="0"/>
          <w:bCs w:val="0"/>
          <w:sz w:val="28"/>
          <w:szCs w:val="28"/>
          <w:lang w:val="en-US" w:eastAsia="zh-CN"/>
        </w:rPr>
        <w:t xml:space="preserve"> </w:t>
      </w:r>
      <w:r>
        <w:rPr>
          <w:rFonts w:hint="eastAsia" w:ascii="宋体" w:hAnsi="宋体" w:eastAsia="宋体" w:cs="宋体"/>
          <w:b w:val="0"/>
          <w:bCs w:val="0"/>
          <w:sz w:val="28"/>
          <w:szCs w:val="28"/>
        </w:rPr>
        <w:t>建筑设计</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cs="宋体"/>
          <w:sz w:val="28"/>
          <w:szCs w:val="28"/>
          <w:lang w:val="en-US" w:eastAsia="zh-CN"/>
        </w:rPr>
        <w:t>户型</w:t>
      </w:r>
      <w:r>
        <w:rPr>
          <w:rFonts w:hint="eastAsia" w:ascii="宋体" w:hAnsi="宋体" w:eastAsia="宋体" w:cs="宋体"/>
          <w:sz w:val="28"/>
          <w:szCs w:val="28"/>
        </w:rPr>
        <w:t>标准化设计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2</w:t>
      </w:r>
      <w:r>
        <w:rPr>
          <w:rFonts w:hint="eastAsia" w:ascii="宋体" w:hAnsi="宋体" w:eastAsia="宋体" w:cs="宋体"/>
          <w:sz w:val="28"/>
          <w:szCs w:val="28"/>
        </w:rPr>
        <w:t>建筑部品</w:t>
      </w:r>
      <w:r>
        <w:rPr>
          <w:rFonts w:hint="eastAsia" w:ascii="宋体" w:hAnsi="宋体" w:cs="宋体"/>
          <w:sz w:val="28"/>
          <w:szCs w:val="28"/>
          <w:lang w:val="en-US" w:eastAsia="zh-CN"/>
        </w:rPr>
        <w:t>与构件</w:t>
      </w:r>
      <w:r>
        <w:rPr>
          <w:rFonts w:hint="eastAsia" w:ascii="宋体" w:hAnsi="宋体" w:eastAsia="宋体" w:cs="宋体"/>
          <w:sz w:val="28"/>
          <w:szCs w:val="28"/>
        </w:rPr>
        <w:t>标准化设计</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val="en-US" w:eastAsia="zh-CN"/>
        </w:rPr>
        <w:t>3</w:t>
      </w:r>
      <w:r>
        <w:rPr>
          <w:rFonts w:hint="eastAsia" w:ascii="宋体" w:hAnsi="宋体" w:eastAsia="宋体" w:cs="宋体"/>
          <w:sz w:val="28"/>
          <w:szCs w:val="28"/>
          <w:lang w:val="en-US" w:eastAsia="zh-CN"/>
        </w:rPr>
        <w:t>预制竖向构件</w:t>
      </w:r>
      <w:r>
        <w:rPr>
          <w:rFonts w:hint="eastAsia" w:ascii="宋体" w:hAnsi="宋体" w:eastAsia="宋体" w:cs="宋体"/>
          <w:sz w:val="28"/>
          <w:szCs w:val="28"/>
        </w:rPr>
        <w:t>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eastAsia="Times New Roman" w:cs="Times New Roman"/>
          <w:sz w:val="28"/>
          <w:szCs w:val="28"/>
          <w:lang w:val="en-US" w:eastAsia="zh-CN"/>
        </w:rPr>
        <w:t>4</w:t>
      </w:r>
      <w:r>
        <w:rPr>
          <w:rFonts w:hint="eastAsia" w:ascii="宋体" w:hAnsi="宋体" w:eastAsia="宋体" w:cs="宋体"/>
          <w:sz w:val="28"/>
          <w:szCs w:val="28"/>
        </w:rPr>
        <w:t>预制</w:t>
      </w:r>
      <w:r>
        <w:rPr>
          <w:rFonts w:hint="eastAsia" w:ascii="宋体" w:hAnsi="宋体" w:eastAsia="宋体" w:cs="宋体"/>
          <w:sz w:val="28"/>
          <w:szCs w:val="28"/>
          <w:lang w:val="en-US" w:eastAsia="zh-CN"/>
        </w:rPr>
        <w:t>梁</w:t>
      </w:r>
      <w:r>
        <w:rPr>
          <w:rFonts w:hint="eastAsia" w:ascii="宋体" w:hAnsi="宋体" w:eastAsia="宋体" w:cs="宋体"/>
          <w:sz w:val="28"/>
          <w:szCs w:val="28"/>
        </w:rPr>
        <w:t>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eastAsia="Times New Roman" w:cs="Times New Roman"/>
          <w:sz w:val="28"/>
          <w:szCs w:val="28"/>
          <w:lang w:val="en-US" w:eastAsia="zh-CN"/>
        </w:rPr>
        <w:t>5</w:t>
      </w:r>
      <w:r>
        <w:rPr>
          <w:rFonts w:hint="eastAsia" w:ascii="宋体" w:hAnsi="宋体" w:eastAsia="宋体" w:cs="宋体"/>
          <w:sz w:val="28"/>
          <w:szCs w:val="28"/>
        </w:rPr>
        <w:t>预制</w:t>
      </w:r>
      <w:r>
        <w:rPr>
          <w:rFonts w:hint="eastAsia" w:ascii="宋体" w:hAnsi="宋体" w:eastAsia="宋体" w:cs="宋体"/>
          <w:sz w:val="28"/>
          <w:szCs w:val="28"/>
          <w:lang w:val="en-US" w:eastAsia="zh-CN"/>
        </w:rPr>
        <w:t>装配式</w:t>
      </w:r>
      <w:r>
        <w:rPr>
          <w:rFonts w:hint="eastAsia" w:ascii="宋体" w:hAnsi="宋体" w:eastAsia="宋体" w:cs="宋体"/>
          <w:sz w:val="28"/>
          <w:szCs w:val="28"/>
        </w:rPr>
        <w:t>楼板设计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eastAsia="zh-CN"/>
        </w:rPr>
        <w:t>6</w:t>
      </w:r>
      <w:r>
        <w:rPr>
          <w:rFonts w:hint="eastAsia" w:ascii="宋体" w:hAnsi="宋体" w:eastAsia="宋体" w:cs="宋体"/>
          <w:sz w:val="28"/>
          <w:szCs w:val="28"/>
        </w:rPr>
        <w:t>预制</w:t>
      </w:r>
      <w:r>
        <w:rPr>
          <w:rFonts w:hint="eastAsia" w:ascii="宋体" w:hAnsi="宋体" w:eastAsia="宋体" w:cs="宋体"/>
          <w:sz w:val="28"/>
          <w:szCs w:val="28"/>
          <w:lang w:val="en-US" w:eastAsia="zh-CN"/>
        </w:rPr>
        <w:t>楼梯</w:t>
      </w:r>
      <w:r>
        <w:rPr>
          <w:rFonts w:hint="eastAsia" w:ascii="宋体" w:hAnsi="宋体" w:eastAsia="宋体" w:cs="宋体"/>
          <w:sz w:val="28"/>
          <w:szCs w:val="28"/>
        </w:rPr>
        <w:t>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eastAsia="zh-CN"/>
        </w:rPr>
        <w:t>7</w:t>
      </w:r>
      <w:r>
        <w:rPr>
          <w:rFonts w:hint="eastAsia" w:ascii="宋体" w:hAnsi="宋体" w:eastAsia="宋体" w:cs="宋体"/>
          <w:sz w:val="28"/>
          <w:szCs w:val="28"/>
        </w:rPr>
        <w:t>预制阳台设计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eastAsia="zh-CN"/>
        </w:rPr>
        <w:t>8</w:t>
      </w:r>
      <w:r>
        <w:rPr>
          <w:rFonts w:hint="eastAsia" w:ascii="宋体" w:hAnsi="宋体" w:eastAsia="宋体" w:cs="宋体"/>
          <w:sz w:val="28"/>
          <w:szCs w:val="28"/>
          <w:lang w:val="en-US" w:eastAsia="zh-CN"/>
        </w:rPr>
        <w:t>预</w:t>
      </w:r>
      <w:r>
        <w:rPr>
          <w:rFonts w:hint="eastAsia" w:ascii="宋体" w:hAnsi="宋体" w:eastAsia="宋体" w:cs="宋体"/>
          <w:sz w:val="28"/>
          <w:szCs w:val="28"/>
        </w:rPr>
        <w:t>制空调板</w:t>
      </w:r>
      <w:r>
        <w:rPr>
          <w:rFonts w:hint="eastAsia" w:ascii="宋体" w:hAnsi="宋体" w:eastAsia="宋体" w:cs="宋体"/>
          <w:sz w:val="28"/>
          <w:szCs w:val="28"/>
          <w:lang w:val="en-US" w:eastAsia="zh-CN"/>
        </w:rPr>
        <w:t>设计：</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cs="宋体"/>
          <w:sz w:val="28"/>
          <w:szCs w:val="28"/>
          <w:u w:val="single"/>
          <w:lang w:val="en-US" w:eastAsia="zh-CN"/>
        </w:rPr>
      </w:pPr>
      <w:r>
        <w:rPr>
          <w:rFonts w:hint="default" w:ascii="Times New Roman" w:hAnsi="Times New Roman" w:eastAsia="Times New Roman" w:cs="Times New Roman"/>
          <w:sz w:val="28"/>
          <w:szCs w:val="28"/>
          <w:u w:val="none"/>
          <w:lang w:val="en-US" w:eastAsia="zh-CN"/>
        </w:rPr>
        <w:t>3</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w:t>
      </w:r>
      <w:r>
        <w:rPr>
          <w:rFonts w:hint="eastAsia" w:ascii="Times New Roman" w:hAnsi="Times New Roman" w:eastAsia="Times New Roman" w:cs="Times New Roman"/>
          <w:sz w:val="28"/>
          <w:szCs w:val="28"/>
          <w:u w:val="none"/>
          <w:lang w:val="en-US" w:eastAsia="zh-CN"/>
        </w:rPr>
        <w:t>9</w:t>
      </w:r>
      <w:r>
        <w:rPr>
          <w:rFonts w:hint="eastAsia" w:ascii="宋体" w:hAnsi="宋体" w:cs="宋体"/>
          <w:sz w:val="28"/>
          <w:szCs w:val="28"/>
          <w:u w:val="none"/>
          <w:lang w:val="en-US" w:eastAsia="zh-CN"/>
        </w:rPr>
        <w:t xml:space="preserve"> 内隔墙板设计：</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eastAsia="Times New Roman" w:cs="Times New Roman"/>
          <w:sz w:val="28"/>
          <w:szCs w:val="28"/>
          <w:lang w:val="en-US" w:eastAsia="zh-CN"/>
        </w:rPr>
        <w:t>10</w:t>
      </w:r>
      <w:r>
        <w:rPr>
          <w:rFonts w:hint="eastAsia" w:ascii="宋体" w:hAnsi="宋体" w:cs="宋体"/>
          <w:sz w:val="28"/>
          <w:szCs w:val="28"/>
          <w:lang w:val="en-US" w:eastAsia="zh-CN"/>
        </w:rPr>
        <w:t>干式工法技术应用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numPr>
          <w:ilvl w:val="0"/>
          <w:numId w:val="0"/>
        </w:numPr>
        <w:ind w:left="0" w:leftChars="0" w:firstLine="0" w:firstLineChars="0"/>
        <w:rPr>
          <w:rFonts w:hint="eastAsia" w:ascii="宋体" w:hAnsi="宋体" w:eastAsia="宋体" w:cs="宋体"/>
          <w:b/>
          <w:bCs/>
          <w:sz w:val="28"/>
          <w:szCs w:val="28"/>
          <w:lang w:val="en-US" w:eastAsia="zh-CN"/>
        </w:rPr>
      </w:pPr>
      <w:r>
        <w:rPr>
          <w:rFonts w:hint="default" w:ascii="Times New Roman" w:hAnsi="Times New Roman" w:eastAsia="Times New Roman" w:cs="Times New Roman"/>
          <w:sz w:val="28"/>
          <w:szCs w:val="28"/>
          <w:u w:val="none"/>
          <w:lang w:val="en-US" w:eastAsia="zh-CN"/>
        </w:rPr>
        <w:t>3</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1</w:t>
      </w:r>
      <w:r>
        <w:rPr>
          <w:rFonts w:hint="eastAsia" w:ascii="Times New Roman" w:hAnsi="Times New Roman" w:eastAsia="Times New Roman" w:cs="Times New Roman"/>
          <w:sz w:val="28"/>
          <w:szCs w:val="28"/>
          <w:u w:val="none"/>
          <w:lang w:val="en-US" w:eastAsia="zh-CN"/>
        </w:rPr>
        <w:t>1</w:t>
      </w:r>
      <w:r>
        <w:rPr>
          <w:rFonts w:hint="eastAsia" w:ascii="宋体" w:hAnsi="宋体" w:cs="宋体"/>
          <w:sz w:val="28"/>
          <w:szCs w:val="28"/>
          <w:u w:val="none"/>
          <w:lang w:val="en-US" w:eastAsia="zh-CN"/>
        </w:rPr>
        <w:t>围护与保温（及装饰）一体化技术应用：</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eastAsia" w:ascii="Times New Roman" w:hAnsi="Times New Roman" w:eastAsia="Times New Roman" w:cs="Times New Roman"/>
          <w:sz w:val="28"/>
          <w:szCs w:val="28"/>
          <w:lang w:val="en-US" w:eastAsia="zh-CN"/>
        </w:rPr>
        <w:t>2</w:t>
      </w:r>
      <w:r>
        <w:rPr>
          <w:rFonts w:hint="eastAsia" w:ascii="宋体" w:hAnsi="宋体" w:eastAsia="宋体" w:cs="宋体"/>
          <w:sz w:val="28"/>
          <w:szCs w:val="28"/>
        </w:rPr>
        <w:t>信息化技术应用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绿色建筑设计：</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default" w:ascii="Times New Roman" w:hAnsi="Times New Roman" w:cs="Times New Roman"/>
          <w:b/>
          <w:bCs/>
          <w:sz w:val="28"/>
          <w:szCs w:val="28"/>
          <w:lang w:val="en-US" w:eastAsia="zh-CN"/>
        </w:rPr>
        <w:t>4</w:t>
      </w:r>
      <w:r>
        <w:rPr>
          <w:rFonts w:hint="eastAsia" w:ascii="宋体" w:hAnsi="宋体" w:cs="宋体"/>
          <w:b/>
          <w:bCs/>
          <w:sz w:val="28"/>
          <w:szCs w:val="28"/>
          <w:lang w:val="en-US" w:eastAsia="zh-CN"/>
        </w:rPr>
        <w:t>、</w:t>
      </w:r>
      <w:r>
        <w:rPr>
          <w:rFonts w:hint="eastAsia" w:ascii="宋体" w:hAnsi="宋体" w:eastAsia="宋体" w:cs="宋体"/>
          <w:b/>
          <w:bCs/>
          <w:sz w:val="28"/>
          <w:szCs w:val="28"/>
          <w:lang w:val="en-US" w:eastAsia="zh-CN"/>
        </w:rPr>
        <w:t>装配式施工组织设计基本要求</w:t>
      </w:r>
    </w:p>
    <w:p>
      <w:pPr>
        <w:rPr>
          <w:rFonts w:hint="default"/>
          <w:b/>
          <w:bCs/>
          <w:sz w:val="24"/>
          <w:szCs w:val="24"/>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1</w:t>
      </w:r>
      <w:r>
        <w:rPr>
          <w:rFonts w:hint="default" w:ascii="Times New Roman" w:hAnsi="Times New Roman" w:cs="Times New Roman"/>
          <w:b w:val="0"/>
          <w:bCs w:val="0"/>
          <w:sz w:val="28"/>
          <w:szCs w:val="28"/>
          <w:lang w:val="en-US" w:eastAsia="zh-CN"/>
        </w:rPr>
        <w:t xml:space="preserve"> </w:t>
      </w:r>
      <w:r>
        <w:rPr>
          <w:rFonts w:hint="eastAsia" w:ascii="宋体" w:hAnsi="宋体" w:eastAsia="宋体" w:cs="宋体"/>
          <w:b w:val="0"/>
          <w:bCs w:val="0"/>
          <w:sz w:val="28"/>
          <w:szCs w:val="28"/>
          <w:lang w:val="en-US" w:eastAsia="zh-CN"/>
        </w:rPr>
        <w:t>装配式施工组织设计</w:t>
      </w:r>
      <w:r>
        <w:rPr>
          <w:rFonts w:hint="eastAsia" w:ascii="宋体" w:hAnsi="宋体" w:eastAsia="宋体" w:cs="宋体"/>
          <w:sz w:val="28"/>
          <w:szCs w:val="28"/>
          <w:lang w:val="en-US" w:eastAsia="zh-CN"/>
        </w:rPr>
        <w:t>应充分考虑运输通道的设置，合理布置预制构件临时堆场的位置与面积，选择适宜的塔吊位置和吨位，塔吊位置的最终确定应根据现场施工方案进行调整，以达到精确控制构件运输环节，提高场地使用效率，确保施工组织便捷及安全。以安全、经济、合理为原则考虑施工组织流程，保证各施工工序的有效衔接，提高效率。</w:t>
      </w:r>
    </w:p>
    <w:p>
      <w:pPr>
        <w:numPr>
          <w:ilvl w:val="0"/>
          <w:numId w:val="0"/>
        </w:numPr>
        <w:ind w:leftChars="0"/>
        <w:rPr>
          <w:rFonts w:hint="eastAsia" w:ascii="宋体" w:hAnsi="宋体" w:cs="宋体"/>
          <w:b w:val="0"/>
          <w:bCs w:val="0"/>
          <w:sz w:val="28"/>
          <w:szCs w:val="28"/>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2</w:t>
      </w:r>
      <w:r>
        <w:rPr>
          <w:rFonts w:hint="eastAsia" w:ascii="宋体" w:hAnsi="宋体" w:cs="宋体"/>
          <w:b w:val="0"/>
          <w:bCs w:val="0"/>
          <w:sz w:val="28"/>
          <w:szCs w:val="28"/>
          <w:lang w:val="en-US" w:eastAsia="zh-CN"/>
        </w:rPr>
        <w:t xml:space="preserve"> 构件生产和施工单位应编制与预制构件相关的生产、运输和安装专项方案，并应进行预制构件临时状态的受力和变形验算。</w:t>
      </w:r>
    </w:p>
    <w:p>
      <w:pPr>
        <w:numPr>
          <w:ilvl w:val="0"/>
          <w:numId w:val="0"/>
        </w:numPr>
        <w:ind w:leftChars="0"/>
        <w:rPr>
          <w:rFonts w:hint="default" w:ascii="宋体" w:hAnsi="宋体" w:cs="宋体"/>
          <w:b w:val="0"/>
          <w:bCs w:val="0"/>
          <w:sz w:val="28"/>
          <w:szCs w:val="28"/>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3</w:t>
      </w:r>
      <w:r>
        <w:rPr>
          <w:rFonts w:hint="eastAsia" w:ascii="宋体" w:hAnsi="宋体" w:cs="宋体"/>
          <w:b w:val="0"/>
          <w:bCs w:val="0"/>
          <w:sz w:val="28"/>
          <w:szCs w:val="28"/>
          <w:lang w:val="en-US" w:eastAsia="zh-CN"/>
        </w:rPr>
        <w:t xml:space="preserve"> 生产和运输方案应由监理单位和施工单位审核确认。</w:t>
      </w:r>
    </w:p>
    <w:p>
      <w:pPr>
        <w:numPr>
          <w:ilvl w:val="0"/>
          <w:numId w:val="0"/>
        </w:numPr>
        <w:ind w:leftChars="0"/>
        <w:rPr>
          <w:rFonts w:hint="default" w:ascii="宋体" w:hAnsi="宋体" w:cs="宋体"/>
          <w:b w:val="0"/>
          <w:bCs w:val="0"/>
          <w:sz w:val="28"/>
          <w:szCs w:val="28"/>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 xml:space="preserve"> </w:t>
      </w:r>
      <w:r>
        <w:rPr>
          <w:rFonts w:hint="eastAsia" w:ascii="宋体" w:hAnsi="宋体" w:cs="宋体"/>
          <w:b w:val="0"/>
          <w:bCs w:val="0"/>
          <w:sz w:val="28"/>
          <w:szCs w:val="28"/>
          <w:lang w:val="en-US" w:eastAsia="zh-CN"/>
        </w:rPr>
        <w:t>安装方案应由总承包单位和监理单位审核确认。</w:t>
      </w:r>
    </w:p>
    <w:p>
      <w:pPr>
        <w:ind w:firstLine="280" w:firstLineChars="100"/>
        <w:rPr>
          <w:rFonts w:hint="eastAsia" w:ascii="宋体" w:hAnsi="宋体" w:cs="宋体"/>
          <w:color w:val="auto"/>
          <w:sz w:val="28"/>
          <w:szCs w:val="28"/>
          <w:lang w:val="en-US" w:eastAsia="zh-CN"/>
        </w:rPr>
      </w:pPr>
    </w:p>
    <w:p>
      <w:pPr>
        <w:ind w:firstLine="321" w:firstLineChars="100"/>
        <w:jc w:val="center"/>
        <w:rPr>
          <w:rFonts w:hint="eastAsia" w:ascii="宋体" w:hAnsi="宋体" w:eastAsia="宋体" w:cs="宋体"/>
          <w:b/>
          <w:bCs w:val="0"/>
          <w:sz w:val="32"/>
          <w:szCs w:val="32"/>
          <w:lang w:val="en-US" w:eastAsia="zh-CN"/>
        </w:rPr>
        <w:sectPr>
          <w:footerReference r:id="rId9" w:type="default"/>
          <w:pgSz w:w="11906" w:h="16838"/>
          <w:pgMar w:top="2098" w:right="1588" w:bottom="2098"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spacing w:line="240" w:lineRule="auto"/>
        <w:rPr>
          <w:rFonts w:hint="eastAsia"/>
          <w:bCs/>
          <w:lang w:val="en-US" w:eastAsia="zh-CN"/>
        </w:rPr>
      </w:pPr>
      <w:bookmarkStart w:id="503" w:name="_Toc9906"/>
      <w:bookmarkStart w:id="504" w:name="_Toc22786"/>
      <w:bookmarkStart w:id="505" w:name="_Toc12322"/>
      <w:bookmarkStart w:id="506" w:name="_Toc15725"/>
      <w:bookmarkStart w:id="507" w:name="_Toc3840"/>
      <w:bookmarkStart w:id="508" w:name="_Toc20392"/>
      <w:bookmarkStart w:id="509" w:name="_Toc28520"/>
      <w:bookmarkStart w:id="510" w:name="_Toc9727"/>
      <w:bookmarkStart w:id="511" w:name="_Toc6457"/>
      <w:bookmarkStart w:id="512" w:name="_Toc32175"/>
      <w:bookmarkStart w:id="513" w:name="_Toc23362"/>
      <w:bookmarkStart w:id="514" w:name="_Toc3294"/>
      <w:bookmarkStart w:id="515" w:name="_Toc22549"/>
      <w:r>
        <w:rPr>
          <w:rFonts w:hint="default" w:ascii="Times New Roman" w:hAnsi="Times New Roman" w:eastAsia="Times New Roman" w:cs="Times New Roman"/>
          <w:b/>
          <w:bCs/>
          <w:sz w:val="32"/>
          <w:szCs w:val="24"/>
          <w:lang w:val="en-US" w:eastAsia="zh-CN"/>
        </w:rPr>
        <w:t>5</w:t>
      </w:r>
      <w:r>
        <w:rPr>
          <w:rFonts w:hint="default" w:ascii="Times New Roman" w:hAnsi="Times New Roman" w:eastAsia="宋体" w:cs="Times New Roman"/>
          <w:b/>
          <w:bCs/>
          <w:sz w:val="32"/>
          <w:szCs w:val="24"/>
          <w:lang w:val="en-US" w:eastAsia="zh-CN"/>
        </w:rPr>
        <w:t xml:space="preserve"> </w:t>
      </w:r>
      <w:r>
        <w:rPr>
          <w:rFonts w:hint="eastAsia"/>
          <w:bCs/>
          <w:lang w:val="en-US" w:eastAsia="zh-CN"/>
        </w:rPr>
        <w:t xml:space="preserve"> </w:t>
      </w:r>
      <w:r>
        <w:rPr>
          <w:rFonts w:hint="default" w:ascii="Times New Roman" w:hAnsi="Times New Roman" w:cs="Times New Roman"/>
          <w:b/>
          <w:bCs/>
          <w:sz w:val="32"/>
          <w:szCs w:val="24"/>
          <w:lang w:val="en-US" w:eastAsia="zh-CN"/>
        </w:rPr>
        <w:t>中山市装配式建筑</w:t>
      </w:r>
      <w:r>
        <w:rPr>
          <w:rFonts w:hint="default" w:ascii="Times New Roman" w:hAnsi="Times New Roman" w:eastAsia="宋体" w:cs="Times New Roman"/>
          <w:b/>
          <w:bCs/>
          <w:sz w:val="32"/>
          <w:szCs w:val="24"/>
          <w:lang w:val="en-US" w:eastAsia="zh-CN"/>
        </w:rPr>
        <w:t>设计阶段评分</w:t>
      </w:r>
      <w:r>
        <w:rPr>
          <w:rFonts w:hint="default" w:ascii="Times New Roman" w:hAnsi="Times New Roman" w:cs="Times New Roman"/>
          <w:b/>
          <w:bCs/>
          <w:sz w:val="32"/>
          <w:szCs w:val="24"/>
          <w:lang w:val="en-US" w:eastAsia="zh-CN"/>
        </w:rPr>
        <w:t>审查</w:t>
      </w:r>
      <w:r>
        <w:rPr>
          <w:rFonts w:hint="default" w:ascii="Times New Roman" w:hAnsi="Times New Roman" w:eastAsia="宋体" w:cs="Times New Roman"/>
          <w:b/>
          <w:bCs/>
          <w:sz w:val="32"/>
          <w:szCs w:val="24"/>
          <w:lang w:val="en-US" w:eastAsia="zh-CN"/>
        </w:rPr>
        <w:t>表</w:t>
      </w:r>
      <w:bookmarkEnd w:id="503"/>
      <w:bookmarkEnd w:id="504"/>
      <w:bookmarkEnd w:id="505"/>
      <w:bookmarkEnd w:id="506"/>
      <w:bookmarkEnd w:id="507"/>
      <w:bookmarkEnd w:id="508"/>
      <w:bookmarkEnd w:id="509"/>
      <w:bookmarkEnd w:id="510"/>
      <w:bookmarkEnd w:id="511"/>
      <w:bookmarkEnd w:id="512"/>
      <w:bookmarkEnd w:id="513"/>
      <w:bookmarkEnd w:id="514"/>
      <w:bookmarkEnd w:id="515"/>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10"/>
        <w:gridCol w:w="694"/>
        <w:gridCol w:w="1470"/>
        <w:gridCol w:w="449"/>
        <w:gridCol w:w="825"/>
        <w:gridCol w:w="750"/>
        <w:gridCol w:w="610"/>
        <w:gridCol w:w="1912"/>
        <w:gridCol w:w="387"/>
        <w:gridCol w:w="343"/>
        <w:gridCol w:w="2871"/>
        <w:gridCol w:w="1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454" w:type="dxa"/>
            <w:gridSpan w:val="13"/>
            <w:tcBorders>
              <w:tl2br w:val="nil"/>
              <w:tr2bl w:val="nil"/>
            </w:tcBorders>
            <w:noWrap w:val="0"/>
            <w:vAlign w:val="center"/>
          </w:tcPr>
          <w:p>
            <w:pPr>
              <w:jc w:val="center"/>
              <w:rPr>
                <w:rFonts w:hint="default" w:eastAsia="宋体"/>
                <w:sz w:val="18"/>
                <w:szCs w:val="18"/>
                <w:vertAlign w:val="baseline"/>
                <w:lang w:val="en-US" w:eastAsia="zh-CN"/>
              </w:rPr>
            </w:pPr>
            <w:r>
              <w:rPr>
                <w:rFonts w:hint="eastAsia" w:ascii="宋体" w:hAnsi="宋体" w:eastAsia="宋体" w:cs="宋体"/>
                <w:b/>
                <w:bCs/>
                <w:sz w:val="28"/>
                <w:szCs w:val="28"/>
                <w:lang w:val="en-US" w:eastAsia="zh-CN"/>
              </w:rPr>
              <w:t>中山市装配式建筑设计阶段评分审查表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84" w:type="dxa"/>
            <w:gridSpan w:val="5"/>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项目名称：</w:t>
            </w:r>
          </w:p>
        </w:tc>
        <w:tc>
          <w:tcPr>
            <w:tcW w:w="4484" w:type="dxa"/>
            <w:gridSpan w:val="5"/>
            <w:tcBorders>
              <w:tl2br w:val="nil"/>
              <w:tr2bl w:val="nil"/>
            </w:tcBorders>
            <w:noWrap w:val="0"/>
            <w:vAlign w:val="center"/>
          </w:tcPr>
          <w:p>
            <w:pPr>
              <w:jc w:val="left"/>
              <w:rPr>
                <w:rFonts w:hint="eastAsia"/>
                <w:sz w:val="18"/>
                <w:szCs w:val="18"/>
                <w:vertAlign w:val="baseline"/>
                <w:lang w:val="en-US" w:eastAsia="zh-CN"/>
              </w:rPr>
            </w:pPr>
            <w:r>
              <w:rPr>
                <w:rFonts w:hint="eastAsia"/>
                <w:sz w:val="18"/>
                <w:szCs w:val="18"/>
                <w:vertAlign w:val="baseline"/>
                <w:lang w:val="en-US" w:eastAsia="zh-CN"/>
              </w:rPr>
              <w:t>建设单位：</w:t>
            </w:r>
          </w:p>
        </w:tc>
        <w:tc>
          <w:tcPr>
            <w:tcW w:w="4486" w:type="dxa"/>
            <w:gridSpan w:val="3"/>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设计单位：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484" w:type="dxa"/>
            <w:gridSpan w:val="5"/>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项目总建筑面积/装配式建筑总面积（m</w:t>
            </w:r>
            <w:r>
              <w:rPr>
                <w:rFonts w:hint="eastAsia" w:eastAsia="Times New Roman"/>
                <w:sz w:val="18"/>
                <w:szCs w:val="18"/>
                <w:vertAlign w:val="superscript"/>
                <w:lang w:val="en-US" w:eastAsia="zh-CN"/>
              </w:rPr>
              <w:t>2</w:t>
            </w:r>
            <w:r>
              <w:rPr>
                <w:rFonts w:hint="eastAsia"/>
                <w:sz w:val="18"/>
                <w:szCs w:val="18"/>
                <w:vertAlign w:val="baseline"/>
                <w:lang w:val="en-US" w:eastAsia="zh-CN"/>
              </w:rPr>
              <w:t>）：    /</w:t>
            </w:r>
          </w:p>
        </w:tc>
        <w:tc>
          <w:tcPr>
            <w:tcW w:w="4484" w:type="dxa"/>
            <w:gridSpan w:val="5"/>
            <w:tcBorders>
              <w:tl2br w:val="nil"/>
              <w:tr2bl w:val="nil"/>
            </w:tcBorders>
            <w:noWrap w:val="0"/>
            <w:vAlign w:val="center"/>
          </w:tcPr>
          <w:p>
            <w:pPr>
              <w:jc w:val="left"/>
              <w:rPr>
                <w:rFonts w:hint="eastAsia"/>
                <w:sz w:val="18"/>
                <w:szCs w:val="18"/>
                <w:vertAlign w:val="baseline"/>
                <w:lang w:val="en-US" w:eastAsia="zh-CN"/>
              </w:rPr>
            </w:pPr>
            <w:r>
              <w:rPr>
                <w:rFonts w:hint="eastAsia"/>
                <w:sz w:val="18"/>
                <w:szCs w:val="18"/>
                <w:vertAlign w:val="baseline"/>
                <w:lang w:val="en-US" w:eastAsia="zh-CN"/>
              </w:rPr>
              <w:t>实施装配式建筑楼栋号：</w:t>
            </w:r>
          </w:p>
        </w:tc>
        <w:tc>
          <w:tcPr>
            <w:tcW w:w="4486" w:type="dxa"/>
            <w:gridSpan w:val="3"/>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装配式建筑结构类型：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454" w:type="dxa"/>
            <w:gridSpan w:val="13"/>
            <w:tcBorders>
              <w:tl2br w:val="nil"/>
              <w:tr2bl w:val="nil"/>
            </w:tcBorders>
            <w:noWrap w:val="0"/>
            <w:vAlign w:val="center"/>
          </w:tcPr>
          <w:p>
            <w:pPr>
              <w:jc w:val="left"/>
              <w:rPr>
                <w:rFonts w:hint="default"/>
                <w:sz w:val="18"/>
                <w:szCs w:val="18"/>
                <w:vertAlign w:val="baseline"/>
                <w:lang w:val="en-US" w:eastAsia="zh-CN"/>
              </w:rPr>
            </w:pPr>
            <w:r>
              <w:rPr>
                <w:rFonts w:hint="eastAsia"/>
                <w:sz w:val="18"/>
                <w:szCs w:val="18"/>
                <w:vertAlign w:val="baseline"/>
                <w:lang w:val="en-US" w:eastAsia="zh-CN"/>
              </w:rPr>
              <w:t>本表技术项自评得分所属单体：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装配式建筑评分表</w:t>
            </w:r>
          </w:p>
        </w:tc>
        <w:tc>
          <w:tcPr>
            <w:tcW w:w="5513" w:type="dxa"/>
            <w:gridSpan w:val="4"/>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设计单位自评价</w:t>
            </w:r>
          </w:p>
        </w:tc>
        <w:tc>
          <w:tcPr>
            <w:tcW w:w="1272"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技术项所涉专业（单位）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35" w:type="dxa"/>
            <w:gridSpan w:val="4"/>
            <w:tcBorders>
              <w:tl2br w:val="nil"/>
              <w:tr2bl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技术项</w:t>
            </w:r>
          </w:p>
        </w:tc>
        <w:tc>
          <w:tcPr>
            <w:tcW w:w="127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技术要求</w:t>
            </w:r>
          </w:p>
        </w:tc>
        <w:tc>
          <w:tcPr>
            <w:tcW w:w="750" w:type="dxa"/>
            <w:tcBorders>
              <w:tl2br w:val="nil"/>
              <w:tr2bl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分值</w:t>
            </w: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最低分值</w:t>
            </w:r>
          </w:p>
        </w:tc>
        <w:tc>
          <w:tcPr>
            <w:tcW w:w="1912" w:type="dxa"/>
            <w:tcBorders>
              <w:tl2br w:val="nil"/>
              <w:tr2bl w:val="nil"/>
            </w:tcBorders>
            <w:noWrap w:val="0"/>
            <w:vAlign w:val="center"/>
          </w:tcPr>
          <w:p>
            <w:pPr>
              <w:jc w:val="center"/>
              <w:rPr>
                <w:rFonts w:hint="default" w:eastAsia="宋体"/>
                <w:sz w:val="18"/>
                <w:szCs w:val="18"/>
                <w:u w:val="single"/>
                <w:vertAlign w:val="baseline"/>
                <w:lang w:val="en-US" w:eastAsia="zh-CN"/>
              </w:rPr>
            </w:pPr>
            <w:r>
              <w:rPr>
                <w:rFonts w:hint="eastAsia"/>
                <w:sz w:val="18"/>
                <w:szCs w:val="18"/>
                <w:u w:val="single"/>
                <w:vertAlign w:val="baseline"/>
                <w:lang w:val="en-US" w:eastAsia="zh-CN"/>
              </w:rPr>
              <w:t>施</w:t>
            </w:r>
            <w:r>
              <w:rPr>
                <w:rFonts w:hint="eastAsia"/>
                <w:sz w:val="18"/>
                <w:szCs w:val="18"/>
                <w:u w:val="none"/>
                <w:vertAlign w:val="baseline"/>
                <w:lang w:val="en-US" w:eastAsia="zh-CN"/>
              </w:rPr>
              <w:t>工图自评说明</w:t>
            </w:r>
          </w:p>
        </w:tc>
        <w:tc>
          <w:tcPr>
            <w:tcW w:w="730"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自评得分</w:t>
            </w:r>
          </w:p>
        </w:tc>
        <w:tc>
          <w:tcPr>
            <w:tcW w:w="2871"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资料索引</w:t>
            </w:r>
          </w:p>
        </w:tc>
        <w:tc>
          <w:tcPr>
            <w:tcW w:w="1272"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61"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baseline"/>
                <w:lang w:val="en-US" w:eastAsia="zh-CN"/>
              </w:rPr>
              <w:t>：主体结构（</w:t>
            </w:r>
            <w:r>
              <w:rPr>
                <w:rFonts w:hint="eastAsia" w:eastAsia="Times New Roman"/>
                <w:sz w:val="18"/>
                <w:szCs w:val="18"/>
                <w:vertAlign w:val="baseline"/>
                <w:lang w:val="en-US" w:eastAsia="zh-CN"/>
              </w:rPr>
              <w:t>50</w:t>
            </w:r>
            <w:r>
              <w:rPr>
                <w:rFonts w:hint="eastAsia"/>
                <w:sz w:val="18"/>
                <w:szCs w:val="18"/>
                <w:vertAlign w:val="baseline"/>
                <w:lang w:val="en-US" w:eastAsia="zh-CN"/>
              </w:rPr>
              <w:t>分）</w:t>
            </w: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subscript"/>
                <w:lang w:val="en-US" w:eastAsia="zh-CN"/>
              </w:rPr>
              <w:t>a</w:t>
            </w:r>
          </w:p>
        </w:tc>
        <w:tc>
          <w:tcPr>
            <w:tcW w:w="216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柱、支撑、承重墙、延性墙板等竖向构件</w:t>
            </w:r>
          </w:p>
        </w:tc>
        <w:tc>
          <w:tcPr>
            <w:tcW w:w="127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35</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20</w:t>
            </w:r>
            <w:r>
              <w:rPr>
                <w:rFonts w:hint="eastAsia"/>
                <w:sz w:val="18"/>
                <w:szCs w:val="18"/>
                <w:vertAlign w:val="baseline"/>
                <w:lang w:val="en-US" w:eastAsia="zh-CN"/>
              </w:rPr>
              <w:t>~</w:t>
            </w:r>
            <w:r>
              <w:rPr>
                <w:rFonts w:hint="eastAsia" w:eastAsia="Times New Roman"/>
                <w:sz w:val="18"/>
                <w:szCs w:val="18"/>
                <w:vertAlign w:val="baseline"/>
                <w:lang w:val="en-US" w:eastAsia="zh-CN"/>
              </w:rPr>
              <w:t>30</w:t>
            </w:r>
          </w:p>
        </w:tc>
        <w:tc>
          <w:tcPr>
            <w:tcW w:w="610"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20</w:t>
            </w:r>
          </w:p>
        </w:tc>
        <w:tc>
          <w:tcPr>
            <w:tcW w:w="1912"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竖向构件比例：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hint="default"/>
                <w:sz w:val="18"/>
                <w:szCs w:val="18"/>
                <w:vertAlign w:val="baseline"/>
                <w:lang w:val="en-US" w:eastAsia="zh-CN"/>
              </w:rPr>
            </w:pPr>
            <w:r>
              <w:rPr>
                <w:rFonts w:hint="eastAsia"/>
                <w:sz w:val="18"/>
                <w:szCs w:val="18"/>
                <w:vertAlign w:val="baseline"/>
                <w:lang w:val="en-US" w:eastAsia="zh-CN"/>
              </w:rPr>
              <w:t>计算书：（竖向构件比例计算书）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center"/>
          </w:tcPr>
          <w:p>
            <w:pPr>
              <w:jc w:val="center"/>
              <w:rPr>
                <w:sz w:val="18"/>
                <w:szCs w:val="18"/>
                <w:vertAlign w:val="baseline"/>
              </w:rPr>
            </w:pP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subscript"/>
                <w:lang w:val="en-US" w:eastAsia="zh-CN"/>
              </w:rPr>
              <w:t>b</w:t>
            </w:r>
          </w:p>
        </w:tc>
        <w:tc>
          <w:tcPr>
            <w:tcW w:w="216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梁、板、楼梯、阳台、空调板等水平构件</w:t>
            </w:r>
          </w:p>
        </w:tc>
        <w:tc>
          <w:tcPr>
            <w:tcW w:w="127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70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10</w:t>
            </w:r>
            <w:r>
              <w:rPr>
                <w:rFonts w:hint="eastAsia"/>
                <w:sz w:val="18"/>
                <w:szCs w:val="18"/>
                <w:vertAlign w:val="baseline"/>
                <w:lang w:val="en-US" w:eastAsia="zh-CN"/>
              </w:rPr>
              <w:t>~</w:t>
            </w:r>
            <w:r>
              <w:rPr>
                <w:rFonts w:hint="eastAsia" w:eastAsia="Times New Roman"/>
                <w:sz w:val="18"/>
                <w:szCs w:val="18"/>
                <w:vertAlign w:val="baseline"/>
                <w:lang w:val="en-US" w:eastAsia="zh-CN"/>
              </w:rPr>
              <w:t>20</w:t>
            </w:r>
          </w:p>
        </w:tc>
        <w:tc>
          <w:tcPr>
            <w:tcW w:w="610" w:type="dxa"/>
            <w:vMerge w:val="continue"/>
            <w:tcBorders>
              <w:tl2br w:val="nil"/>
              <w:tr2bl w:val="nil"/>
            </w:tcBorders>
            <w:noWrap w:val="0"/>
            <w:vAlign w:val="center"/>
          </w:tcPr>
          <w:p>
            <w:pPr>
              <w:jc w:val="center"/>
              <w:rPr>
                <w:sz w:val="18"/>
                <w:szCs w:val="18"/>
                <w:vertAlign w:val="baseline"/>
              </w:rPr>
            </w:pP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水平构件比例：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计算书：（水平构件比例计算书）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center"/>
          </w:tcPr>
          <w:p>
            <w:pPr>
              <w:jc w:val="center"/>
              <w:rPr>
                <w:sz w:val="18"/>
                <w:szCs w:val="18"/>
                <w:vertAlign w:val="baseline"/>
              </w:rPr>
            </w:pPr>
          </w:p>
        </w:tc>
        <w:tc>
          <w:tcPr>
            <w:tcW w:w="7320" w:type="dxa"/>
            <w:gridSpan w:val="8"/>
            <w:tcBorders>
              <w:tl2br w:val="nil"/>
              <w:tr2bl w:val="nil"/>
            </w:tcBorders>
            <w:noWrap w:val="0"/>
            <w:vAlign w:val="center"/>
          </w:tcPr>
          <w:p>
            <w:pPr>
              <w:rPr>
                <w:rFonts w:hint="eastAsia"/>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baseline"/>
                <w:lang w:val="en-US" w:eastAsia="zh-CN"/>
              </w:rPr>
              <w:t>：主体结构得分累计</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61"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baseline"/>
                <w:lang w:val="en-US" w:eastAsia="zh-CN"/>
              </w:rPr>
              <w:t>：围护墙和内隔墙（</w:t>
            </w:r>
            <w:r>
              <w:rPr>
                <w:rFonts w:hint="eastAsia" w:eastAsia="Times New Roman"/>
                <w:sz w:val="18"/>
                <w:szCs w:val="18"/>
                <w:vertAlign w:val="baseline"/>
                <w:lang w:val="en-US" w:eastAsia="zh-CN"/>
              </w:rPr>
              <w:t>20</w:t>
            </w:r>
            <w:r>
              <w:rPr>
                <w:rFonts w:hint="eastAsia"/>
                <w:sz w:val="18"/>
                <w:szCs w:val="18"/>
                <w:vertAlign w:val="baseline"/>
                <w:lang w:val="en-US" w:eastAsia="zh-CN"/>
              </w:rPr>
              <w:t>分）</w:t>
            </w: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a</w:t>
            </w:r>
          </w:p>
        </w:tc>
        <w:tc>
          <w:tcPr>
            <w:tcW w:w="216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非承重围护墙非砌筑</w:t>
            </w:r>
          </w:p>
        </w:tc>
        <w:tc>
          <w:tcPr>
            <w:tcW w:w="1274" w:type="dxa"/>
            <w:gridSpan w:val="2"/>
            <w:tcBorders>
              <w:tl2br w:val="nil"/>
              <w:tr2bl w:val="nil"/>
            </w:tcBorders>
            <w:noWrap w:val="0"/>
            <w:vAlign w:val="center"/>
          </w:tcPr>
          <w:p>
            <w:pPr>
              <w:jc w:val="center"/>
              <w:rPr>
                <w:sz w:val="18"/>
                <w:szCs w:val="18"/>
                <w:vertAlign w:val="baseline"/>
              </w:rPr>
            </w:pP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center"/>
          </w:tcPr>
          <w:p>
            <w:pPr>
              <w:jc w:val="center"/>
              <w:rPr>
                <w:rFonts w:hint="eastAsia" w:eastAsia="宋体"/>
                <w:sz w:val="18"/>
                <w:szCs w:val="18"/>
                <w:vertAlign w:val="baseline"/>
                <w:lang w:val="en-US" w:eastAsia="zh-CN"/>
              </w:rPr>
            </w:pPr>
            <w:r>
              <w:rPr>
                <w:rFonts w:hint="eastAsia" w:eastAsia="Times New Roman"/>
                <w:sz w:val="18"/>
                <w:szCs w:val="18"/>
                <w:vertAlign w:val="baseline"/>
                <w:lang w:val="en-US" w:eastAsia="zh-CN"/>
              </w:rPr>
              <w:t>5</w:t>
            </w:r>
          </w:p>
        </w:tc>
        <w:tc>
          <w:tcPr>
            <w:tcW w:w="610"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10</w:t>
            </w:r>
          </w:p>
        </w:tc>
        <w:tc>
          <w:tcPr>
            <w:tcW w:w="1912"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非承重围护墙非砌筑比例：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计算书：（非承重围护墙非砌筑比例计算书）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b</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围护墙与保温、隔热、装饰集成一体化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围护墙与保温、隔热、装饰集成一体化比例：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hint="default"/>
                <w:sz w:val="18"/>
                <w:szCs w:val="18"/>
                <w:vertAlign w:val="baseline"/>
                <w:lang w:val="en-US"/>
              </w:rPr>
            </w:pPr>
            <w:r>
              <w:rPr>
                <w:rFonts w:hint="eastAsia"/>
                <w:sz w:val="18"/>
                <w:szCs w:val="18"/>
                <w:vertAlign w:val="baseline"/>
                <w:lang w:val="en-US" w:eastAsia="zh-CN"/>
              </w:rPr>
              <w:t>计算书：（围护墙与保温、隔热、装饰集成一体化比例计算书）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c</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内隔墙非砌筑</w:t>
            </w: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50</w:t>
            </w:r>
            <w:r>
              <w:rPr>
                <w:rFonts w:hint="eastAsia"/>
                <w:sz w:val="18"/>
                <w:szCs w:val="18"/>
                <w:vertAlign w:val="baseline"/>
                <w:lang w:val="en-US" w:eastAsia="zh-CN"/>
              </w:rPr>
              <w:t>%</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内隔墙非砌筑比例：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计算书：（内隔墙非砌筑比例计算书）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d</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内隔墙与管线、装修集成一体化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内隔墙与管线、装修集成一体化化比例：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计算书：（内隔墙与管线、装修集成一体化化比例计算书）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7320" w:type="dxa"/>
            <w:gridSpan w:val="8"/>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baseline"/>
                <w:lang w:val="en-US" w:eastAsia="zh-CN"/>
              </w:rPr>
              <w:t>：围护墙和内隔墙技术项得分累计</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baseline"/>
                <w:lang w:val="en-US" w:eastAsia="zh-CN"/>
              </w:rPr>
              <w:t>:装修和设备管线（</w:t>
            </w:r>
            <w:r>
              <w:rPr>
                <w:rFonts w:hint="eastAsia" w:eastAsia="Times New Roman"/>
                <w:sz w:val="18"/>
                <w:szCs w:val="18"/>
                <w:vertAlign w:val="baseline"/>
                <w:lang w:val="en-US" w:eastAsia="zh-CN"/>
              </w:rPr>
              <w:t>30</w:t>
            </w:r>
            <w:r>
              <w:rPr>
                <w:rFonts w:hint="eastAsia"/>
                <w:sz w:val="18"/>
                <w:szCs w:val="18"/>
                <w:vertAlign w:val="baseline"/>
                <w:lang w:val="en-US" w:eastAsia="zh-CN"/>
              </w:rPr>
              <w:t>分）</w:t>
            </w: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a</w:t>
            </w:r>
          </w:p>
        </w:tc>
        <w:tc>
          <w:tcPr>
            <w:tcW w:w="2164" w:type="dxa"/>
            <w:gridSpan w:val="2"/>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全装修</w:t>
            </w:r>
          </w:p>
        </w:tc>
        <w:tc>
          <w:tcPr>
            <w:tcW w:w="1274" w:type="dxa"/>
            <w:gridSpan w:val="2"/>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6</w:t>
            </w:r>
          </w:p>
        </w:tc>
        <w:tc>
          <w:tcPr>
            <w:tcW w:w="61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6</w:t>
            </w:r>
          </w:p>
        </w:tc>
        <w:tc>
          <w:tcPr>
            <w:tcW w:w="1912" w:type="dxa"/>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eastAsia="zh-CN"/>
              </w:rPr>
              <w:t>（</w:t>
            </w:r>
            <w:r>
              <w:rPr>
                <w:sz w:val="18"/>
                <w:szCs w:val="18"/>
                <w:vertAlign w:val="baseline"/>
              </w:rPr>
              <w:sym w:font="Wingdings" w:char="00A8"/>
            </w:r>
            <w:r>
              <w:rPr>
                <w:rFonts w:hint="eastAsia"/>
                <w:sz w:val="18"/>
                <w:szCs w:val="18"/>
                <w:vertAlign w:val="baseline"/>
                <w:lang w:val="en-US" w:eastAsia="zh-CN"/>
              </w:rPr>
              <w:t xml:space="preserve">是 </w:t>
            </w:r>
            <w:r>
              <w:rPr>
                <w:sz w:val="18"/>
                <w:szCs w:val="18"/>
                <w:vertAlign w:val="baseline"/>
              </w:rPr>
              <w:sym w:font="Wingdings" w:char="00A8"/>
            </w:r>
            <w:r>
              <w:rPr>
                <w:rFonts w:hint="eastAsia"/>
                <w:sz w:val="18"/>
                <w:szCs w:val="18"/>
                <w:vertAlign w:val="baseline"/>
                <w:lang w:val="en-US" w:eastAsia="zh-CN"/>
              </w:rPr>
              <w:t>否</w:t>
            </w:r>
            <w:r>
              <w:rPr>
                <w:rFonts w:hint="eastAsia"/>
                <w:sz w:val="18"/>
                <w:szCs w:val="18"/>
                <w:vertAlign w:val="baseline"/>
                <w:lang w:eastAsia="zh-CN"/>
              </w:rPr>
              <w:t>）</w:t>
            </w:r>
            <w:r>
              <w:rPr>
                <w:rFonts w:hint="eastAsia"/>
                <w:sz w:val="18"/>
                <w:szCs w:val="18"/>
                <w:vertAlign w:val="baseline"/>
                <w:lang w:val="en-US" w:eastAsia="zh-CN"/>
              </w:rPr>
              <w:t>满足全装修要求</w:t>
            </w:r>
          </w:p>
          <w:p>
            <w:pPr>
              <w:rPr>
                <w:sz w:val="18"/>
                <w:szCs w:val="18"/>
                <w:vertAlign w:val="baseline"/>
              </w:rPr>
            </w:pP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 xml:space="preserve"> </w:t>
            </w:r>
            <w:r>
              <w:rPr>
                <w:sz w:val="18"/>
                <w:szCs w:val="18"/>
                <w:vertAlign w:val="baseline"/>
              </w:rPr>
              <w:sym w:font="Wingdings" w:char="00A8"/>
            </w:r>
            <w:r>
              <w:rPr>
                <w:rFonts w:hint="eastAsia"/>
                <w:sz w:val="18"/>
                <w:szCs w:val="18"/>
                <w:vertAlign w:val="baseline"/>
                <w:lang w:val="en-US" w:eastAsia="zh-CN"/>
              </w:rPr>
              <w:t xml:space="preserve">施工图：（注明施工图号、条目、位置）； </w:t>
            </w:r>
            <w:r>
              <w:rPr>
                <w:sz w:val="18"/>
                <w:szCs w:val="18"/>
                <w:vertAlign w:val="baseline"/>
              </w:rPr>
              <w:sym w:font="Wingdings" w:char="00A8"/>
            </w:r>
            <w:r>
              <w:rPr>
                <w:rFonts w:hint="eastAsia"/>
                <w:sz w:val="18"/>
                <w:szCs w:val="18"/>
                <w:vertAlign w:val="baseline"/>
                <w:lang w:val="en-US" w:eastAsia="zh-CN"/>
              </w:rPr>
              <w:t>承诺达标函</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b</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干式工法楼面、地面</w:t>
            </w: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6</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干式工法楼面、地面应用比例：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计算书：（干式工法楼面、地面应用比例计算书）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c</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集成厨房</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70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90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3</w:t>
            </w:r>
            <w:r>
              <w:rPr>
                <w:rFonts w:hint="eastAsia"/>
                <w:sz w:val="18"/>
                <w:szCs w:val="18"/>
                <w:vertAlign w:val="baseline"/>
                <w:lang w:val="en-US" w:eastAsia="zh-CN"/>
              </w:rPr>
              <w:t>~</w:t>
            </w:r>
            <w:r>
              <w:rPr>
                <w:rFonts w:hint="eastAsia" w:eastAsia="Times New Roman"/>
                <w:sz w:val="18"/>
                <w:szCs w:val="18"/>
                <w:vertAlign w:val="baseline"/>
                <w:lang w:val="en-US" w:eastAsia="zh-CN"/>
              </w:rPr>
              <w:t>6</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厨房墙面、地面和顶面干式工法应用比例：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rFonts w:hint="default"/>
                <w:sz w:val="18"/>
                <w:szCs w:val="18"/>
                <w:vertAlign w:val="baseline"/>
                <w:lang w:val="en-US" w:eastAsia="zh-CN"/>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计算书：（厨房墙面、地面和顶面干式工法应用比例计算书）</w:t>
            </w:r>
          </w:p>
        </w:tc>
        <w:tc>
          <w:tcPr>
            <w:tcW w:w="1272" w:type="dxa"/>
            <w:tcBorders>
              <w:tl2br w:val="nil"/>
              <w:tr2bl w:val="nil"/>
            </w:tcBorders>
            <w:noWrap w:val="0"/>
            <w:vAlign w:val="top"/>
          </w:tcPr>
          <w:p>
            <w:pPr>
              <w:rPr>
                <w:rFonts w:hint="default" w:ascii="Calibri" w:hAnsi="Calibri" w:eastAsia="宋体" w:cs="Times New Roman"/>
                <w:kern w:val="2"/>
                <w:sz w:val="18"/>
                <w:szCs w:val="18"/>
                <w:vertAlign w:val="baseline"/>
                <w:lang w:val="en-US" w:eastAsia="zh-CN" w:bidi="ar-SA"/>
              </w:rPr>
            </w:pPr>
            <w:r>
              <w:rPr>
                <w:rFonts w:hint="eastAsia" w:cs="Times New Roman"/>
                <w:kern w:val="2"/>
                <w:sz w:val="18"/>
                <w:szCs w:val="18"/>
                <w:vertAlign w:val="baseline"/>
                <w:lang w:val="en-US" w:eastAsia="zh-CN" w:bidi="ar-SA"/>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d</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集成卫生间</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70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90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3</w:t>
            </w:r>
            <w:r>
              <w:rPr>
                <w:rFonts w:hint="eastAsia"/>
                <w:sz w:val="18"/>
                <w:szCs w:val="18"/>
                <w:vertAlign w:val="baseline"/>
                <w:lang w:val="en-US" w:eastAsia="zh-CN"/>
              </w:rPr>
              <w:t>~</w:t>
            </w:r>
            <w:r>
              <w:rPr>
                <w:rFonts w:hint="eastAsia" w:eastAsia="Times New Roman"/>
                <w:sz w:val="18"/>
                <w:szCs w:val="18"/>
                <w:vertAlign w:val="baseline"/>
                <w:lang w:val="en-US" w:eastAsia="zh-CN"/>
              </w:rPr>
              <w:t>6</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卫生间墙面、地面和顶面干式工法应用比例：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计算书：（卫生间墙面、地面和顶面干式工法应用比例计算书）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e</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管线分离</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4</w:t>
            </w:r>
            <w:r>
              <w:rPr>
                <w:rFonts w:hint="eastAsia"/>
                <w:sz w:val="18"/>
                <w:szCs w:val="18"/>
                <w:vertAlign w:val="baseline"/>
                <w:lang w:val="en-US" w:eastAsia="zh-CN"/>
              </w:rPr>
              <w:t>~</w:t>
            </w:r>
            <w:r>
              <w:rPr>
                <w:rFonts w:hint="eastAsia" w:eastAsia="Times New Roman"/>
                <w:sz w:val="18"/>
                <w:szCs w:val="18"/>
                <w:vertAlign w:val="baseline"/>
                <w:lang w:val="en-US" w:eastAsia="zh-CN"/>
              </w:rPr>
              <w:t>6</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管线分离比例：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计算书：（管线分离比例计算书）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建筑、给排水、电气、暖通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7320" w:type="dxa"/>
            <w:gridSpan w:val="8"/>
            <w:tcBorders>
              <w:tl2br w:val="nil"/>
              <w:tr2bl w:val="nil"/>
            </w:tcBorders>
            <w:noWrap w:val="0"/>
            <w:vAlign w:val="top"/>
          </w:tcPr>
          <w:p>
            <w:pPr>
              <w:rPr>
                <w:rFonts w:hint="eastAsia"/>
                <w:sz w:val="18"/>
                <w:szCs w:val="18"/>
                <w:u w:val="none"/>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baseline"/>
                <w:lang w:val="en-US" w:eastAsia="zh-CN"/>
              </w:rPr>
              <w:t>:装修和设备管线技术项得分累计</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61"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4</w:t>
            </w:r>
            <w:r>
              <w:rPr>
                <w:rFonts w:hint="eastAsia"/>
                <w:sz w:val="18"/>
                <w:szCs w:val="18"/>
                <w:vertAlign w:val="baseline"/>
                <w:lang w:val="en-US" w:eastAsia="zh-CN"/>
              </w:rPr>
              <w:t>：缺小项</w:t>
            </w:r>
          </w:p>
        </w:tc>
        <w:tc>
          <w:tcPr>
            <w:tcW w:w="5408" w:type="dxa"/>
            <w:gridSpan w:val="7"/>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项目缺少</w:t>
            </w:r>
            <w:r>
              <w:rPr>
                <w:rFonts w:hint="eastAsia"/>
                <w:color w:val="auto"/>
                <w:sz w:val="18"/>
                <w:szCs w:val="18"/>
                <w:vertAlign w:val="baseline"/>
                <w:lang w:val="en-US" w:eastAsia="zh-CN"/>
              </w:rPr>
              <w:t>Q</w:t>
            </w:r>
            <w:r>
              <w:rPr>
                <w:rFonts w:hint="eastAsia" w:eastAsia="Times New Roman"/>
                <w:color w:val="auto"/>
                <w:sz w:val="18"/>
                <w:szCs w:val="18"/>
                <w:vertAlign w:val="baseline"/>
                <w:lang w:val="en-US" w:eastAsia="zh-CN"/>
              </w:rPr>
              <w:t>2</w:t>
            </w:r>
            <w:r>
              <w:rPr>
                <w:rFonts w:hint="eastAsia"/>
                <w:color w:val="auto"/>
                <w:sz w:val="18"/>
                <w:szCs w:val="18"/>
                <w:vertAlign w:val="baseline"/>
                <w:lang w:val="en-US" w:eastAsia="zh-CN"/>
              </w:rPr>
              <w:t>a、</w:t>
            </w:r>
            <w:r>
              <w:rPr>
                <w:rFonts w:hint="eastAsia"/>
                <w:sz w:val="18"/>
                <w:szCs w:val="18"/>
                <w:vertAlign w:val="baseline"/>
                <w:lang w:val="en-US" w:eastAsia="zh-CN"/>
              </w:rPr>
              <w:t>Q</w:t>
            </w:r>
            <w:r>
              <w:rPr>
                <w:rFonts w:hint="eastAsia" w:eastAsia="Times New Roman"/>
                <w:sz w:val="18"/>
                <w:szCs w:val="18"/>
                <w:vertAlign w:val="baseline"/>
                <w:lang w:val="en-US" w:eastAsia="zh-CN"/>
              </w:rPr>
              <w:t>2</w:t>
            </w:r>
            <w:r>
              <w:rPr>
                <w:rFonts w:hint="eastAsia"/>
                <w:sz w:val="18"/>
                <w:szCs w:val="18"/>
                <w:vertAlign w:val="baseline"/>
                <w:lang w:val="en-US" w:eastAsia="zh-CN"/>
              </w:rPr>
              <w:t>b、Q</w:t>
            </w:r>
            <w:r>
              <w:rPr>
                <w:rFonts w:hint="eastAsia" w:eastAsia="Times New Roman"/>
                <w:sz w:val="18"/>
                <w:szCs w:val="18"/>
                <w:vertAlign w:val="baseline"/>
                <w:lang w:val="en-US" w:eastAsia="zh-CN"/>
              </w:rPr>
              <w:t>2</w:t>
            </w:r>
            <w:r>
              <w:rPr>
                <w:rFonts w:hint="eastAsia"/>
                <w:sz w:val="18"/>
                <w:szCs w:val="18"/>
                <w:vertAlign w:val="baseline"/>
                <w:lang w:val="en-US" w:eastAsia="zh-CN"/>
              </w:rPr>
              <w:t>c、Q</w:t>
            </w:r>
            <w:r>
              <w:rPr>
                <w:rFonts w:hint="eastAsia" w:eastAsia="Times New Roman"/>
                <w:sz w:val="18"/>
                <w:szCs w:val="18"/>
                <w:vertAlign w:val="baseline"/>
                <w:lang w:val="en-US" w:eastAsia="zh-CN"/>
              </w:rPr>
              <w:t>2</w:t>
            </w:r>
            <w:r>
              <w:rPr>
                <w:rFonts w:hint="eastAsia"/>
                <w:sz w:val="18"/>
                <w:szCs w:val="18"/>
                <w:vertAlign w:val="baseline"/>
                <w:lang w:val="en-US" w:eastAsia="zh-CN"/>
              </w:rPr>
              <w:t>d、Q</w:t>
            </w:r>
            <w:r>
              <w:rPr>
                <w:rFonts w:hint="eastAsia" w:eastAsia="Times New Roman"/>
                <w:sz w:val="18"/>
                <w:szCs w:val="18"/>
                <w:vertAlign w:val="baseline"/>
                <w:lang w:val="en-US" w:eastAsia="zh-CN"/>
              </w:rPr>
              <w:t>3</w:t>
            </w:r>
            <w:r>
              <w:rPr>
                <w:rFonts w:hint="eastAsia"/>
                <w:sz w:val="18"/>
                <w:szCs w:val="18"/>
                <w:vertAlign w:val="baseline"/>
                <w:lang w:val="en-US" w:eastAsia="zh-CN"/>
              </w:rPr>
              <w:t>c、Q</w:t>
            </w:r>
            <w:r>
              <w:rPr>
                <w:rFonts w:hint="eastAsia" w:eastAsia="Times New Roman"/>
                <w:sz w:val="18"/>
                <w:szCs w:val="18"/>
                <w:vertAlign w:val="baseline"/>
                <w:lang w:val="en-US" w:eastAsia="zh-CN"/>
              </w:rPr>
              <w:t>3</w:t>
            </w:r>
            <w:r>
              <w:rPr>
                <w:rFonts w:hint="eastAsia"/>
                <w:sz w:val="18"/>
                <w:szCs w:val="18"/>
                <w:vertAlign w:val="baseline"/>
                <w:lang w:val="en-US" w:eastAsia="zh-CN"/>
              </w:rPr>
              <w:t>d对应的建筑功能评价项。</w:t>
            </w:r>
          </w:p>
        </w:tc>
        <w:tc>
          <w:tcPr>
            <w:tcW w:w="1912" w:type="dxa"/>
            <w:tcBorders>
              <w:tl2br w:val="nil"/>
              <w:tr2bl w:val="nil"/>
            </w:tcBorders>
            <w:noWrap w:val="0"/>
            <w:vAlign w:val="top"/>
          </w:tcPr>
          <w:p>
            <w:pPr>
              <w:rPr>
                <w:rFonts w:hint="default"/>
                <w:sz w:val="18"/>
                <w:szCs w:val="18"/>
                <w:u w:val="single"/>
                <w:vertAlign w:val="baseline"/>
                <w:lang w:val="en-US" w:eastAsia="zh-CN"/>
              </w:rPr>
            </w:pPr>
            <w:r>
              <w:rPr>
                <w:rFonts w:hint="eastAsia"/>
                <w:sz w:val="18"/>
                <w:szCs w:val="18"/>
                <w:vertAlign w:val="baseline"/>
                <w:lang w:val="en-US" w:eastAsia="zh-CN"/>
              </w:rPr>
              <w:t>本项目缺少项（不参评项）有：</w:t>
            </w:r>
            <w:r>
              <w:rPr>
                <w:rFonts w:hint="eastAsia"/>
                <w:sz w:val="18"/>
                <w:szCs w:val="18"/>
                <w:u w:val="single"/>
                <w:vertAlign w:val="baseline"/>
                <w:lang w:val="en-US" w:eastAsia="zh-CN"/>
              </w:rPr>
              <w:t xml:space="preserve">       </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详见各施工图。</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w:t>
            </w:r>
            <w:r>
              <w:rPr>
                <w:rFonts w:hint="eastAsia"/>
                <w:sz w:val="18"/>
                <w:szCs w:val="18"/>
                <w:vertAlign w:val="baseline"/>
                <w:lang w:val="en-US" w:eastAsia="zh-CN"/>
              </w:rPr>
              <w:t>:细化项（</w:t>
            </w:r>
            <w:r>
              <w:rPr>
                <w:rFonts w:hint="eastAsia" w:eastAsia="Times New Roman"/>
                <w:sz w:val="18"/>
                <w:szCs w:val="18"/>
                <w:vertAlign w:val="baseline"/>
                <w:lang w:val="en-US" w:eastAsia="zh-CN"/>
              </w:rPr>
              <w:t>22</w:t>
            </w:r>
            <w:r>
              <w:rPr>
                <w:rFonts w:hint="eastAsia"/>
                <w:sz w:val="18"/>
                <w:szCs w:val="18"/>
                <w:vertAlign w:val="baseline"/>
                <w:lang w:val="en-US" w:eastAsia="zh-CN"/>
              </w:rPr>
              <w:t>分）</w:t>
            </w: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51</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51</w:t>
            </w:r>
            <w:r>
              <w:rPr>
                <w:rFonts w:hint="eastAsia"/>
                <w:sz w:val="18"/>
                <w:szCs w:val="18"/>
                <w:vertAlign w:val="subscript"/>
                <w:lang w:val="en-US" w:eastAsia="zh-CN"/>
              </w:rPr>
              <w:t>a</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主体结构竖向构件细化项</w:t>
            </w:r>
          </w:p>
        </w:tc>
        <w:tc>
          <w:tcPr>
            <w:tcW w:w="1274" w:type="dxa"/>
            <w:gridSpan w:val="2"/>
            <w:tcBorders>
              <w:tl2br w:val="nil"/>
              <w:tr2bl w:val="nil"/>
            </w:tcBorders>
            <w:noWrap w:val="0"/>
            <w:vAlign w:val="top"/>
          </w:tcPr>
          <w:p>
            <w:pPr>
              <w:rPr>
                <w:rFonts w:ascii="Calibri" w:hAnsi="Calibri" w:eastAsia="宋体" w:cs="Times New Roman"/>
                <w:kern w:val="2"/>
                <w:sz w:val="18"/>
                <w:szCs w:val="18"/>
                <w:vertAlign w:val="baseline"/>
                <w:lang w:val="en-US" w:eastAsia="zh-CN" w:bidi="ar-SA"/>
              </w:rPr>
            </w:pPr>
            <w:r>
              <w:rPr>
                <w:rFonts w:hint="eastAsia" w:eastAsia="Times New Roman"/>
                <w:sz w:val="18"/>
                <w:szCs w:val="18"/>
                <w:vertAlign w:val="baseline"/>
                <w:lang w:val="en-US" w:eastAsia="zh-CN"/>
              </w:rPr>
              <w:t>5</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35</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7</w:t>
            </w:r>
            <w:r>
              <w:rPr>
                <w:rFonts w:hint="eastAsia"/>
                <w:sz w:val="18"/>
                <w:szCs w:val="18"/>
                <w:vertAlign w:val="baseline"/>
                <w:lang w:val="en-US" w:eastAsia="zh-CN"/>
              </w:rPr>
              <w:t>~</w:t>
            </w:r>
            <w:r>
              <w:rPr>
                <w:rFonts w:hint="eastAsia" w:eastAsia="Times New Roman"/>
                <w:sz w:val="18"/>
                <w:szCs w:val="18"/>
                <w:vertAlign w:val="baseline"/>
                <w:lang w:val="en-US" w:eastAsia="zh-CN"/>
              </w:rPr>
              <w:t>10</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竖向构件比例：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计算书：（竖向构件比例计算书）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51</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预制外墙板</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15</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7</w:t>
            </w:r>
            <w:r>
              <w:rPr>
                <w:rFonts w:hint="eastAsia"/>
                <w:sz w:val="18"/>
                <w:szCs w:val="18"/>
                <w:vertAlign w:val="baseline"/>
                <w:lang w:val="en-US" w:eastAsia="zh-CN"/>
              </w:rPr>
              <w:t>~</w:t>
            </w:r>
            <w:r>
              <w:rPr>
                <w:rFonts w:hint="eastAsia" w:eastAsia="Times New Roman"/>
                <w:sz w:val="18"/>
                <w:szCs w:val="18"/>
                <w:vertAlign w:val="baseline"/>
                <w:lang w:val="en-US" w:eastAsia="zh-CN"/>
              </w:rPr>
              <w:t>10</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水平构件比例：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计算书：（水平构件比例计算书）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52</w:t>
            </w:r>
            <w:r>
              <w:rPr>
                <w:rFonts w:hint="eastAsia"/>
                <w:sz w:val="18"/>
                <w:szCs w:val="18"/>
                <w:vertAlign w:val="baseline"/>
                <w:lang w:val="en-US" w:eastAsia="zh-CN"/>
              </w:rPr>
              <w:t>：围护墙和内隔墙细化项</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52</w:t>
            </w:r>
            <w:r>
              <w:rPr>
                <w:rFonts w:hint="eastAsia"/>
                <w:sz w:val="18"/>
                <w:szCs w:val="18"/>
                <w:vertAlign w:val="subscript"/>
                <w:lang w:val="en-US" w:eastAsia="zh-CN"/>
              </w:rPr>
              <w:t>a</w:t>
            </w:r>
          </w:p>
        </w:tc>
        <w:tc>
          <w:tcPr>
            <w:tcW w:w="1470"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围护墙与保温、隔热集成一体化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围护墙与保温、隔热集成一体化比例：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计算书：（围护墙与保温、隔热集成一体化比例计算书）</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52</w:t>
            </w:r>
            <w:r>
              <w:rPr>
                <w:rFonts w:hint="eastAsia"/>
                <w:sz w:val="18"/>
                <w:szCs w:val="18"/>
                <w:vertAlign w:val="subscript"/>
                <w:lang w:val="en-US" w:eastAsia="zh-CN"/>
              </w:rPr>
              <w:t>b</w:t>
            </w:r>
          </w:p>
        </w:tc>
        <w:tc>
          <w:tcPr>
            <w:tcW w:w="1470"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内隔墙与管线集成一体化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内隔墙与管线集成一体化化比例：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计算书：（内隔墙与管线集成一体化化比例计算书）</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baseline"/>
                <w:lang w:val="en-US" w:eastAsia="zh-CN"/>
              </w:rPr>
              <w:t>：装修和设备管线细化项</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a</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干式工法楼面、地面</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干式工法楼面、地面应用比例：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计算书：（干式工法楼面、地面应用比例计算书）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集成厨房</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厨房墙面、地面和顶面干式工法应用比例：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计算书：（厨房墙面、地面和顶面干式工法应用比例计算书）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c</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集成卫生间</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卫生间墙面、地面和顶面干式工法应用比例：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计算书：（卫生间墙面、地面和顶面干式工法应用比例计算书）</w:t>
            </w:r>
          </w:p>
        </w:tc>
        <w:tc>
          <w:tcPr>
            <w:tcW w:w="1272" w:type="dxa"/>
            <w:tcBorders>
              <w:tl2br w:val="nil"/>
              <w:tr2bl w:val="nil"/>
            </w:tcBorders>
            <w:noWrap w:val="0"/>
            <w:vAlign w:val="top"/>
          </w:tcPr>
          <w:p>
            <w:pPr>
              <w:rPr>
                <w:rFonts w:hint="eastAsia"/>
                <w:sz w:val="18"/>
                <w:szCs w:val="18"/>
                <w:vertAlign w:val="baseline"/>
                <w:lang w:val="en-US" w:eastAsia="zh-CN"/>
              </w:rPr>
            </w:pPr>
          </w:p>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d</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管线分离</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30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50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管线分离比例：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计算书：（管线分离比例计算书）</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w:t>
            </w:r>
            <w:r>
              <w:rPr>
                <w:rFonts w:hint="eastAsia"/>
                <w:sz w:val="18"/>
                <w:szCs w:val="18"/>
                <w:vertAlign w:val="subscript"/>
                <w:lang w:val="en-US" w:eastAsia="zh-CN"/>
              </w:rPr>
              <w:t>:</w:t>
            </w:r>
            <w:r>
              <w:rPr>
                <w:rFonts w:hint="eastAsia"/>
                <w:sz w:val="18"/>
                <w:szCs w:val="18"/>
                <w:vertAlign w:val="baseline"/>
                <w:lang w:val="en-US" w:eastAsia="zh-CN"/>
              </w:rPr>
              <w:t>鼓励项（</w:t>
            </w:r>
            <w:r>
              <w:rPr>
                <w:rFonts w:hint="eastAsia" w:eastAsia="Times New Roman"/>
                <w:sz w:val="18"/>
                <w:szCs w:val="18"/>
                <w:vertAlign w:val="baseline"/>
                <w:lang w:val="en-US" w:eastAsia="zh-CN"/>
              </w:rPr>
              <w:t>8</w:t>
            </w:r>
            <w:r>
              <w:rPr>
                <w:rFonts w:hint="eastAsia"/>
                <w:sz w:val="18"/>
                <w:szCs w:val="18"/>
                <w:vertAlign w:val="baseline"/>
                <w:lang w:val="en-US" w:eastAsia="zh-CN"/>
              </w:rPr>
              <w:t>分）</w:t>
            </w: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baseline"/>
                <w:lang w:val="en-US" w:eastAsia="zh-CN"/>
              </w:rPr>
              <w:t>：标准化设计鼓励项</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subscript"/>
                <w:lang w:val="en-US" w:eastAsia="zh-CN"/>
              </w:rPr>
              <w:t>a</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平面布置标准化</w:t>
            </w:r>
          </w:p>
        </w:tc>
        <w:tc>
          <w:tcPr>
            <w:tcW w:w="1274" w:type="dxa"/>
            <w:gridSpan w:val="2"/>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rFonts w:hint="eastAsia"/>
                <w:sz w:val="18"/>
                <w:szCs w:val="18"/>
                <w:u w:val="none"/>
                <w:vertAlign w:val="baseline"/>
                <w:lang w:val="en-US" w:eastAsia="zh-CN"/>
              </w:rPr>
            </w:pPr>
            <w:r>
              <w:rPr>
                <w:sz w:val="18"/>
                <w:szCs w:val="18"/>
                <w:vertAlign w:val="baseline"/>
              </w:rPr>
              <w:sym w:font="Wingdings" w:char="00A8"/>
            </w:r>
            <w:r>
              <w:rPr>
                <w:rFonts w:hint="eastAsia"/>
                <w:sz w:val="18"/>
                <w:szCs w:val="18"/>
                <w:vertAlign w:val="baseline"/>
                <w:lang w:val="en-US" w:eastAsia="zh-CN"/>
              </w:rPr>
              <w:t>三个单元面积之和占评价单元总建筑面积比例：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p>
            <w:pPr>
              <w:rPr>
                <w:rFonts w:hint="default"/>
                <w:sz w:val="18"/>
                <w:szCs w:val="18"/>
                <w:u w:val="none"/>
                <w:vertAlign w:val="baseline"/>
                <w:lang w:val="en-US" w:eastAsia="zh-CN"/>
              </w:rPr>
            </w:pPr>
            <w:r>
              <w:rPr>
                <w:rFonts w:hint="default"/>
                <w:sz w:val="18"/>
                <w:szCs w:val="18"/>
                <w:u w:val="none"/>
                <w:vertAlign w:val="baseline"/>
                <w:lang w:val="en-US" w:eastAsia="zh-CN"/>
              </w:rPr>
              <w:sym w:font="Wingdings" w:char="00A8"/>
            </w:r>
            <w:r>
              <w:rPr>
                <w:rFonts w:hint="eastAsia"/>
                <w:sz w:val="18"/>
                <w:szCs w:val="18"/>
                <w:u w:val="none"/>
                <w:vertAlign w:val="baseline"/>
                <w:lang w:val="en-US" w:eastAsia="zh-CN"/>
              </w:rPr>
              <w:t>居住建筑采用国家、省、市等标准化户型图集方案。</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hint="eastAsia"/>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计算书：（管线分离比例计算书）</w:t>
            </w:r>
          </w:p>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标准化户型图集：（名称、编号）</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预制构件与部品标准化</w:t>
            </w:r>
          </w:p>
        </w:tc>
        <w:tc>
          <w:tcPr>
            <w:tcW w:w="1274" w:type="dxa"/>
            <w:gridSpan w:val="2"/>
            <w:vMerge w:val="continue"/>
            <w:tcBorders>
              <w:tl2br w:val="nil"/>
              <w:tr2bl w:val="nil"/>
            </w:tcBorders>
            <w:noWrap w:val="0"/>
            <w:vAlign w:val="top"/>
          </w:tcPr>
          <w:p>
            <w:pPr>
              <w:rPr>
                <w:sz w:val="18"/>
                <w:szCs w:val="18"/>
                <w:vertAlign w:val="baseline"/>
              </w:rPr>
            </w:pP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采用国家、省、市等标准图集中标准式样的预制构件，所选种类的预制构件数量不低于同类构件的</w:t>
            </w:r>
            <w:r>
              <w:rPr>
                <w:rFonts w:hint="eastAsia" w:eastAsia="Times New Roman"/>
                <w:sz w:val="18"/>
                <w:szCs w:val="18"/>
                <w:vertAlign w:val="baseline"/>
                <w:lang w:val="en-US" w:eastAsia="zh-CN"/>
              </w:rPr>
              <w:t>50</w:t>
            </w:r>
            <w:r>
              <w:rPr>
                <w:rFonts w:hint="eastAsia"/>
                <w:sz w:val="18"/>
                <w:szCs w:val="18"/>
                <w:vertAlign w:val="baseline"/>
                <w:lang w:val="en-US" w:eastAsia="zh-CN"/>
              </w:rPr>
              <w:t>%；</w:t>
            </w:r>
          </w:p>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eastAsia="Times New Roman"/>
                <w:sz w:val="18"/>
                <w:szCs w:val="18"/>
                <w:vertAlign w:val="baseline"/>
                <w:lang w:val="en-US" w:eastAsia="zh-CN"/>
              </w:rPr>
              <w:t>1</w:t>
            </w:r>
            <w:r>
              <w:rPr>
                <w:rFonts w:hint="eastAsia"/>
                <w:sz w:val="18"/>
                <w:szCs w:val="18"/>
                <w:vertAlign w:val="baseline"/>
                <w:lang w:val="en-US" w:eastAsia="zh-CN"/>
              </w:rPr>
              <w:t>）外墙，</w:t>
            </w:r>
            <w:r>
              <w:rPr>
                <w:rFonts w:hint="eastAsia" w:eastAsia="Times New Roman"/>
                <w:sz w:val="18"/>
                <w:szCs w:val="18"/>
                <w:vertAlign w:val="baseline"/>
                <w:lang w:val="en-US" w:eastAsia="zh-CN"/>
              </w:rPr>
              <w:t>2</w:t>
            </w:r>
            <w:r>
              <w:rPr>
                <w:rFonts w:hint="eastAsia"/>
                <w:sz w:val="18"/>
                <w:szCs w:val="18"/>
                <w:vertAlign w:val="baseline"/>
                <w:lang w:val="en-US" w:eastAsia="zh-CN"/>
              </w:rPr>
              <w:t>）预制楼梯，</w:t>
            </w:r>
            <w:r>
              <w:rPr>
                <w:rFonts w:hint="eastAsia" w:eastAsia="Times New Roman"/>
                <w:sz w:val="18"/>
                <w:szCs w:val="18"/>
                <w:vertAlign w:val="baseline"/>
                <w:lang w:val="en-US" w:eastAsia="zh-CN"/>
              </w:rPr>
              <w:t>3</w:t>
            </w:r>
            <w:r>
              <w:rPr>
                <w:rFonts w:hint="eastAsia"/>
                <w:sz w:val="18"/>
                <w:szCs w:val="18"/>
                <w:vertAlign w:val="baseline"/>
                <w:lang w:val="en-US" w:eastAsia="zh-CN"/>
              </w:rPr>
              <w:t>）预制阳台板，</w:t>
            </w:r>
            <w:r>
              <w:rPr>
                <w:rFonts w:hint="eastAsia" w:eastAsia="Times New Roman"/>
                <w:sz w:val="18"/>
                <w:szCs w:val="18"/>
                <w:vertAlign w:val="baseline"/>
                <w:lang w:val="en-US" w:eastAsia="zh-CN"/>
              </w:rPr>
              <w:t>4</w:t>
            </w:r>
            <w:r>
              <w:rPr>
                <w:rFonts w:hint="eastAsia"/>
                <w:sz w:val="18"/>
                <w:szCs w:val="18"/>
                <w:vertAlign w:val="baseline"/>
                <w:lang w:val="en-US" w:eastAsia="zh-CN"/>
              </w:rPr>
              <w:t>）预制楼（屋）面板，</w:t>
            </w:r>
            <w:r>
              <w:rPr>
                <w:rFonts w:hint="eastAsia" w:eastAsia="Times New Roman"/>
                <w:sz w:val="18"/>
                <w:szCs w:val="18"/>
                <w:vertAlign w:val="baseline"/>
                <w:lang w:val="en-US" w:eastAsia="zh-CN"/>
              </w:rPr>
              <w:t>5</w:t>
            </w:r>
            <w:r>
              <w:rPr>
                <w:rFonts w:hint="eastAsia"/>
                <w:sz w:val="18"/>
                <w:szCs w:val="18"/>
                <w:vertAlign w:val="baseline"/>
                <w:lang w:val="en-US" w:eastAsia="zh-CN"/>
              </w:rPr>
              <w:t>）预制梁、</w:t>
            </w:r>
            <w:r>
              <w:rPr>
                <w:rFonts w:hint="eastAsia" w:eastAsia="Times New Roman"/>
                <w:sz w:val="18"/>
                <w:szCs w:val="18"/>
                <w:vertAlign w:val="baseline"/>
                <w:lang w:val="en-US" w:eastAsia="zh-CN"/>
              </w:rPr>
              <w:t>6</w:t>
            </w:r>
            <w:r>
              <w:rPr>
                <w:rFonts w:hint="eastAsia"/>
                <w:sz w:val="18"/>
                <w:szCs w:val="18"/>
                <w:vertAlign w:val="baseline"/>
                <w:lang w:val="en-US" w:eastAsia="zh-CN"/>
              </w:rPr>
              <w:t>）预制柱（或预制承重墙体），</w:t>
            </w:r>
            <w:r>
              <w:rPr>
                <w:rFonts w:hint="eastAsia" w:eastAsia="Times New Roman"/>
                <w:sz w:val="18"/>
                <w:szCs w:val="18"/>
                <w:vertAlign w:val="baseline"/>
                <w:lang w:val="en-US" w:eastAsia="zh-CN"/>
              </w:rPr>
              <w:t>7</w:t>
            </w:r>
            <w:r>
              <w:rPr>
                <w:rFonts w:hint="eastAsia"/>
                <w:sz w:val="18"/>
                <w:szCs w:val="18"/>
                <w:vertAlign w:val="baseline"/>
                <w:lang w:val="en-US" w:eastAsia="zh-CN"/>
              </w:rPr>
              <w:t>）整间式预制外墙板、单元式幕墙等</w:t>
            </w:r>
            <w:r>
              <w:rPr>
                <w:rFonts w:hint="eastAsia" w:eastAsia="Times New Roman"/>
                <w:sz w:val="18"/>
                <w:szCs w:val="18"/>
                <w:vertAlign w:val="baseline"/>
                <w:lang w:val="en-US" w:eastAsia="zh-CN"/>
              </w:rPr>
              <w:t>7</w:t>
            </w:r>
            <w:r>
              <w:rPr>
                <w:rFonts w:hint="eastAsia"/>
                <w:sz w:val="18"/>
                <w:szCs w:val="18"/>
                <w:vertAlign w:val="baseline"/>
                <w:lang w:val="en-US" w:eastAsia="zh-CN"/>
              </w:rPr>
              <w:t>类构件中的</w:t>
            </w:r>
            <w:r>
              <w:rPr>
                <w:rFonts w:hint="eastAsia" w:eastAsia="Times New Roman"/>
                <w:sz w:val="18"/>
                <w:szCs w:val="18"/>
                <w:vertAlign w:val="baseline"/>
                <w:lang w:val="en-US" w:eastAsia="zh-CN"/>
              </w:rPr>
              <w:t>3</w:t>
            </w:r>
            <w:r>
              <w:rPr>
                <w:rFonts w:hint="eastAsia"/>
                <w:sz w:val="18"/>
                <w:szCs w:val="18"/>
                <w:vertAlign w:val="baseline"/>
                <w:lang w:val="en-US" w:eastAsia="zh-CN"/>
              </w:rPr>
              <w:t>类标准化应用满足要求。</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引用标准化部品部件图集：（名称、编号）；</w:t>
            </w:r>
          </w:p>
          <w:p>
            <w:pPr>
              <w:rPr>
                <w:rFonts w:hint="eastAsia"/>
                <w:sz w:val="18"/>
                <w:szCs w:val="18"/>
                <w:vertAlign w:val="baseline"/>
                <w:lang w:val="en-US" w:eastAsia="zh-CN"/>
              </w:rPr>
            </w:pPr>
            <w:r>
              <w:rPr>
                <w:rFonts w:hint="eastAsia"/>
                <w:sz w:val="18"/>
                <w:szCs w:val="18"/>
                <w:vertAlign w:val="baseline"/>
                <w:lang w:val="en-US" w:eastAsia="zh-CN"/>
              </w:rPr>
              <w:t>计算书：（标准化预制构件比例计算书）</w:t>
            </w:r>
          </w:p>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标准化构件应用名称：</w:t>
            </w:r>
          </w:p>
          <w:p>
            <w:pPr>
              <w:rPr>
                <w:rFonts w:hint="default"/>
                <w:sz w:val="18"/>
                <w:szCs w:val="18"/>
                <w:vertAlign w:val="baseline"/>
                <w:lang w:val="en-US" w:eastAsia="zh-CN"/>
              </w:rPr>
            </w:pPr>
            <w:r>
              <w:rPr>
                <w:rFonts w:hint="eastAsia"/>
                <w:sz w:val="18"/>
                <w:szCs w:val="18"/>
                <w:vertAlign w:val="baseline"/>
                <w:lang w:val="en-US" w:eastAsia="zh-CN"/>
              </w:rPr>
              <w:t>计算书：（同类构件应用比例计算书）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subscript"/>
                <w:lang w:val="en-US" w:eastAsia="zh-CN"/>
              </w:rPr>
              <w:t>c</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节点标准化</w:t>
            </w:r>
          </w:p>
        </w:tc>
        <w:tc>
          <w:tcPr>
            <w:tcW w:w="1274" w:type="dxa"/>
            <w:gridSpan w:val="2"/>
            <w:vMerge w:val="continue"/>
            <w:tcBorders>
              <w:tl2br w:val="nil"/>
              <w:tr2bl w:val="nil"/>
            </w:tcBorders>
            <w:noWrap w:val="0"/>
            <w:vAlign w:val="top"/>
          </w:tcPr>
          <w:p>
            <w:pPr>
              <w:rPr>
                <w:sz w:val="18"/>
                <w:szCs w:val="18"/>
                <w:vertAlign w:val="baseline"/>
              </w:rPr>
            </w:pP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 xml:space="preserve">节点标准化设计满足GB/T </w:t>
            </w:r>
            <w:r>
              <w:rPr>
                <w:rFonts w:hint="eastAsia" w:eastAsia="Times New Roman"/>
                <w:sz w:val="18"/>
                <w:szCs w:val="18"/>
                <w:vertAlign w:val="baseline"/>
                <w:lang w:val="en-US" w:eastAsia="zh-CN"/>
              </w:rPr>
              <w:t>51231</w:t>
            </w:r>
            <w:r>
              <w:rPr>
                <w:rFonts w:hint="eastAsia"/>
                <w:sz w:val="18"/>
                <w:szCs w:val="18"/>
                <w:vertAlign w:val="baseline"/>
                <w:lang w:val="en-US" w:eastAsia="zh-CN"/>
              </w:rPr>
              <w:t xml:space="preserve">与DBJ </w:t>
            </w:r>
            <w:r>
              <w:rPr>
                <w:rFonts w:hint="eastAsia" w:eastAsia="Times New Roman"/>
                <w:sz w:val="18"/>
                <w:szCs w:val="18"/>
                <w:vertAlign w:val="baseline"/>
                <w:lang w:val="en-US" w:eastAsia="zh-CN"/>
              </w:rPr>
              <w:t>15</w:t>
            </w:r>
            <w:r>
              <w:rPr>
                <w:rFonts w:hint="eastAsia"/>
                <w:sz w:val="18"/>
                <w:szCs w:val="18"/>
                <w:vertAlign w:val="baseline"/>
                <w:lang w:val="en-US" w:eastAsia="zh-CN"/>
              </w:rPr>
              <w:t>-</w:t>
            </w:r>
            <w:r>
              <w:rPr>
                <w:rFonts w:hint="eastAsia" w:eastAsia="Times New Roman"/>
                <w:sz w:val="18"/>
                <w:szCs w:val="18"/>
                <w:vertAlign w:val="baseline"/>
                <w:lang w:val="en-US" w:eastAsia="zh-CN"/>
              </w:rPr>
              <w:t>107</w:t>
            </w:r>
            <w:r>
              <w:rPr>
                <w:rFonts w:hint="eastAsia"/>
                <w:sz w:val="18"/>
                <w:szCs w:val="18"/>
                <w:vertAlign w:val="baseline"/>
                <w:lang w:val="en-US" w:eastAsia="zh-CN"/>
              </w:rPr>
              <w:t>规定，或采用国家、省、市装配式建筑标准图集节点大样。</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 xml:space="preserve">节点按GB/T </w:t>
            </w:r>
            <w:r>
              <w:rPr>
                <w:rFonts w:hint="eastAsia" w:eastAsia="Times New Roman"/>
                <w:sz w:val="18"/>
                <w:szCs w:val="18"/>
                <w:vertAlign w:val="baseline"/>
                <w:lang w:val="en-US" w:eastAsia="zh-CN"/>
              </w:rPr>
              <w:t>51231</w:t>
            </w:r>
            <w:r>
              <w:rPr>
                <w:rFonts w:hint="eastAsia"/>
                <w:sz w:val="18"/>
                <w:szCs w:val="18"/>
                <w:vertAlign w:val="baseline"/>
                <w:lang w:val="en-US" w:eastAsia="zh-CN"/>
              </w:rPr>
              <w:t xml:space="preserve">与DBJ </w:t>
            </w:r>
            <w:r>
              <w:rPr>
                <w:rFonts w:hint="eastAsia" w:eastAsia="Times New Roman"/>
                <w:sz w:val="18"/>
                <w:szCs w:val="18"/>
                <w:vertAlign w:val="baseline"/>
                <w:lang w:val="en-US" w:eastAsia="zh-CN"/>
              </w:rPr>
              <w:t>15</w:t>
            </w:r>
            <w:r>
              <w:rPr>
                <w:rFonts w:hint="eastAsia"/>
                <w:sz w:val="18"/>
                <w:szCs w:val="18"/>
                <w:vertAlign w:val="baseline"/>
                <w:lang w:val="en-US" w:eastAsia="zh-CN"/>
              </w:rPr>
              <w:t>-</w:t>
            </w:r>
            <w:r>
              <w:rPr>
                <w:rFonts w:hint="eastAsia" w:eastAsia="Times New Roman"/>
                <w:sz w:val="18"/>
                <w:szCs w:val="18"/>
                <w:vertAlign w:val="baseline"/>
                <w:lang w:val="en-US" w:eastAsia="zh-CN"/>
              </w:rPr>
              <w:t>107</w:t>
            </w:r>
            <w:r>
              <w:rPr>
                <w:rFonts w:hint="eastAsia"/>
                <w:sz w:val="18"/>
                <w:szCs w:val="18"/>
                <w:vertAlign w:val="baseline"/>
                <w:lang w:val="en-US" w:eastAsia="zh-CN"/>
              </w:rPr>
              <w:t>规定设计，详见施工图</w:t>
            </w:r>
          </w:p>
          <w:p>
            <w:pPr>
              <w:rPr>
                <w:rFonts w:hint="default" w:eastAsia="宋体"/>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节点标准图集（名称、编号）</w:t>
            </w:r>
          </w:p>
        </w:tc>
        <w:tc>
          <w:tcPr>
            <w:tcW w:w="1272" w:type="dxa"/>
            <w:tcBorders>
              <w:tl2br w:val="nil"/>
              <w:tr2bl w:val="nil"/>
            </w:tcBorders>
            <w:noWrap w:val="0"/>
            <w:vAlign w:val="top"/>
          </w:tcPr>
          <w:p>
            <w:pPr>
              <w:rPr>
                <w:rFonts w:hint="eastAsia"/>
                <w:sz w:val="18"/>
                <w:szCs w:val="18"/>
                <w:vertAlign w:val="baseline"/>
                <w:lang w:val="en-US" w:eastAsia="zh-CN"/>
              </w:rPr>
            </w:pPr>
          </w:p>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baseline"/>
                <w:lang w:val="en-US" w:eastAsia="zh-CN"/>
              </w:rPr>
              <w:t>：绿色与信息化应用鼓励项</w:t>
            </w:r>
          </w:p>
        </w:tc>
        <w:tc>
          <w:tcPr>
            <w:tcW w:w="694"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subscript"/>
                <w:lang w:val="en-US" w:eastAsia="zh-CN"/>
              </w:rPr>
              <w:t>a</w:t>
            </w:r>
          </w:p>
        </w:tc>
        <w:tc>
          <w:tcPr>
            <w:tcW w:w="1470" w:type="dxa"/>
            <w:vMerge w:val="restart"/>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绿色建筑</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取得绿色建筑评价一星</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0</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本项目按</w:t>
            </w:r>
            <w:r>
              <w:rPr>
                <w:rFonts w:hint="eastAsia"/>
                <w:sz w:val="18"/>
                <w:szCs w:val="18"/>
                <w:vertAlign w:val="baseline"/>
                <w:lang w:val="en-US" w:eastAsia="zh-CN"/>
              </w:rPr>
              <w:sym w:font="Wingdings" w:char="00A8"/>
            </w:r>
            <w:r>
              <w:rPr>
                <w:rFonts w:hint="eastAsia"/>
                <w:sz w:val="18"/>
                <w:szCs w:val="18"/>
                <w:vertAlign w:val="baseline"/>
                <w:lang w:val="en-US" w:eastAsia="zh-CN"/>
              </w:rPr>
              <w:t>一星级、</w:t>
            </w:r>
            <w:r>
              <w:rPr>
                <w:rFonts w:hint="eastAsia"/>
                <w:sz w:val="18"/>
                <w:szCs w:val="18"/>
                <w:vertAlign w:val="baseline"/>
                <w:lang w:val="en-US" w:eastAsia="zh-CN"/>
              </w:rPr>
              <w:sym w:font="Wingdings" w:char="00A8"/>
            </w:r>
            <w:r>
              <w:rPr>
                <w:rFonts w:hint="eastAsia"/>
                <w:sz w:val="18"/>
                <w:szCs w:val="18"/>
                <w:vertAlign w:val="baseline"/>
                <w:lang w:val="en-US" w:eastAsia="zh-CN"/>
              </w:rPr>
              <w:t>二星级、</w:t>
            </w:r>
            <w:r>
              <w:rPr>
                <w:rFonts w:hint="eastAsia"/>
                <w:sz w:val="18"/>
                <w:szCs w:val="18"/>
                <w:vertAlign w:val="baseline"/>
                <w:lang w:val="en-US" w:eastAsia="zh-CN"/>
              </w:rPr>
              <w:sym w:font="Wingdings" w:char="00A8"/>
            </w:r>
            <w:r>
              <w:rPr>
                <w:rFonts w:hint="eastAsia"/>
                <w:sz w:val="18"/>
                <w:szCs w:val="18"/>
                <w:vertAlign w:val="baseline"/>
                <w:lang w:val="en-US" w:eastAsia="zh-CN"/>
              </w:rPr>
              <w:t>三星级绿色建筑进行设计并承诺通过设计阶段预评价。</w:t>
            </w:r>
          </w:p>
        </w:tc>
        <w:tc>
          <w:tcPr>
            <w:tcW w:w="730" w:type="dxa"/>
            <w:gridSpan w:val="2"/>
            <w:vMerge w:val="restart"/>
            <w:tcBorders>
              <w:tl2br w:val="nil"/>
              <w:tr2bl w:val="nil"/>
            </w:tcBorders>
            <w:noWrap w:val="0"/>
            <w:vAlign w:val="top"/>
          </w:tcPr>
          <w:p>
            <w:pPr>
              <w:rPr>
                <w:sz w:val="18"/>
                <w:szCs w:val="18"/>
                <w:vertAlign w:val="baseline"/>
              </w:rPr>
            </w:pPr>
          </w:p>
        </w:tc>
        <w:tc>
          <w:tcPr>
            <w:tcW w:w="2871" w:type="dxa"/>
            <w:vMerge w:val="restart"/>
            <w:tcBorders>
              <w:tl2br w:val="nil"/>
              <w:tr2bl w:val="nil"/>
            </w:tcBorders>
            <w:noWrap w:val="0"/>
            <w:vAlign w:val="center"/>
          </w:tcPr>
          <w:p>
            <w:pPr>
              <w:jc w:val="left"/>
              <w:rPr>
                <w:rFonts w:hint="eastAsia"/>
                <w:sz w:val="18"/>
                <w:szCs w:val="18"/>
                <w:vertAlign w:val="baseline"/>
                <w:lang w:val="en-US" w:eastAsia="zh-CN"/>
              </w:rPr>
            </w:pPr>
            <w:r>
              <w:rPr>
                <w:rFonts w:hint="eastAsia"/>
                <w:sz w:val="18"/>
                <w:szCs w:val="18"/>
                <w:vertAlign w:val="baseline"/>
                <w:lang w:val="en-US" w:eastAsia="zh-CN"/>
              </w:rPr>
              <w:t>绿色建筑说明专篇（注明施工图号、条目、位置）；</w:t>
            </w:r>
          </w:p>
          <w:p>
            <w:pPr>
              <w:jc w:val="left"/>
              <w:rPr>
                <w:rFonts w:hint="default"/>
                <w:sz w:val="18"/>
                <w:szCs w:val="18"/>
                <w:vertAlign w:val="baseline"/>
                <w:lang w:val="en-US" w:eastAsia="zh-CN"/>
              </w:rPr>
            </w:pPr>
            <w:r>
              <w:rPr>
                <w:rFonts w:hint="eastAsia"/>
                <w:sz w:val="18"/>
                <w:szCs w:val="18"/>
                <w:vertAlign w:val="baseline"/>
                <w:lang w:val="en-US" w:eastAsia="zh-CN"/>
              </w:rPr>
              <w:t>建设单位出具的绿建达标承诺函</w:t>
            </w:r>
          </w:p>
        </w:tc>
        <w:tc>
          <w:tcPr>
            <w:tcW w:w="1272" w:type="dxa"/>
            <w:vMerge w:val="restart"/>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vMerge w:val="continue"/>
            <w:tcBorders>
              <w:tl2br w:val="nil"/>
              <w:tr2bl w:val="nil"/>
            </w:tcBorders>
            <w:noWrap w:val="0"/>
            <w:vAlign w:val="top"/>
          </w:tcPr>
          <w:p>
            <w:pPr>
              <w:rPr>
                <w:sz w:val="18"/>
                <w:szCs w:val="18"/>
                <w:vertAlign w:val="baseline"/>
              </w:rPr>
            </w:pPr>
          </w:p>
        </w:tc>
        <w:tc>
          <w:tcPr>
            <w:tcW w:w="1470" w:type="dxa"/>
            <w:vMerge w:val="continue"/>
            <w:tcBorders>
              <w:tl2br w:val="nil"/>
              <w:tr2bl w:val="nil"/>
            </w:tcBorders>
            <w:noWrap w:val="0"/>
            <w:vAlign w:val="top"/>
          </w:tcPr>
          <w:p>
            <w:pPr>
              <w:rPr>
                <w:sz w:val="18"/>
                <w:szCs w:val="18"/>
                <w:vertAlign w:val="baseline"/>
              </w:rPr>
            </w:pP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取得绿色建筑评价二星</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continue"/>
            <w:tcBorders>
              <w:tl2br w:val="nil"/>
              <w:tr2bl w:val="nil"/>
            </w:tcBorders>
            <w:noWrap w:val="0"/>
            <w:vAlign w:val="top"/>
          </w:tcPr>
          <w:p>
            <w:pPr>
              <w:rPr>
                <w:sz w:val="18"/>
                <w:szCs w:val="18"/>
                <w:vertAlign w:val="baseline"/>
              </w:rPr>
            </w:pPr>
          </w:p>
        </w:tc>
        <w:tc>
          <w:tcPr>
            <w:tcW w:w="1912" w:type="dxa"/>
            <w:vMerge w:val="continue"/>
            <w:tcBorders>
              <w:tl2br w:val="nil"/>
              <w:tr2bl w:val="nil"/>
            </w:tcBorders>
            <w:noWrap w:val="0"/>
            <w:vAlign w:val="top"/>
          </w:tcPr>
          <w:p>
            <w:pPr>
              <w:rPr>
                <w:sz w:val="18"/>
                <w:szCs w:val="18"/>
                <w:vertAlign w:val="baseline"/>
              </w:rPr>
            </w:pPr>
          </w:p>
        </w:tc>
        <w:tc>
          <w:tcPr>
            <w:tcW w:w="730" w:type="dxa"/>
            <w:gridSpan w:val="2"/>
            <w:vMerge w:val="continue"/>
            <w:tcBorders>
              <w:tl2br w:val="nil"/>
              <w:tr2bl w:val="nil"/>
            </w:tcBorders>
            <w:noWrap w:val="0"/>
            <w:vAlign w:val="top"/>
          </w:tcPr>
          <w:p>
            <w:pPr>
              <w:rPr>
                <w:sz w:val="18"/>
                <w:szCs w:val="18"/>
                <w:vertAlign w:val="baseline"/>
              </w:rPr>
            </w:pPr>
          </w:p>
        </w:tc>
        <w:tc>
          <w:tcPr>
            <w:tcW w:w="2871" w:type="dxa"/>
            <w:vMerge w:val="continue"/>
            <w:tcBorders>
              <w:tl2br w:val="nil"/>
              <w:tr2bl w:val="nil"/>
            </w:tcBorders>
            <w:noWrap w:val="0"/>
            <w:vAlign w:val="center"/>
          </w:tcPr>
          <w:p>
            <w:pPr>
              <w:jc w:val="left"/>
              <w:rPr>
                <w:sz w:val="18"/>
                <w:szCs w:val="18"/>
                <w:vertAlign w:val="baseline"/>
              </w:rPr>
            </w:pPr>
          </w:p>
        </w:tc>
        <w:tc>
          <w:tcPr>
            <w:tcW w:w="1272" w:type="dxa"/>
            <w:vMerge w:val="continue"/>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vMerge w:val="continue"/>
            <w:tcBorders>
              <w:tl2br w:val="nil"/>
              <w:tr2bl w:val="nil"/>
            </w:tcBorders>
            <w:noWrap w:val="0"/>
            <w:vAlign w:val="top"/>
          </w:tcPr>
          <w:p>
            <w:pPr>
              <w:rPr>
                <w:sz w:val="18"/>
                <w:szCs w:val="18"/>
                <w:vertAlign w:val="baseline"/>
              </w:rPr>
            </w:pPr>
          </w:p>
        </w:tc>
        <w:tc>
          <w:tcPr>
            <w:tcW w:w="1470" w:type="dxa"/>
            <w:vMerge w:val="continue"/>
            <w:tcBorders>
              <w:tl2br w:val="nil"/>
              <w:tr2bl w:val="nil"/>
            </w:tcBorders>
            <w:noWrap w:val="0"/>
            <w:vAlign w:val="top"/>
          </w:tcPr>
          <w:p>
            <w:pPr>
              <w:rPr>
                <w:sz w:val="18"/>
                <w:szCs w:val="18"/>
                <w:vertAlign w:val="baseline"/>
              </w:rPr>
            </w:pP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取得绿色建筑评价三星</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vMerge w:val="continue"/>
            <w:tcBorders>
              <w:tl2br w:val="nil"/>
              <w:tr2bl w:val="nil"/>
            </w:tcBorders>
            <w:noWrap w:val="0"/>
            <w:vAlign w:val="top"/>
          </w:tcPr>
          <w:p>
            <w:pPr>
              <w:rPr>
                <w:sz w:val="18"/>
                <w:szCs w:val="18"/>
                <w:vertAlign w:val="baseline"/>
              </w:rPr>
            </w:pPr>
          </w:p>
        </w:tc>
        <w:tc>
          <w:tcPr>
            <w:tcW w:w="730" w:type="dxa"/>
            <w:gridSpan w:val="2"/>
            <w:vMerge w:val="continue"/>
            <w:tcBorders>
              <w:tl2br w:val="nil"/>
              <w:tr2bl w:val="nil"/>
            </w:tcBorders>
            <w:noWrap w:val="0"/>
            <w:vAlign w:val="top"/>
          </w:tcPr>
          <w:p>
            <w:pPr>
              <w:rPr>
                <w:sz w:val="18"/>
                <w:szCs w:val="18"/>
                <w:vertAlign w:val="baseline"/>
              </w:rPr>
            </w:pPr>
          </w:p>
        </w:tc>
        <w:tc>
          <w:tcPr>
            <w:tcW w:w="2871" w:type="dxa"/>
            <w:vMerge w:val="continue"/>
            <w:tcBorders>
              <w:tl2br w:val="nil"/>
              <w:tr2bl w:val="nil"/>
            </w:tcBorders>
            <w:noWrap w:val="0"/>
            <w:vAlign w:val="center"/>
          </w:tcPr>
          <w:p>
            <w:pPr>
              <w:jc w:val="left"/>
              <w:rPr>
                <w:sz w:val="18"/>
                <w:szCs w:val="18"/>
                <w:vertAlign w:val="baseline"/>
              </w:rPr>
            </w:pPr>
          </w:p>
        </w:tc>
        <w:tc>
          <w:tcPr>
            <w:tcW w:w="1272" w:type="dxa"/>
            <w:vMerge w:val="continue"/>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BIM应用</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满足运营、围护阶段应用要求</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本项目设计阶段采用BIM模型，承诺生产、施工阶段采用BIM信息模型。</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jc w:val="left"/>
              <w:rPr>
                <w:rFonts w:hint="eastAsia"/>
                <w:sz w:val="18"/>
                <w:szCs w:val="18"/>
                <w:vertAlign w:val="baseline"/>
                <w:lang w:val="en-US" w:eastAsia="zh-CN"/>
              </w:rPr>
            </w:pPr>
            <w:r>
              <w:rPr>
                <w:rFonts w:hint="eastAsia"/>
                <w:sz w:val="18"/>
                <w:szCs w:val="18"/>
                <w:vertAlign w:val="baseline"/>
                <w:lang w:val="en-US" w:eastAsia="zh-CN"/>
              </w:rPr>
              <w:t>设计阶段BIM模型（电子图档）；</w:t>
            </w:r>
          </w:p>
          <w:p>
            <w:pPr>
              <w:jc w:val="left"/>
              <w:rPr>
                <w:rFonts w:hint="default"/>
                <w:sz w:val="18"/>
                <w:szCs w:val="18"/>
                <w:vertAlign w:val="baseline"/>
                <w:lang w:val="en-US" w:eastAsia="zh-CN"/>
              </w:rPr>
            </w:pPr>
            <w:r>
              <w:rPr>
                <w:rFonts w:hint="eastAsia"/>
                <w:sz w:val="18"/>
                <w:szCs w:val="18"/>
                <w:vertAlign w:val="baseline"/>
                <w:lang w:val="en-US" w:eastAsia="zh-CN"/>
              </w:rPr>
              <w:t>生产、建设单位出具的施工阶段采用BIM承诺函</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subscript"/>
                <w:lang w:val="en-US" w:eastAsia="zh-CN"/>
              </w:rPr>
              <w:t>c</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智能化应用</w:t>
            </w:r>
          </w:p>
        </w:tc>
        <w:tc>
          <w:tcPr>
            <w:tcW w:w="1274" w:type="dxa"/>
            <w:gridSpan w:val="2"/>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0</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 xml:space="preserve">项目智能化系统满足GB </w:t>
            </w:r>
            <w:r>
              <w:rPr>
                <w:rFonts w:hint="eastAsia" w:eastAsia="Times New Roman"/>
                <w:sz w:val="18"/>
                <w:szCs w:val="18"/>
                <w:vertAlign w:val="baseline"/>
                <w:lang w:val="en-US" w:eastAsia="zh-CN"/>
              </w:rPr>
              <w:t>50314</w:t>
            </w:r>
            <w:r>
              <w:rPr>
                <w:rFonts w:hint="eastAsia"/>
                <w:sz w:val="18"/>
                <w:szCs w:val="18"/>
                <w:vertAlign w:val="baseline"/>
                <w:lang w:val="en-US" w:eastAsia="zh-CN"/>
              </w:rPr>
              <w:t>里各类建筑智能化系统的配置要求。</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建设单位出具的智能化系统达标承诺函</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电气、物业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63</w:t>
            </w:r>
            <w:r>
              <w:rPr>
                <w:rFonts w:hint="eastAsia"/>
                <w:sz w:val="18"/>
                <w:szCs w:val="18"/>
                <w:vertAlign w:val="baseline"/>
                <w:lang w:val="en-US" w:eastAsia="zh-CN"/>
              </w:rPr>
              <w:t>：施工与管理鼓励项</w:t>
            </w:r>
          </w:p>
        </w:tc>
        <w:tc>
          <w:tcPr>
            <w:tcW w:w="694"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63</w:t>
            </w:r>
            <w:r>
              <w:rPr>
                <w:rFonts w:hint="eastAsia"/>
                <w:sz w:val="18"/>
                <w:szCs w:val="18"/>
                <w:vertAlign w:val="subscript"/>
                <w:lang w:val="en-US" w:eastAsia="zh-CN"/>
              </w:rPr>
              <w:t>a</w:t>
            </w:r>
          </w:p>
        </w:tc>
        <w:tc>
          <w:tcPr>
            <w:tcW w:w="147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绿色施工</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绿色施工评价为合格</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 xml:space="preserve">本项目绿色施工按照国标GB/T </w:t>
            </w:r>
            <w:r>
              <w:rPr>
                <w:rFonts w:hint="eastAsia" w:eastAsia="Times New Roman"/>
                <w:sz w:val="18"/>
                <w:szCs w:val="18"/>
                <w:vertAlign w:val="baseline"/>
                <w:lang w:val="en-US" w:eastAsia="zh-CN"/>
              </w:rPr>
              <w:t>50640</w:t>
            </w:r>
            <w:r>
              <w:rPr>
                <w:rFonts w:hint="eastAsia"/>
                <w:sz w:val="18"/>
                <w:szCs w:val="18"/>
                <w:vertAlign w:val="baseline"/>
                <w:lang w:val="en-US" w:eastAsia="zh-CN"/>
              </w:rPr>
              <w:t xml:space="preserve">或广东省标DBJ/T </w:t>
            </w:r>
            <w:r>
              <w:rPr>
                <w:rFonts w:hint="eastAsia" w:eastAsia="Times New Roman"/>
                <w:sz w:val="18"/>
                <w:szCs w:val="18"/>
                <w:vertAlign w:val="baseline"/>
                <w:lang w:val="en-US" w:eastAsia="zh-CN"/>
              </w:rPr>
              <w:t>15</w:t>
            </w:r>
            <w:r>
              <w:rPr>
                <w:rFonts w:hint="eastAsia"/>
                <w:sz w:val="18"/>
                <w:szCs w:val="18"/>
                <w:vertAlign w:val="baseline"/>
                <w:lang w:val="en-US" w:eastAsia="zh-CN"/>
              </w:rPr>
              <w:t>-</w:t>
            </w:r>
            <w:r>
              <w:rPr>
                <w:rFonts w:hint="eastAsia" w:eastAsia="Times New Roman"/>
                <w:sz w:val="18"/>
                <w:szCs w:val="18"/>
                <w:vertAlign w:val="baseline"/>
                <w:lang w:val="en-US" w:eastAsia="zh-CN"/>
              </w:rPr>
              <w:t>97</w:t>
            </w:r>
            <w:r>
              <w:rPr>
                <w:rFonts w:hint="eastAsia"/>
                <w:sz w:val="18"/>
                <w:szCs w:val="18"/>
                <w:vertAlign w:val="baseline"/>
                <w:lang w:val="en-US" w:eastAsia="zh-CN"/>
              </w:rPr>
              <w:t>规定开展绿色施工评价，并承诺等级达到</w:t>
            </w:r>
            <w:r>
              <w:rPr>
                <w:rFonts w:hint="eastAsia"/>
                <w:sz w:val="18"/>
                <w:szCs w:val="18"/>
                <w:vertAlign w:val="baseline"/>
                <w:lang w:val="en-US" w:eastAsia="zh-CN"/>
              </w:rPr>
              <w:sym w:font="Wingdings" w:char="00A8"/>
            </w:r>
            <w:r>
              <w:rPr>
                <w:rFonts w:hint="eastAsia"/>
                <w:sz w:val="18"/>
                <w:szCs w:val="18"/>
                <w:vertAlign w:val="baseline"/>
                <w:lang w:val="en-US" w:eastAsia="zh-CN"/>
              </w:rPr>
              <w:t>合格、</w:t>
            </w:r>
            <w:r>
              <w:rPr>
                <w:rFonts w:hint="eastAsia"/>
                <w:sz w:val="18"/>
                <w:szCs w:val="18"/>
                <w:vertAlign w:val="baseline"/>
                <w:lang w:val="en-US" w:eastAsia="zh-CN"/>
              </w:rPr>
              <w:sym w:font="Wingdings" w:char="00A8"/>
            </w:r>
            <w:r>
              <w:rPr>
                <w:rFonts w:hint="eastAsia"/>
                <w:sz w:val="18"/>
                <w:szCs w:val="18"/>
                <w:vertAlign w:val="baseline"/>
                <w:lang w:val="en-US" w:eastAsia="zh-CN"/>
              </w:rPr>
              <w:t>优良</w:t>
            </w:r>
          </w:p>
        </w:tc>
        <w:tc>
          <w:tcPr>
            <w:tcW w:w="730" w:type="dxa"/>
            <w:gridSpan w:val="2"/>
            <w:vMerge w:val="restart"/>
            <w:tcBorders>
              <w:tl2br w:val="nil"/>
              <w:tr2bl w:val="nil"/>
            </w:tcBorders>
            <w:noWrap w:val="0"/>
            <w:vAlign w:val="top"/>
          </w:tcPr>
          <w:p>
            <w:pPr>
              <w:rPr>
                <w:sz w:val="18"/>
                <w:szCs w:val="18"/>
                <w:vertAlign w:val="baseline"/>
              </w:rPr>
            </w:pPr>
          </w:p>
        </w:tc>
        <w:tc>
          <w:tcPr>
            <w:tcW w:w="2871" w:type="dxa"/>
            <w:vMerge w:val="restart"/>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绿色施工承诺函</w:t>
            </w:r>
          </w:p>
        </w:tc>
        <w:tc>
          <w:tcPr>
            <w:tcW w:w="1272"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建设单位/施工单位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vMerge w:val="continue"/>
            <w:tcBorders>
              <w:tl2br w:val="nil"/>
              <w:tr2bl w:val="nil"/>
            </w:tcBorders>
            <w:noWrap w:val="0"/>
            <w:vAlign w:val="top"/>
          </w:tcPr>
          <w:p>
            <w:pPr>
              <w:rPr>
                <w:sz w:val="18"/>
                <w:szCs w:val="18"/>
                <w:vertAlign w:val="baseline"/>
              </w:rPr>
            </w:pPr>
          </w:p>
        </w:tc>
        <w:tc>
          <w:tcPr>
            <w:tcW w:w="1470" w:type="dxa"/>
            <w:vMerge w:val="continue"/>
            <w:tcBorders>
              <w:tl2br w:val="nil"/>
              <w:tr2bl w:val="nil"/>
            </w:tcBorders>
            <w:noWrap w:val="0"/>
            <w:vAlign w:val="top"/>
          </w:tcPr>
          <w:p>
            <w:pPr>
              <w:rPr>
                <w:sz w:val="18"/>
                <w:szCs w:val="18"/>
                <w:vertAlign w:val="baseline"/>
              </w:rPr>
            </w:pP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绿色施工评价为优良</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vMerge w:val="continue"/>
            <w:tcBorders>
              <w:tl2br w:val="nil"/>
              <w:tr2bl w:val="nil"/>
            </w:tcBorders>
            <w:noWrap w:val="0"/>
            <w:vAlign w:val="top"/>
          </w:tcPr>
          <w:p>
            <w:pPr>
              <w:rPr>
                <w:sz w:val="18"/>
                <w:szCs w:val="18"/>
                <w:vertAlign w:val="baseline"/>
              </w:rPr>
            </w:pPr>
          </w:p>
        </w:tc>
        <w:tc>
          <w:tcPr>
            <w:tcW w:w="730" w:type="dxa"/>
            <w:gridSpan w:val="2"/>
            <w:vMerge w:val="continue"/>
            <w:tcBorders>
              <w:tl2br w:val="nil"/>
              <w:tr2bl w:val="nil"/>
            </w:tcBorders>
            <w:noWrap w:val="0"/>
            <w:vAlign w:val="top"/>
          </w:tcPr>
          <w:p>
            <w:pPr>
              <w:rPr>
                <w:sz w:val="18"/>
                <w:szCs w:val="18"/>
                <w:vertAlign w:val="baseline"/>
              </w:rPr>
            </w:pPr>
          </w:p>
        </w:tc>
        <w:tc>
          <w:tcPr>
            <w:tcW w:w="2871" w:type="dxa"/>
            <w:vMerge w:val="continue"/>
            <w:tcBorders>
              <w:tl2br w:val="nil"/>
              <w:tr2bl w:val="nil"/>
            </w:tcBorders>
            <w:noWrap w:val="0"/>
            <w:vAlign w:val="top"/>
          </w:tcPr>
          <w:p>
            <w:pPr>
              <w:rPr>
                <w:sz w:val="18"/>
                <w:szCs w:val="18"/>
                <w:vertAlign w:val="baseline"/>
              </w:rPr>
            </w:pPr>
          </w:p>
        </w:tc>
        <w:tc>
          <w:tcPr>
            <w:tcW w:w="1272" w:type="dxa"/>
            <w:vMerge w:val="continue"/>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63</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工程总承包</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一家单位/联合体单位</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0</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w:t>
            </w: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本工程采用工程总承包方式建设。</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工程总承包简介及证明材料（工程总承包合同）</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69" w:type="dxa"/>
            <w:gridSpan w:val="8"/>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24"/>
                <w:szCs w:val="24"/>
                <w:vertAlign w:val="baseline"/>
                <w:lang w:val="en-US" w:eastAsia="zh-CN"/>
              </w:rPr>
              <w:t>装配率(%)=(Q</w:t>
            </w:r>
            <w:r>
              <w:rPr>
                <w:rFonts w:hint="eastAsia" w:eastAsia="Times New Roman"/>
                <w:sz w:val="24"/>
                <w:szCs w:val="24"/>
                <w:vertAlign w:val="subscript"/>
                <w:lang w:val="en-US" w:eastAsia="zh-CN"/>
              </w:rPr>
              <w:t>1</w:t>
            </w:r>
            <w:r>
              <w:rPr>
                <w:rFonts w:hint="eastAsia"/>
                <w:sz w:val="24"/>
                <w:szCs w:val="24"/>
                <w:vertAlign w:val="baseline"/>
                <w:lang w:val="en-US" w:eastAsia="zh-CN"/>
              </w:rPr>
              <w:t>+Q</w:t>
            </w:r>
            <w:r>
              <w:rPr>
                <w:rFonts w:hint="eastAsia" w:eastAsia="Times New Roman"/>
                <w:sz w:val="24"/>
                <w:szCs w:val="24"/>
                <w:vertAlign w:val="subscript"/>
                <w:lang w:val="en-US" w:eastAsia="zh-CN"/>
              </w:rPr>
              <w:t>2</w:t>
            </w:r>
            <w:r>
              <w:rPr>
                <w:rFonts w:hint="eastAsia"/>
                <w:sz w:val="24"/>
                <w:szCs w:val="24"/>
                <w:vertAlign w:val="baseline"/>
                <w:lang w:val="en-US" w:eastAsia="zh-CN"/>
              </w:rPr>
              <w:t>+Q</w:t>
            </w:r>
            <w:r>
              <w:rPr>
                <w:rFonts w:hint="eastAsia" w:eastAsia="Times New Roman"/>
                <w:sz w:val="24"/>
                <w:szCs w:val="24"/>
                <w:vertAlign w:val="subscript"/>
                <w:lang w:val="en-US" w:eastAsia="zh-CN"/>
              </w:rPr>
              <w:t>3</w:t>
            </w:r>
            <w:r>
              <w:rPr>
                <w:rFonts w:hint="eastAsia"/>
                <w:sz w:val="24"/>
                <w:szCs w:val="24"/>
                <w:vertAlign w:val="baseline"/>
                <w:lang w:val="en-US" w:eastAsia="zh-CN"/>
              </w:rPr>
              <w:t>+Q</w:t>
            </w:r>
            <w:r>
              <w:rPr>
                <w:rFonts w:hint="eastAsia" w:eastAsia="Times New Roman"/>
                <w:sz w:val="24"/>
                <w:szCs w:val="24"/>
                <w:vertAlign w:val="subscript"/>
                <w:lang w:val="en-US" w:eastAsia="zh-CN"/>
              </w:rPr>
              <w:t>5</w:t>
            </w:r>
            <w:r>
              <w:rPr>
                <w:rFonts w:hint="eastAsia"/>
                <w:sz w:val="24"/>
                <w:szCs w:val="24"/>
                <w:vertAlign w:val="baseline"/>
                <w:lang w:val="en-US" w:eastAsia="zh-CN"/>
              </w:rPr>
              <w:t>)/(</w:t>
            </w:r>
            <w:r>
              <w:rPr>
                <w:rFonts w:hint="eastAsia" w:eastAsia="Times New Roman"/>
                <w:sz w:val="24"/>
                <w:szCs w:val="24"/>
                <w:vertAlign w:val="baseline"/>
                <w:lang w:val="en-US" w:eastAsia="zh-CN"/>
              </w:rPr>
              <w:t>100</w:t>
            </w:r>
            <w:r>
              <w:rPr>
                <w:rFonts w:hint="eastAsia"/>
                <w:sz w:val="24"/>
                <w:szCs w:val="24"/>
                <w:vertAlign w:val="baseline"/>
                <w:lang w:val="en-US" w:eastAsia="zh-CN"/>
              </w:rPr>
              <w:t>-Q</w:t>
            </w:r>
            <w:r>
              <w:rPr>
                <w:rFonts w:hint="eastAsia" w:eastAsia="Times New Roman"/>
                <w:sz w:val="24"/>
                <w:szCs w:val="24"/>
                <w:vertAlign w:val="subscript"/>
                <w:lang w:val="en-US" w:eastAsia="zh-CN"/>
              </w:rPr>
              <w:t>4</w:t>
            </w:r>
            <w:r>
              <w:rPr>
                <w:rFonts w:hint="eastAsia"/>
                <w:sz w:val="24"/>
                <w:szCs w:val="24"/>
                <w:vertAlign w:val="baseline"/>
                <w:lang w:val="en-US" w:eastAsia="zh-CN"/>
              </w:rPr>
              <w:t>)X</w:t>
            </w:r>
            <w:r>
              <w:rPr>
                <w:rFonts w:hint="eastAsia" w:eastAsia="Times New Roman"/>
                <w:sz w:val="24"/>
                <w:szCs w:val="24"/>
                <w:vertAlign w:val="baseline"/>
                <w:lang w:val="en-US" w:eastAsia="zh-CN"/>
              </w:rPr>
              <w:t>100</w:t>
            </w:r>
            <w:r>
              <w:rPr>
                <w:rFonts w:hint="eastAsia"/>
                <w:sz w:val="24"/>
                <w:szCs w:val="24"/>
                <w:vertAlign w:val="baseline"/>
                <w:lang w:val="en-US" w:eastAsia="zh-CN"/>
              </w:rPr>
              <w:t>%+Q</w:t>
            </w:r>
            <w:r>
              <w:rPr>
                <w:rFonts w:hint="eastAsia" w:eastAsia="Times New Roman"/>
                <w:sz w:val="24"/>
                <w:szCs w:val="24"/>
                <w:vertAlign w:val="subscript"/>
                <w:lang w:val="en-US" w:eastAsia="zh-CN"/>
              </w:rPr>
              <w:t>6</w:t>
            </w:r>
            <w:r>
              <w:rPr>
                <w:rFonts w:hint="eastAsia"/>
                <w:sz w:val="24"/>
                <w:szCs w:val="24"/>
                <w:vertAlign w:val="baseline"/>
                <w:lang w:val="en-US" w:eastAsia="zh-CN"/>
              </w:rPr>
              <w:t>/</w:t>
            </w:r>
            <w:r>
              <w:rPr>
                <w:rFonts w:hint="eastAsia" w:eastAsia="Times New Roman"/>
                <w:sz w:val="24"/>
                <w:szCs w:val="24"/>
                <w:vertAlign w:val="baseline"/>
                <w:lang w:val="en-US" w:eastAsia="zh-CN"/>
              </w:rPr>
              <w:t>100</w:t>
            </w:r>
            <w:r>
              <w:rPr>
                <w:rFonts w:hint="eastAsia"/>
                <w:sz w:val="24"/>
                <w:szCs w:val="24"/>
                <w:vertAlign w:val="baseline"/>
                <w:lang w:val="en-US" w:eastAsia="zh-CN"/>
              </w:rPr>
              <w:t>X</w:t>
            </w:r>
            <w:r>
              <w:rPr>
                <w:rFonts w:hint="eastAsia" w:eastAsia="Times New Roman"/>
                <w:sz w:val="24"/>
                <w:szCs w:val="24"/>
                <w:vertAlign w:val="baseline"/>
                <w:lang w:val="en-US" w:eastAsia="zh-CN"/>
              </w:rPr>
              <w:t>100</w:t>
            </w:r>
            <w:r>
              <w:rPr>
                <w:rFonts w:hint="eastAsia"/>
                <w:sz w:val="24"/>
                <w:szCs w:val="24"/>
                <w:vertAlign w:val="baseline"/>
                <w:lang w:val="en-US" w:eastAsia="zh-CN"/>
              </w:rPr>
              <w:t>%</w:t>
            </w:r>
          </w:p>
        </w:tc>
        <w:tc>
          <w:tcPr>
            <w:tcW w:w="2642" w:type="dxa"/>
            <w:gridSpan w:val="3"/>
            <w:tcBorders>
              <w:tl2br w:val="nil"/>
              <w:tr2bl w:val="nil"/>
            </w:tcBorders>
            <w:noWrap w:val="0"/>
            <w:vAlign w:val="top"/>
          </w:tcPr>
          <w:p>
            <w:pPr>
              <w:rPr>
                <w:sz w:val="18"/>
                <w:szCs w:val="18"/>
                <w:vertAlign w:val="baseline"/>
              </w:rPr>
            </w:pPr>
            <w:r>
              <w:rPr>
                <w:rFonts w:hint="eastAsia"/>
                <w:sz w:val="18"/>
                <w:szCs w:val="18"/>
                <w:vertAlign w:val="baseline"/>
                <w:lang w:val="en-US" w:eastAsia="zh-CN"/>
              </w:rPr>
              <w:t>各项技术得分总和（不含鼓励项）：</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vMerge w:val="continue"/>
            <w:tcBorders>
              <w:tl2br w:val="nil"/>
              <w:tr2bl w:val="nil"/>
            </w:tcBorders>
            <w:noWrap w:val="0"/>
            <w:vAlign w:val="top"/>
          </w:tcPr>
          <w:p>
            <w:pPr>
              <w:rPr>
                <w:sz w:val="18"/>
                <w:szCs w:val="18"/>
                <w:vertAlign w:val="baseline"/>
              </w:rPr>
            </w:pPr>
          </w:p>
        </w:tc>
        <w:tc>
          <w:tcPr>
            <w:tcW w:w="2642" w:type="dxa"/>
            <w:gridSpan w:val="3"/>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缺少项分值总和：</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vMerge w:val="continue"/>
            <w:tcBorders>
              <w:tl2br w:val="nil"/>
              <w:tr2bl w:val="nil"/>
            </w:tcBorders>
            <w:noWrap w:val="0"/>
            <w:vAlign w:val="top"/>
          </w:tcPr>
          <w:p>
            <w:pPr>
              <w:rPr>
                <w:sz w:val="18"/>
                <w:szCs w:val="18"/>
                <w:vertAlign w:val="baseline"/>
              </w:rPr>
            </w:pPr>
          </w:p>
        </w:tc>
        <w:tc>
          <w:tcPr>
            <w:tcW w:w="2642" w:type="dxa"/>
            <w:gridSpan w:val="3"/>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鼓励项得分总和：</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vMerge w:val="continue"/>
            <w:tcBorders>
              <w:tl2br w:val="nil"/>
              <w:tr2bl w:val="nil"/>
            </w:tcBorders>
            <w:noWrap w:val="0"/>
            <w:vAlign w:val="top"/>
          </w:tcPr>
          <w:p>
            <w:pPr>
              <w:rPr>
                <w:sz w:val="18"/>
                <w:szCs w:val="18"/>
                <w:vertAlign w:val="baseline"/>
              </w:rPr>
            </w:pPr>
          </w:p>
        </w:tc>
        <w:tc>
          <w:tcPr>
            <w:tcW w:w="2642" w:type="dxa"/>
            <w:gridSpan w:val="3"/>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装配率：</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装配式建筑评价等级</w:t>
            </w:r>
          </w:p>
        </w:tc>
        <w:tc>
          <w:tcPr>
            <w:tcW w:w="5513" w:type="dxa"/>
            <w:gridSpan w:val="4"/>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 xml:space="preserve">基本级      </w:t>
            </w:r>
            <w:r>
              <w:rPr>
                <w:rFonts w:hint="eastAsia"/>
                <w:sz w:val="18"/>
                <w:szCs w:val="18"/>
                <w:vertAlign w:val="baseline"/>
                <w:lang w:val="en-US" w:eastAsia="zh-CN"/>
              </w:rPr>
              <w:sym w:font="Wingdings" w:char="00A8"/>
            </w:r>
            <w:r>
              <w:rPr>
                <w:rFonts w:hint="eastAsia"/>
                <w:sz w:val="18"/>
                <w:szCs w:val="18"/>
                <w:vertAlign w:val="baseline"/>
                <w:lang w:val="en-US" w:eastAsia="zh-CN"/>
              </w:rPr>
              <w:t xml:space="preserve">A级      </w:t>
            </w:r>
            <w:r>
              <w:rPr>
                <w:rFonts w:hint="eastAsia"/>
                <w:sz w:val="18"/>
                <w:szCs w:val="18"/>
                <w:vertAlign w:val="baseline"/>
                <w:lang w:val="en-US" w:eastAsia="zh-CN"/>
              </w:rPr>
              <w:sym w:font="Wingdings" w:char="00A8"/>
            </w:r>
            <w:r>
              <w:rPr>
                <w:rFonts w:hint="eastAsia"/>
                <w:sz w:val="18"/>
                <w:szCs w:val="18"/>
                <w:vertAlign w:val="baseline"/>
                <w:lang w:val="en-US" w:eastAsia="zh-CN"/>
              </w:rPr>
              <w:t xml:space="preserve">AA级    </w:t>
            </w:r>
            <w:r>
              <w:rPr>
                <w:rFonts w:hint="eastAsia"/>
                <w:sz w:val="18"/>
                <w:szCs w:val="18"/>
                <w:vertAlign w:val="baseline"/>
                <w:lang w:val="en-US" w:eastAsia="zh-CN"/>
              </w:rPr>
              <w:sym w:font="Wingdings" w:char="00A8"/>
            </w:r>
            <w:r>
              <w:rPr>
                <w:rFonts w:hint="eastAsia"/>
                <w:sz w:val="18"/>
                <w:szCs w:val="18"/>
                <w:vertAlign w:val="baseline"/>
                <w:lang w:val="en-US" w:eastAsia="zh-CN"/>
              </w:rPr>
              <w:t>AAA级</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与装配式建筑设计阶段预评价结论（含技术得分、装配率及装配式建筑评价等级）是否一致。</w:t>
            </w:r>
          </w:p>
        </w:tc>
        <w:tc>
          <w:tcPr>
            <w:tcW w:w="5513" w:type="dxa"/>
            <w:gridSpan w:val="4"/>
            <w:tcBorders>
              <w:tl2br w:val="nil"/>
              <w:tr2bl w:val="nil"/>
            </w:tcBorders>
            <w:noWrap w:val="0"/>
            <w:vAlign w:val="top"/>
          </w:tcPr>
          <w:p>
            <w:pPr>
              <w:rPr>
                <w:rFonts w:hint="eastAsia"/>
                <w:sz w:val="18"/>
                <w:szCs w:val="18"/>
                <w:vertAlign w:val="baseline"/>
                <w:lang w:val="en-US" w:eastAsia="zh-CN"/>
              </w:rPr>
            </w:pPr>
            <w:r>
              <w:rPr>
                <w:sz w:val="18"/>
                <w:szCs w:val="18"/>
                <w:vertAlign w:val="baseline"/>
              </w:rPr>
              <w:sym w:font="Wingdings" w:char="00A8"/>
            </w:r>
            <w:r>
              <w:rPr>
                <w:rFonts w:hint="eastAsia"/>
                <w:sz w:val="18"/>
                <w:szCs w:val="18"/>
                <w:vertAlign w:val="baseline"/>
                <w:lang w:val="en-US" w:eastAsia="zh-CN"/>
              </w:rPr>
              <w:t xml:space="preserve">是  </w:t>
            </w:r>
            <w:r>
              <w:rPr>
                <w:sz w:val="18"/>
                <w:szCs w:val="18"/>
                <w:vertAlign w:val="baseline"/>
              </w:rPr>
              <w:sym w:font="Wingdings" w:char="00A8"/>
            </w:r>
            <w:r>
              <w:rPr>
                <w:rFonts w:hint="eastAsia"/>
                <w:sz w:val="18"/>
                <w:szCs w:val="18"/>
                <w:vertAlign w:val="baseline"/>
                <w:lang w:val="en-US" w:eastAsia="zh-CN"/>
              </w:rPr>
              <w:t>否</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035" w:type="dxa"/>
            <w:gridSpan w:val="4"/>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建设单位（盖公章）：</w:t>
            </w: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default"/>
                <w:sz w:val="18"/>
                <w:szCs w:val="18"/>
                <w:vertAlign w:val="baseline"/>
                <w:lang w:val="en-US" w:eastAsia="zh-CN"/>
              </w:rPr>
            </w:pPr>
            <w:r>
              <w:rPr>
                <w:rFonts w:hint="eastAsia"/>
                <w:sz w:val="18"/>
                <w:szCs w:val="18"/>
                <w:vertAlign w:val="baseline"/>
                <w:lang w:val="en-US" w:eastAsia="zh-CN"/>
              </w:rPr>
              <w:t>负责人（签名）：</w:t>
            </w:r>
          </w:p>
        </w:tc>
        <w:tc>
          <w:tcPr>
            <w:tcW w:w="4546" w:type="dxa"/>
            <w:gridSpan w:val="5"/>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设计单位（盖公章）</w:t>
            </w: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default"/>
                <w:sz w:val="18"/>
                <w:szCs w:val="18"/>
                <w:vertAlign w:val="baseline"/>
                <w:lang w:val="en-US" w:eastAsia="zh-CN"/>
              </w:rPr>
            </w:pPr>
            <w:r>
              <w:rPr>
                <w:rFonts w:hint="eastAsia"/>
                <w:sz w:val="18"/>
                <w:szCs w:val="18"/>
                <w:vertAlign w:val="baseline"/>
                <w:lang w:val="en-US" w:eastAsia="zh-CN"/>
              </w:rPr>
              <w:t>负责人（签名）：</w:t>
            </w:r>
          </w:p>
        </w:tc>
        <w:tc>
          <w:tcPr>
            <w:tcW w:w="4873" w:type="dxa"/>
            <w:gridSpan w:val="4"/>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施工图审查机构（盖设计文件审查专用章）：</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设计单位自评价及其引用设计文件</w:t>
            </w:r>
            <w:r>
              <w:rPr>
                <w:rFonts w:hint="eastAsia" w:ascii="宋体" w:hAnsi="宋体" w:cs="宋体"/>
                <w:sz w:val="24"/>
                <w:szCs w:val="24"/>
                <w:vertAlign w:val="baseline"/>
                <w:lang w:val="en-US" w:eastAsia="zh-CN"/>
              </w:rPr>
              <w:t>正确无误</w:t>
            </w:r>
            <w:r>
              <w:rPr>
                <w:rFonts w:hint="eastAsia" w:ascii="宋体" w:hAnsi="宋体" w:eastAsia="宋体" w:cs="宋体"/>
                <w:sz w:val="24"/>
                <w:szCs w:val="24"/>
                <w:vertAlign w:val="baseline"/>
                <w:lang w:val="en-US" w:eastAsia="zh-CN"/>
              </w:rPr>
              <w:t>。</w:t>
            </w:r>
          </w:p>
          <w:p>
            <w:pPr>
              <w:spacing w:line="240" w:lineRule="auto"/>
              <w:ind w:firstLine="480" w:firstLineChars="200"/>
              <w:rPr>
                <w:rFonts w:hint="eastAsia"/>
                <w:sz w:val="18"/>
                <w:szCs w:val="18"/>
                <w:vertAlign w:val="baseline"/>
                <w:lang w:val="en-US" w:eastAsia="zh-CN"/>
              </w:rPr>
            </w:pPr>
            <w:r>
              <w:rPr>
                <w:rFonts w:hint="eastAsia" w:ascii="宋体" w:hAnsi="宋体" w:eastAsia="宋体" w:cs="宋体"/>
                <w:sz w:val="24"/>
                <w:szCs w:val="24"/>
                <w:lang w:val="en-US" w:eastAsia="zh-CN"/>
              </w:rPr>
              <w:t>本工程设计文件符合广东省《装配式建筑评价标准》装配率等装配式建筑相关要求。</w:t>
            </w:r>
          </w:p>
          <w:p>
            <w:pPr>
              <w:ind w:firstLine="360" w:firstLineChars="200"/>
              <w:rPr>
                <w:rFonts w:hint="default"/>
                <w:sz w:val="18"/>
                <w:szCs w:val="18"/>
                <w:vertAlign w:val="baseline"/>
                <w:lang w:val="en-US" w:eastAsia="zh-CN"/>
              </w:rPr>
            </w:pPr>
            <w:r>
              <w:rPr>
                <w:rFonts w:hint="eastAsia"/>
                <w:sz w:val="18"/>
                <w:szCs w:val="18"/>
                <w:vertAlign w:val="baseline"/>
                <w:lang w:val="en-US" w:eastAsia="zh-CN"/>
              </w:rPr>
              <w:t>装配式建筑审查负责人（签名）：</w:t>
            </w:r>
          </w:p>
        </w:tc>
      </w:tr>
    </w:tbl>
    <w:p>
      <w:pPr>
        <w:jc w:val="left"/>
        <w:rPr>
          <w:rFonts w:hint="eastAsia"/>
          <w:sz w:val="18"/>
          <w:szCs w:val="18"/>
          <w:lang w:val="en-US" w:eastAsia="zh-CN"/>
        </w:rPr>
      </w:pPr>
      <w:r>
        <w:rPr>
          <w:rFonts w:hint="eastAsia"/>
          <w:sz w:val="18"/>
          <w:szCs w:val="18"/>
          <w:lang w:val="en-US" w:eastAsia="zh-CN"/>
        </w:rPr>
        <w:t>注：</w:t>
      </w:r>
      <w:r>
        <w:rPr>
          <w:rFonts w:hint="eastAsia" w:eastAsia="Times New Roman"/>
          <w:sz w:val="18"/>
          <w:szCs w:val="18"/>
          <w:lang w:val="en-US" w:eastAsia="zh-CN"/>
        </w:rPr>
        <w:t>1</w:t>
      </w:r>
      <w:r>
        <w:rPr>
          <w:rFonts w:hint="eastAsia"/>
          <w:sz w:val="18"/>
          <w:szCs w:val="18"/>
          <w:lang w:val="en-US" w:eastAsia="zh-CN"/>
        </w:rPr>
        <w:t>.插值计算得分时，计算结果取小数点后</w:t>
      </w:r>
      <w:r>
        <w:rPr>
          <w:rFonts w:hint="eastAsia" w:eastAsia="Times New Roman"/>
          <w:sz w:val="18"/>
          <w:szCs w:val="18"/>
          <w:lang w:val="en-US" w:eastAsia="zh-CN"/>
        </w:rPr>
        <w:t>1</w:t>
      </w:r>
      <w:r>
        <w:rPr>
          <w:rFonts w:hint="eastAsia"/>
          <w:sz w:val="18"/>
          <w:szCs w:val="18"/>
          <w:lang w:val="en-US" w:eastAsia="zh-CN"/>
        </w:rPr>
        <w:t>位。</w:t>
      </w:r>
    </w:p>
    <w:p>
      <w:pPr>
        <w:numPr>
          <w:ilvl w:val="0"/>
          <w:numId w:val="0"/>
        </w:numPr>
        <w:ind w:left="360" w:leftChars="0"/>
        <w:jc w:val="left"/>
        <w:rPr>
          <w:rFonts w:hint="eastAsia"/>
          <w:sz w:val="18"/>
          <w:szCs w:val="18"/>
          <w:lang w:val="en-US" w:eastAsia="zh-CN"/>
        </w:rPr>
      </w:pPr>
      <w:r>
        <w:rPr>
          <w:rFonts w:hint="eastAsia" w:eastAsia="Times New Roman"/>
          <w:sz w:val="18"/>
          <w:szCs w:val="18"/>
          <w:lang w:val="en-US" w:eastAsia="zh-CN"/>
        </w:rPr>
        <w:t>2</w:t>
      </w:r>
      <w:r>
        <w:rPr>
          <w:rFonts w:hint="eastAsia"/>
          <w:sz w:val="18"/>
          <w:szCs w:val="18"/>
          <w:lang w:val="en-US" w:eastAsia="zh-CN"/>
        </w:rPr>
        <w:t>.Q</w:t>
      </w:r>
      <w:r>
        <w:rPr>
          <w:rFonts w:hint="eastAsia" w:eastAsia="Times New Roman"/>
          <w:sz w:val="18"/>
          <w:szCs w:val="18"/>
          <w:vertAlign w:val="subscript"/>
          <w:lang w:val="en-US" w:eastAsia="zh-CN"/>
        </w:rPr>
        <w:t>51</w:t>
      </w:r>
      <w:r>
        <w:rPr>
          <w:rFonts w:hint="eastAsia"/>
          <w:sz w:val="18"/>
          <w:szCs w:val="18"/>
          <w:lang w:val="en-US" w:eastAsia="zh-CN"/>
        </w:rPr>
        <w:t>合计得分如大于</w:t>
      </w:r>
      <w:r>
        <w:rPr>
          <w:rFonts w:hint="eastAsia" w:eastAsia="Times New Roman"/>
          <w:sz w:val="18"/>
          <w:szCs w:val="18"/>
          <w:lang w:val="en-US" w:eastAsia="zh-CN"/>
        </w:rPr>
        <w:t>10</w:t>
      </w:r>
      <w:r>
        <w:rPr>
          <w:rFonts w:hint="eastAsia"/>
          <w:sz w:val="18"/>
          <w:szCs w:val="18"/>
          <w:lang w:val="en-US" w:eastAsia="zh-CN"/>
        </w:rPr>
        <w:t>分，按</w:t>
      </w:r>
      <w:r>
        <w:rPr>
          <w:rFonts w:hint="eastAsia" w:eastAsia="Times New Roman"/>
          <w:sz w:val="18"/>
          <w:szCs w:val="18"/>
          <w:lang w:val="en-US" w:eastAsia="zh-CN"/>
        </w:rPr>
        <w:t>10</w:t>
      </w:r>
      <w:r>
        <w:rPr>
          <w:rFonts w:hint="eastAsia"/>
          <w:sz w:val="18"/>
          <w:szCs w:val="18"/>
          <w:lang w:val="en-US" w:eastAsia="zh-CN"/>
        </w:rPr>
        <w:t>分计算，Q</w:t>
      </w:r>
      <w:r>
        <w:rPr>
          <w:rFonts w:hint="eastAsia" w:eastAsia="Times New Roman"/>
          <w:sz w:val="18"/>
          <w:szCs w:val="18"/>
          <w:vertAlign w:val="subscript"/>
          <w:lang w:val="en-US" w:eastAsia="zh-CN"/>
        </w:rPr>
        <w:t>51</w:t>
      </w:r>
      <w:r>
        <w:rPr>
          <w:rFonts w:hint="eastAsia"/>
          <w:sz w:val="18"/>
          <w:szCs w:val="18"/>
          <w:vertAlign w:val="subscript"/>
          <w:lang w:val="en-US" w:eastAsia="zh-CN"/>
        </w:rPr>
        <w:t>a</w:t>
      </w:r>
      <w:r>
        <w:rPr>
          <w:rFonts w:hint="eastAsia"/>
          <w:sz w:val="18"/>
          <w:szCs w:val="18"/>
          <w:lang w:val="en-US" w:eastAsia="zh-CN"/>
        </w:rPr>
        <w:t>不应与Q</w:t>
      </w:r>
      <w:r>
        <w:rPr>
          <w:rFonts w:hint="eastAsia" w:eastAsia="Times New Roman"/>
          <w:sz w:val="18"/>
          <w:szCs w:val="18"/>
          <w:vertAlign w:val="subscript"/>
          <w:lang w:val="en-US" w:eastAsia="zh-CN"/>
        </w:rPr>
        <w:t>1</w:t>
      </w:r>
      <w:r>
        <w:rPr>
          <w:rFonts w:hint="eastAsia"/>
          <w:sz w:val="18"/>
          <w:szCs w:val="18"/>
          <w:vertAlign w:val="subscript"/>
          <w:lang w:val="en-US" w:eastAsia="zh-CN"/>
        </w:rPr>
        <w:t>a</w:t>
      </w:r>
      <w:r>
        <w:rPr>
          <w:rFonts w:hint="eastAsia"/>
          <w:sz w:val="18"/>
          <w:szCs w:val="18"/>
          <w:lang w:val="en-US" w:eastAsia="zh-CN"/>
        </w:rPr>
        <w:t>同时得分，Q</w:t>
      </w:r>
      <w:r>
        <w:rPr>
          <w:rFonts w:hint="eastAsia" w:eastAsia="Times New Roman"/>
          <w:sz w:val="18"/>
          <w:szCs w:val="18"/>
          <w:vertAlign w:val="subscript"/>
          <w:lang w:val="en-US" w:eastAsia="zh-CN"/>
        </w:rPr>
        <w:t>1</w:t>
      </w:r>
      <w:r>
        <w:rPr>
          <w:rFonts w:hint="eastAsia"/>
          <w:sz w:val="18"/>
          <w:szCs w:val="18"/>
          <w:lang w:val="en-US" w:eastAsia="zh-CN"/>
        </w:rPr>
        <w:t>最低得分可包含Q</w:t>
      </w:r>
      <w:r>
        <w:rPr>
          <w:rFonts w:hint="eastAsia" w:eastAsia="Times New Roman"/>
          <w:sz w:val="18"/>
          <w:szCs w:val="18"/>
          <w:vertAlign w:val="subscript"/>
          <w:lang w:val="en-US" w:eastAsia="zh-CN"/>
        </w:rPr>
        <w:t>51</w:t>
      </w:r>
      <w:r>
        <w:rPr>
          <w:rFonts w:hint="eastAsia"/>
          <w:sz w:val="18"/>
          <w:szCs w:val="18"/>
          <w:lang w:val="en-US" w:eastAsia="zh-CN"/>
        </w:rPr>
        <w:t>得分，Q</w:t>
      </w:r>
      <w:r>
        <w:rPr>
          <w:rFonts w:hint="eastAsia" w:eastAsia="Times New Roman"/>
          <w:sz w:val="18"/>
          <w:szCs w:val="18"/>
          <w:vertAlign w:val="subscript"/>
          <w:lang w:val="en-US" w:eastAsia="zh-CN"/>
        </w:rPr>
        <w:t>1</w:t>
      </w:r>
      <w:r>
        <w:rPr>
          <w:rFonts w:hint="eastAsia"/>
          <w:sz w:val="18"/>
          <w:szCs w:val="18"/>
          <w:lang w:val="en-US" w:eastAsia="zh-CN"/>
        </w:rPr>
        <w:t>与Q</w:t>
      </w:r>
      <w:r>
        <w:rPr>
          <w:rFonts w:hint="eastAsia" w:eastAsia="Times New Roman"/>
          <w:sz w:val="18"/>
          <w:szCs w:val="18"/>
          <w:vertAlign w:val="subscript"/>
          <w:lang w:val="en-US" w:eastAsia="zh-CN"/>
        </w:rPr>
        <w:t>51</w:t>
      </w:r>
      <w:r>
        <w:rPr>
          <w:rFonts w:hint="eastAsia"/>
          <w:sz w:val="18"/>
          <w:szCs w:val="18"/>
          <w:lang w:val="en-US" w:eastAsia="zh-CN"/>
        </w:rPr>
        <w:t>合计得分不应大于</w:t>
      </w:r>
      <w:r>
        <w:rPr>
          <w:rFonts w:hint="eastAsia" w:eastAsia="Times New Roman"/>
          <w:sz w:val="18"/>
          <w:szCs w:val="18"/>
          <w:lang w:val="en-US" w:eastAsia="zh-CN"/>
        </w:rPr>
        <w:t>50</w:t>
      </w:r>
      <w:r>
        <w:rPr>
          <w:rFonts w:hint="eastAsia"/>
          <w:sz w:val="18"/>
          <w:szCs w:val="18"/>
          <w:lang w:val="en-US" w:eastAsia="zh-CN"/>
        </w:rPr>
        <w:t>分；Q</w:t>
      </w:r>
      <w:r>
        <w:rPr>
          <w:rFonts w:hint="eastAsia" w:eastAsia="Times New Roman"/>
          <w:sz w:val="18"/>
          <w:szCs w:val="18"/>
          <w:vertAlign w:val="subscript"/>
          <w:lang w:val="en-US" w:eastAsia="zh-CN"/>
        </w:rPr>
        <w:t>52</w:t>
      </w:r>
      <w:r>
        <w:rPr>
          <w:rFonts w:hint="eastAsia"/>
          <w:sz w:val="18"/>
          <w:szCs w:val="18"/>
          <w:lang w:val="en-US" w:eastAsia="zh-CN"/>
        </w:rPr>
        <w:t>不应与Q</w:t>
      </w:r>
      <w:r>
        <w:rPr>
          <w:rFonts w:hint="eastAsia" w:eastAsia="Times New Roman"/>
          <w:sz w:val="18"/>
          <w:szCs w:val="18"/>
          <w:vertAlign w:val="subscript"/>
          <w:lang w:val="en-US" w:eastAsia="zh-CN"/>
        </w:rPr>
        <w:t>2</w:t>
      </w:r>
      <w:r>
        <w:rPr>
          <w:rFonts w:hint="eastAsia"/>
          <w:sz w:val="18"/>
          <w:szCs w:val="18"/>
          <w:vertAlign w:val="subscript"/>
          <w:lang w:val="en-US" w:eastAsia="zh-CN"/>
        </w:rPr>
        <w:t>b</w:t>
      </w:r>
      <w:r>
        <w:rPr>
          <w:rFonts w:hint="eastAsia"/>
          <w:sz w:val="18"/>
          <w:szCs w:val="18"/>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d</w:t>
      </w:r>
      <w:r>
        <w:rPr>
          <w:rFonts w:hint="eastAsia"/>
          <w:sz w:val="18"/>
          <w:szCs w:val="18"/>
          <w:lang w:val="en-US" w:eastAsia="zh-CN"/>
        </w:rPr>
        <w:t>同时得分，Q</w:t>
      </w:r>
      <w:r>
        <w:rPr>
          <w:rFonts w:hint="eastAsia" w:eastAsia="Times New Roman"/>
          <w:sz w:val="18"/>
          <w:szCs w:val="18"/>
          <w:vertAlign w:val="subscript"/>
          <w:lang w:val="en-US" w:eastAsia="zh-CN"/>
        </w:rPr>
        <w:t>2</w:t>
      </w:r>
      <w:r>
        <w:rPr>
          <w:rFonts w:hint="eastAsia"/>
          <w:sz w:val="18"/>
          <w:szCs w:val="18"/>
          <w:lang w:val="en-US" w:eastAsia="zh-CN"/>
        </w:rPr>
        <w:t>最低得分可包含Q</w:t>
      </w:r>
      <w:r>
        <w:rPr>
          <w:rFonts w:hint="eastAsia" w:eastAsia="Times New Roman"/>
          <w:sz w:val="18"/>
          <w:szCs w:val="18"/>
          <w:vertAlign w:val="subscript"/>
          <w:lang w:val="en-US" w:eastAsia="zh-CN"/>
        </w:rPr>
        <w:t>52</w:t>
      </w:r>
      <w:r>
        <w:rPr>
          <w:rFonts w:hint="eastAsia"/>
          <w:sz w:val="18"/>
          <w:szCs w:val="18"/>
          <w:lang w:val="en-US" w:eastAsia="zh-CN"/>
        </w:rPr>
        <w:t>得分；Q</w:t>
      </w:r>
      <w:r>
        <w:rPr>
          <w:rFonts w:hint="eastAsia" w:eastAsia="Times New Roman"/>
          <w:sz w:val="18"/>
          <w:szCs w:val="18"/>
          <w:vertAlign w:val="subscript"/>
          <w:lang w:val="en-US" w:eastAsia="zh-CN"/>
        </w:rPr>
        <w:t>53</w:t>
      </w:r>
      <w:r>
        <w:rPr>
          <w:rFonts w:hint="eastAsia"/>
          <w:sz w:val="18"/>
          <w:szCs w:val="18"/>
          <w:lang w:val="en-US" w:eastAsia="zh-CN"/>
        </w:rPr>
        <w:t>不应与Q</w:t>
      </w:r>
      <w:r>
        <w:rPr>
          <w:rFonts w:hint="eastAsia" w:eastAsia="Times New Roman"/>
          <w:sz w:val="18"/>
          <w:szCs w:val="18"/>
          <w:vertAlign w:val="subscript"/>
          <w:lang w:val="en-US" w:eastAsia="zh-CN"/>
        </w:rPr>
        <w:t>3</w:t>
      </w:r>
      <w:r>
        <w:rPr>
          <w:rFonts w:hint="eastAsia"/>
          <w:sz w:val="18"/>
          <w:szCs w:val="18"/>
          <w:vertAlign w:val="subscript"/>
          <w:lang w:val="en-US" w:eastAsia="zh-CN"/>
        </w:rPr>
        <w:t>b</w:t>
      </w:r>
      <w:r>
        <w:rPr>
          <w:rFonts w:hint="eastAsia"/>
          <w:sz w:val="18"/>
          <w:szCs w:val="18"/>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c</w:t>
      </w:r>
      <w:r>
        <w:rPr>
          <w:rFonts w:hint="eastAsia"/>
          <w:sz w:val="18"/>
          <w:szCs w:val="18"/>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d</w:t>
      </w:r>
      <w:r>
        <w:rPr>
          <w:rFonts w:hint="eastAsia"/>
          <w:sz w:val="18"/>
          <w:szCs w:val="18"/>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e</w:t>
      </w:r>
      <w:r>
        <w:rPr>
          <w:rFonts w:hint="eastAsia"/>
          <w:sz w:val="18"/>
          <w:szCs w:val="18"/>
          <w:lang w:val="en-US" w:eastAsia="zh-CN"/>
        </w:rPr>
        <w:t>同时得分。</w:t>
      </w:r>
    </w:p>
    <w:p>
      <w:pPr>
        <w:numPr>
          <w:ilvl w:val="0"/>
          <w:numId w:val="0"/>
        </w:numPr>
        <w:ind w:left="360" w:leftChars="0"/>
        <w:jc w:val="left"/>
        <w:rPr>
          <w:rFonts w:hint="default"/>
          <w:sz w:val="18"/>
          <w:szCs w:val="18"/>
          <w:lang w:val="en-US" w:eastAsia="zh-CN"/>
        </w:rPr>
      </w:pPr>
      <w:r>
        <w:rPr>
          <w:rFonts w:hint="eastAsia" w:eastAsia="Times New Roman"/>
          <w:sz w:val="18"/>
          <w:szCs w:val="18"/>
          <w:lang w:val="en-US" w:eastAsia="zh-CN"/>
        </w:rPr>
        <w:t>3</w:t>
      </w:r>
      <w:r>
        <w:rPr>
          <w:rFonts w:hint="eastAsia"/>
          <w:sz w:val="18"/>
          <w:szCs w:val="18"/>
          <w:lang w:val="en-US" w:eastAsia="zh-CN"/>
        </w:rPr>
        <w:t>.单元式幕墙满足保温、隔热节能指标时，可参照Q</w:t>
      </w:r>
      <w:r>
        <w:rPr>
          <w:rFonts w:hint="eastAsia" w:eastAsia="Times New Roman"/>
          <w:sz w:val="18"/>
          <w:szCs w:val="18"/>
          <w:vertAlign w:val="subscript"/>
          <w:lang w:val="en-US" w:eastAsia="zh-CN"/>
        </w:rPr>
        <w:t>2</w:t>
      </w:r>
      <w:r>
        <w:rPr>
          <w:rFonts w:hint="eastAsia"/>
          <w:sz w:val="18"/>
          <w:szCs w:val="18"/>
          <w:vertAlign w:val="subscript"/>
          <w:lang w:val="en-US" w:eastAsia="zh-CN"/>
        </w:rPr>
        <w:t>b</w:t>
      </w:r>
      <w:r>
        <w:rPr>
          <w:rFonts w:hint="eastAsia"/>
          <w:sz w:val="18"/>
          <w:szCs w:val="18"/>
          <w:lang w:val="en-US" w:eastAsia="zh-CN"/>
        </w:rPr>
        <w:t>进行。</w:t>
      </w:r>
    </w:p>
    <w:p>
      <w:pPr>
        <w:ind w:firstLine="360"/>
        <w:jc w:val="left"/>
        <w:rPr>
          <w:rFonts w:hint="eastAsia"/>
          <w:sz w:val="18"/>
          <w:szCs w:val="18"/>
          <w:vertAlign w:val="baseline"/>
          <w:lang w:val="en-US" w:eastAsia="zh-CN"/>
        </w:rPr>
      </w:pPr>
      <w:r>
        <w:rPr>
          <w:rFonts w:hint="eastAsia" w:eastAsia="Times New Roman"/>
          <w:sz w:val="18"/>
          <w:szCs w:val="18"/>
          <w:lang w:val="en-US" w:eastAsia="zh-CN"/>
        </w:rPr>
        <w:t>4</w:t>
      </w:r>
      <w:r>
        <w:rPr>
          <w:rFonts w:hint="eastAsia"/>
          <w:sz w:val="18"/>
          <w:szCs w:val="18"/>
          <w:lang w:val="en-US" w:eastAsia="zh-CN"/>
        </w:rPr>
        <w:t>.当设计自评为</w:t>
      </w:r>
      <w:r>
        <w:rPr>
          <w:rFonts w:hint="eastAsia" w:eastAsia="Times New Roman"/>
          <w:sz w:val="18"/>
          <w:szCs w:val="18"/>
          <w:lang w:val="en-US" w:eastAsia="zh-CN"/>
        </w:rPr>
        <w:t>0</w:t>
      </w:r>
      <w:r>
        <w:rPr>
          <w:rFonts w:hint="eastAsia"/>
          <w:sz w:val="18"/>
          <w:szCs w:val="18"/>
          <w:lang w:val="en-US" w:eastAsia="zh-CN"/>
        </w:rPr>
        <w:t>分时，</w:t>
      </w:r>
      <w:r>
        <w:rPr>
          <w:rFonts w:hint="eastAsia"/>
          <w:sz w:val="18"/>
          <w:szCs w:val="18"/>
          <w:u w:val="none"/>
          <w:vertAlign w:val="baseline"/>
          <w:lang w:val="en-US" w:eastAsia="zh-CN"/>
        </w:rPr>
        <w:t>施工图自评说明及</w:t>
      </w:r>
      <w:r>
        <w:rPr>
          <w:rFonts w:hint="eastAsia"/>
          <w:sz w:val="18"/>
          <w:szCs w:val="18"/>
          <w:vertAlign w:val="baseline"/>
          <w:lang w:val="en-US" w:eastAsia="zh-CN"/>
        </w:rPr>
        <w:t>资料索引项不需作答。</w:t>
      </w:r>
    </w:p>
    <w:p>
      <w:pPr>
        <w:ind w:firstLine="180" w:firstLineChars="100"/>
        <w:jc w:val="left"/>
        <w:rPr>
          <w:rFonts w:hint="eastAsia" w:ascii="宋体" w:hAnsi="宋体"/>
          <w:b/>
          <w:bCs/>
          <w:sz w:val="32"/>
          <w:szCs w:val="32"/>
          <w:lang w:val="en-US" w:eastAsia="zh-CN"/>
        </w:rPr>
        <w:sectPr>
          <w:pgSz w:w="16838" w:h="11906" w:orient="landscape"/>
          <w:pgMar w:top="1587" w:right="2098" w:bottom="1499" w:left="2098" w:header="851" w:footer="992" w:gutter="0"/>
          <w:paperSrc/>
          <w:pgBorders>
            <w:top w:val="none" w:sz="0" w:space="0"/>
            <w:left w:val="none" w:sz="0" w:space="0"/>
            <w:bottom w:val="none" w:sz="0" w:space="0"/>
            <w:right w:val="none" w:sz="0" w:space="0"/>
          </w:pgBorders>
          <w:pgNumType w:fmt="decimal"/>
          <w:cols w:space="720" w:num="1"/>
          <w:rtlGutter w:val="0"/>
          <w:docGrid w:type="lines" w:linePitch="323" w:charSpace="0"/>
        </w:sectPr>
      </w:pPr>
      <w:r>
        <w:rPr>
          <w:rFonts w:hint="eastAsia" w:eastAsia="Times New Roman"/>
          <w:sz w:val="18"/>
          <w:szCs w:val="18"/>
          <w:vertAlign w:val="baseline"/>
          <w:lang w:val="en-US" w:eastAsia="zh-CN"/>
        </w:rPr>
        <w:t>5</w:t>
      </w:r>
      <w:r>
        <w:rPr>
          <w:rFonts w:hint="eastAsia"/>
          <w:sz w:val="18"/>
          <w:szCs w:val="18"/>
          <w:vertAlign w:val="baseline"/>
          <w:lang w:val="en-US" w:eastAsia="zh-CN"/>
        </w:rPr>
        <w:t>.如某技术项为缺少项时，对应自评等分项填写“不参评”。</w:t>
      </w:r>
    </w:p>
    <w:p>
      <w:pPr>
        <w:pStyle w:val="3"/>
        <w:spacing w:before="0" w:after="0" w:line="360" w:lineRule="auto"/>
        <w:rPr>
          <w:rFonts w:hint="eastAsia" w:ascii="宋体" w:hAnsi="宋体"/>
          <w:b/>
          <w:bCs/>
          <w:sz w:val="44"/>
          <w:szCs w:val="44"/>
          <w:lang w:val="en-US" w:eastAsia="zh-CN"/>
        </w:rPr>
      </w:pPr>
      <w:bookmarkStart w:id="516" w:name="_Toc15774"/>
      <w:bookmarkStart w:id="517" w:name="_Toc11652"/>
      <w:bookmarkStart w:id="518" w:name="_Toc16317"/>
      <w:bookmarkStart w:id="519" w:name="_Toc7255"/>
      <w:bookmarkStart w:id="520" w:name="_Toc14206"/>
      <w:bookmarkStart w:id="521" w:name="_Toc30116"/>
      <w:bookmarkStart w:id="522" w:name="_Toc24600"/>
      <w:bookmarkStart w:id="523" w:name="_Toc22179"/>
      <w:bookmarkStart w:id="524" w:name="_Toc13591"/>
      <w:bookmarkStart w:id="525" w:name="_Toc27804"/>
      <w:bookmarkStart w:id="526" w:name="_Toc8810"/>
      <w:bookmarkStart w:id="527" w:name="_Toc18871"/>
      <w:bookmarkStart w:id="528" w:name="_Toc2354"/>
      <w:r>
        <w:rPr>
          <w:rFonts w:hint="default" w:ascii="Times New Roman" w:hAnsi="Times New Roman" w:eastAsia="Times New Roman"/>
          <w:b/>
          <w:bCs/>
          <w:sz w:val="32"/>
          <w:szCs w:val="24"/>
          <w:lang w:val="en-US" w:eastAsia="zh-CN"/>
        </w:rPr>
        <w:t>6</w:t>
      </w:r>
      <w:r>
        <w:rPr>
          <w:rFonts w:hint="default" w:ascii="Times New Roman" w:hAnsi="Times New Roman"/>
          <w:b/>
          <w:bCs/>
          <w:sz w:val="32"/>
          <w:szCs w:val="24"/>
          <w:lang w:val="en-US" w:eastAsia="zh-CN"/>
        </w:rPr>
        <w:t xml:space="preserve"> </w:t>
      </w:r>
      <w:r>
        <w:rPr>
          <w:rFonts w:hint="eastAsia"/>
          <w:bCs/>
          <w:lang w:val="en-US" w:eastAsia="zh-CN"/>
        </w:rPr>
        <w:t xml:space="preserve"> </w:t>
      </w:r>
      <w:r>
        <w:rPr>
          <w:rFonts w:hint="default" w:ascii="Times New Roman" w:hAnsi="Times New Roman"/>
          <w:b/>
          <w:bCs/>
          <w:sz w:val="32"/>
          <w:szCs w:val="24"/>
        </w:rPr>
        <w:t>装配式建筑评分</w:t>
      </w:r>
      <w:r>
        <w:rPr>
          <w:rFonts w:hint="default" w:ascii="Times New Roman" w:hAnsi="Times New Roman"/>
          <w:b/>
          <w:bCs/>
          <w:sz w:val="32"/>
          <w:szCs w:val="24"/>
          <w:lang w:val="en-US" w:eastAsia="zh-CN"/>
        </w:rPr>
        <w:t>细则</w:t>
      </w:r>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600" w:lineRule="exact"/>
        <w:rPr>
          <w:rFonts w:hint="eastAsia" w:ascii="宋体" w:hAnsi="宋体" w:eastAsia="宋体" w:cs="宋体"/>
          <w:b/>
          <w:bCs/>
          <w:sz w:val="28"/>
          <w:szCs w:val="28"/>
          <w:lang w:eastAsia="zh-CN"/>
        </w:rPr>
      </w:pPr>
      <w:r>
        <w:rPr>
          <w:rFonts w:hint="default" w:ascii="Times New Roman" w:hAnsi="Times New Roman" w:eastAsia="Times New Roman" w:cs="Times New Roman"/>
          <w:b/>
          <w:bCs/>
          <w:sz w:val="30"/>
          <w:szCs w:val="30"/>
          <w:lang w:val="en-US" w:eastAsia="zh-CN"/>
        </w:rPr>
        <w:t>1</w:t>
      </w:r>
      <w:r>
        <w:rPr>
          <w:rFonts w:hint="eastAsia" w:ascii="宋体" w:hAnsi="宋体" w:eastAsia="宋体" w:cs="宋体"/>
          <w:b/>
          <w:bCs/>
          <w:sz w:val="30"/>
          <w:szCs w:val="30"/>
          <w:lang w:val="en-US" w:eastAsia="zh-CN"/>
        </w:rPr>
        <w:t xml:space="preserve"> </w:t>
      </w: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val="en-US" w:eastAsia="zh-CN"/>
        </w:rPr>
        <w:t>Q</w:t>
      </w:r>
      <w:r>
        <w:rPr>
          <w:rFonts w:hint="eastAsia" w:ascii="宋体" w:hAnsi="宋体" w:eastAsia="Times New Roman" w:cs="宋体"/>
          <w:b/>
          <w:bCs/>
          <w:sz w:val="30"/>
          <w:szCs w:val="30"/>
          <w:vertAlign w:val="subscript"/>
          <w:lang w:val="en-US" w:eastAsia="zh-CN"/>
        </w:rPr>
        <w:t>1</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主体结构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总分</w:t>
      </w:r>
      <w:r>
        <w:rPr>
          <w:rFonts w:hint="eastAsia" w:ascii="宋体" w:hAnsi="宋体" w:eastAsia="Times New Roman" w:cs="宋体"/>
          <w:b w:val="0"/>
          <w:bCs w:val="0"/>
          <w:sz w:val="21"/>
          <w:szCs w:val="21"/>
          <w:lang w:val="en-US" w:eastAsia="zh-CN"/>
        </w:rPr>
        <w:t>50</w:t>
      </w:r>
      <w:r>
        <w:rPr>
          <w:rFonts w:hint="eastAsia" w:ascii="宋体" w:hAnsi="宋体" w:eastAsia="宋体" w:cs="宋体"/>
          <w:b w:val="0"/>
          <w:bCs w:val="0"/>
          <w:sz w:val="21"/>
          <w:szCs w:val="21"/>
          <w:lang w:val="en-US" w:eastAsia="zh-CN"/>
        </w:rPr>
        <w:t>分，最低分值</w:t>
      </w:r>
      <w:r>
        <w:rPr>
          <w:rFonts w:hint="eastAsia" w:ascii="宋体" w:hAnsi="宋体" w:eastAsia="Times New Roman" w:cs="宋体"/>
          <w:b w:val="0"/>
          <w:bCs w:val="0"/>
          <w:sz w:val="21"/>
          <w:szCs w:val="21"/>
          <w:lang w:val="en-US" w:eastAsia="zh-CN"/>
        </w:rPr>
        <w:t>20</w:t>
      </w:r>
      <w:r>
        <w:rPr>
          <w:rFonts w:hint="eastAsia" w:ascii="宋体" w:hAnsi="宋体" w:eastAsia="宋体" w:cs="宋体"/>
          <w:b w:val="0"/>
          <w:bCs w:val="0"/>
          <w:sz w:val="21"/>
          <w:szCs w:val="21"/>
          <w:lang w:val="en-US" w:eastAsia="zh-CN"/>
        </w:rPr>
        <w:t>分</w:t>
      </w:r>
      <w:r>
        <w:rPr>
          <w:rFonts w:hint="eastAsia" w:ascii="宋体" w:hAnsi="宋体" w:eastAsia="宋体" w:cs="宋体"/>
          <w:b w:val="0"/>
          <w:bCs w:val="0"/>
          <w:sz w:val="21"/>
          <w:szCs w:val="21"/>
          <w:lang w:eastAsia="zh-CN"/>
        </w:rPr>
        <w:t>）</w:t>
      </w:r>
    </w:p>
    <w:p>
      <w:pPr>
        <w:spacing w:line="600" w:lineRule="exact"/>
        <w:rPr>
          <w:rFonts w:hint="eastAsia" w:ascii="宋体" w:hAnsi="宋体" w:eastAsia="宋体" w:cs="宋体"/>
          <w:b/>
          <w:bCs/>
          <w:sz w:val="28"/>
          <w:szCs w:val="28"/>
        </w:rPr>
      </w:pPr>
      <w:r>
        <w:rPr>
          <w:rFonts w:hint="default" w:ascii="Times New Roman" w:hAnsi="Times New Roman" w:eastAsia="Times New Roman" w:cs="Times New Roman"/>
          <w:b/>
          <w:bCs/>
          <w:sz w:val="28"/>
          <w:szCs w:val="28"/>
          <w:lang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Q</w:t>
      </w:r>
      <w:r>
        <w:rPr>
          <w:rFonts w:hint="eastAsia" w:ascii="宋体" w:hAnsi="宋体" w:eastAsia="Times New Roman" w:cs="宋体"/>
          <w:b/>
          <w:bCs/>
          <w:sz w:val="28"/>
          <w:szCs w:val="28"/>
          <w:vertAlign w:val="subscript"/>
          <w:lang w:val="en-US" w:eastAsia="zh-CN"/>
        </w:rPr>
        <w:t>1</w:t>
      </w:r>
      <w:r>
        <w:rPr>
          <w:rFonts w:hint="eastAsia" w:ascii="宋体" w:hAnsi="宋体" w:eastAsia="宋体" w:cs="宋体"/>
          <w:b/>
          <w:bCs/>
          <w:sz w:val="28"/>
          <w:szCs w:val="28"/>
          <w:vertAlign w:val="subscript"/>
          <w:lang w:val="en-US" w:eastAsia="zh-CN"/>
        </w:rPr>
        <w:t>a</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竖向构件</w:t>
      </w:r>
      <w:r>
        <w:rPr>
          <w:rFonts w:hint="eastAsia" w:ascii="宋体" w:hAnsi="宋体" w:eastAsia="宋体" w:cs="宋体"/>
          <w:b w:val="0"/>
          <w:bCs w:val="0"/>
          <w:sz w:val="21"/>
          <w:szCs w:val="21"/>
        </w:rPr>
        <w:t>（</w:t>
      </w:r>
      <w:r>
        <w:rPr>
          <w:rFonts w:hint="eastAsia" w:ascii="宋体" w:hAnsi="宋体" w:eastAsia="Times New Roman" w:cs="宋体"/>
          <w:b w:val="0"/>
          <w:bCs w:val="0"/>
          <w:sz w:val="21"/>
          <w:szCs w:val="21"/>
          <w:lang w:val="en-US" w:eastAsia="zh-CN"/>
        </w:rPr>
        <w:t>2</w:t>
      </w:r>
      <w:r>
        <w:rPr>
          <w:rFonts w:hint="eastAsia" w:ascii="宋体" w:hAnsi="宋体" w:eastAsia="Times New Roman" w:cs="宋体"/>
          <w:b w:val="0"/>
          <w:bCs w:val="0"/>
          <w:sz w:val="21"/>
          <w:szCs w:val="21"/>
        </w:rPr>
        <w:t>0</w:t>
      </w:r>
      <w:r>
        <w:rPr>
          <w:rFonts w:hint="eastAsia" w:ascii="宋体" w:hAnsi="宋体" w:eastAsia="宋体" w:cs="宋体"/>
          <w:b w:val="0"/>
          <w:bCs w:val="0"/>
          <w:sz w:val="21"/>
          <w:szCs w:val="21"/>
          <w:lang w:val="en-US" w:eastAsia="zh-CN"/>
        </w:rPr>
        <w:t>分</w:t>
      </w:r>
      <w:r>
        <w:rPr>
          <w:rFonts w:hint="eastAsia" w:ascii="宋体" w:hAnsi="宋体" w:eastAsia="宋体" w:cs="宋体"/>
          <w:b w:val="0"/>
          <w:bCs w:val="0"/>
          <w:sz w:val="21"/>
          <w:szCs w:val="21"/>
        </w:rPr>
        <w:t>～</w:t>
      </w:r>
      <w:r>
        <w:rPr>
          <w:rFonts w:hint="eastAsia" w:ascii="宋体" w:hAnsi="宋体" w:eastAsia="Times New Roman" w:cs="宋体"/>
          <w:b w:val="0"/>
          <w:bCs w:val="0"/>
          <w:sz w:val="21"/>
          <w:szCs w:val="21"/>
          <w:lang w:val="en-US" w:eastAsia="zh-CN"/>
        </w:rPr>
        <w:t>3</w:t>
      </w:r>
      <w:r>
        <w:rPr>
          <w:rFonts w:hint="eastAsia" w:ascii="宋体" w:hAnsi="宋体" w:eastAsia="Times New Roman" w:cs="宋体"/>
          <w:b w:val="0"/>
          <w:bCs w:val="0"/>
          <w:sz w:val="21"/>
          <w:szCs w:val="21"/>
        </w:rPr>
        <w:t>0</w:t>
      </w:r>
      <w:r>
        <w:rPr>
          <w:rFonts w:hint="eastAsia" w:ascii="宋体" w:hAnsi="宋体" w:eastAsia="宋体" w:cs="宋体"/>
          <w:b w:val="0"/>
          <w:bCs w:val="0"/>
          <w:sz w:val="21"/>
          <w:szCs w:val="21"/>
        </w:rPr>
        <w:t>分</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评价要求：</w:t>
      </w:r>
      <w:r>
        <w:rPr>
          <w:rFonts w:hint="eastAsia" w:ascii="宋体" w:hAnsi="宋体" w:eastAsia="Times New Roman" w:cs="宋体"/>
          <w:b w:val="0"/>
          <w:bCs/>
          <w:sz w:val="21"/>
          <w:szCs w:val="21"/>
          <w:u w:val="none"/>
          <w:lang w:val="en-US" w:eastAsia="zh-CN"/>
        </w:rPr>
        <w:t>35</w:t>
      </w:r>
      <w:r>
        <w:rPr>
          <w:rFonts w:hint="eastAsia" w:ascii="宋体" w:hAnsi="宋体" w:eastAsia="宋体" w:cs="宋体"/>
          <w:b w:val="0"/>
          <w:bCs/>
          <w:sz w:val="21"/>
          <w:szCs w:val="21"/>
          <w:u w:val="none"/>
          <w:lang w:val="en-US" w:eastAsia="zh-CN"/>
        </w:rPr>
        <w:t>%≤比例≤</w:t>
      </w:r>
      <w:r>
        <w:rPr>
          <w:rFonts w:hint="eastAsia" w:ascii="宋体" w:hAnsi="宋体" w:eastAsia="Times New Roman" w:cs="宋体"/>
          <w:b w:val="0"/>
          <w:bCs/>
          <w:sz w:val="21"/>
          <w:szCs w:val="21"/>
          <w:u w:val="none"/>
          <w:lang w:val="en-US" w:eastAsia="zh-CN"/>
        </w:rPr>
        <w:t>80</w:t>
      </w:r>
      <w:r>
        <w:rPr>
          <w:rFonts w:hint="eastAsia" w:ascii="宋体" w:hAnsi="宋体" w:eastAsia="宋体" w:cs="宋体"/>
          <w:b w:val="0"/>
          <w:bCs/>
          <w:sz w:val="21"/>
          <w:szCs w:val="21"/>
          <w:u w:val="none"/>
          <w:lang w:val="en-US" w:eastAsia="zh-CN"/>
        </w:rPr>
        <w:t>%</w:t>
      </w:r>
      <w:r>
        <w:rPr>
          <w:rFonts w:hint="eastAsia" w:ascii="宋体" w:hAnsi="宋体" w:eastAsia="宋体" w:cs="宋体"/>
          <w:b w:val="0"/>
          <w:bCs w:val="0"/>
          <w:sz w:val="21"/>
          <w:szCs w:val="21"/>
        </w:rPr>
        <w:t>）</w:t>
      </w:r>
    </w:p>
    <w:p>
      <w:pPr>
        <w:pStyle w:val="34"/>
        <w:rPr>
          <w:u w:val="none"/>
        </w:rPr>
      </w:pPr>
      <w:r>
        <w:rPr>
          <w:rFonts w:hint="default" w:ascii="Times New Roman" w:hAnsi="Times New Roman" w:eastAsia="Times New Roman" w:cs="Times New Roman"/>
          <w:b/>
          <w:bCs/>
          <w:sz w:val="28"/>
          <w:szCs w:val="28"/>
          <w:lang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结构</w:t>
      </w:r>
      <w:r>
        <w:rPr>
          <w:rFonts w:hint="eastAsia" w:ascii="宋体" w:hAnsi="宋体" w:eastAsia="宋体" w:cs="宋体"/>
          <w:sz w:val="28"/>
          <w:szCs w:val="28"/>
        </w:rPr>
        <w:t>柱、支撑、承重墙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剪力墙</w:t>
      </w:r>
      <w:r>
        <w:rPr>
          <w:rFonts w:hint="eastAsia" w:ascii="宋体" w:hAnsi="宋体" w:eastAsia="宋体" w:cs="宋体"/>
          <w:sz w:val="28"/>
          <w:szCs w:val="28"/>
          <w:lang w:eastAsia="zh-CN"/>
        </w:rPr>
        <w:t>）</w:t>
      </w:r>
      <w:r>
        <w:rPr>
          <w:rFonts w:hint="eastAsia" w:ascii="宋体" w:hAnsi="宋体" w:eastAsia="宋体" w:cs="宋体"/>
          <w:sz w:val="28"/>
          <w:szCs w:val="28"/>
        </w:rPr>
        <w:t>、延性墙板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w:t>
      </w:r>
      <w:r>
        <w:rPr>
          <w:rFonts w:hint="eastAsia" w:ascii="宋体" w:hAnsi="宋体" w:eastAsia="宋体" w:cs="宋体"/>
          <w:sz w:val="24"/>
          <w:szCs w:val="24"/>
        </w:rPr>
        <w:t>延性墙板是指在结构抗震设计中应计入其对结构的影响</w:t>
      </w:r>
      <w:r>
        <w:rPr>
          <w:rFonts w:hint="eastAsia" w:ascii="宋体" w:hAnsi="宋体" w:eastAsia="宋体" w:cs="宋体"/>
          <w:sz w:val="24"/>
          <w:szCs w:val="24"/>
          <w:lang w:val="en-US" w:eastAsia="zh-CN"/>
        </w:rPr>
        <w:t>的、</w:t>
      </w:r>
      <w:r>
        <w:rPr>
          <w:rFonts w:hint="eastAsia" w:ascii="宋体" w:hAnsi="宋体" w:eastAsia="宋体" w:cs="宋体"/>
          <w:sz w:val="24"/>
          <w:szCs w:val="24"/>
        </w:rPr>
        <w:t>具有良好延性和抗震性能的预制墙板</w:t>
      </w:r>
      <w:r>
        <w:rPr>
          <w:rFonts w:hint="eastAsia" w:ascii="宋体" w:hAnsi="宋体" w:eastAsia="宋体" w:cs="宋体"/>
          <w:sz w:val="24"/>
          <w:szCs w:val="24"/>
          <w:lang w:eastAsia="zh-CN"/>
        </w:rPr>
        <w:t>）</w:t>
      </w:r>
      <w:r>
        <w:rPr>
          <w:rFonts w:hint="eastAsia" w:ascii="宋体" w:hAnsi="宋体" w:eastAsia="宋体" w:cs="宋体"/>
          <w:sz w:val="28"/>
          <w:szCs w:val="28"/>
          <w:lang w:val="en-US" w:eastAsia="zh-CN"/>
        </w:rPr>
        <w:t>等主体结构竖向构件主要采用混凝土材料时，</w:t>
      </w:r>
      <w:r>
        <w:rPr>
          <w:rFonts w:hint="eastAsia"/>
          <w:u w:val="none"/>
        </w:rPr>
        <w:t>预制部品部件的应用比例按下列公式计算：</w:t>
      </w:r>
    </w:p>
    <w:p>
      <w:pPr>
        <w:pStyle w:val="31"/>
        <w:rPr>
          <w:u w:val="none"/>
        </w:rPr>
      </w:pPr>
      <w:r>
        <w:rPr>
          <w:u w:val="none"/>
        </w:rPr>
        <w:tab/>
      </w:r>
      <w:r>
        <w:rPr>
          <w:position w:val="-28"/>
          <w:u w:val="none"/>
        </w:rPr>
        <w:object>
          <v:shape id="_x0000_i1025" o:spt="75" type="#_x0000_t75" style="height:36.3pt;width:92.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u w:val="none"/>
        </w:rPr>
        <w:tab/>
      </w:r>
      <w:r>
        <w:rPr>
          <w:rFonts w:hint="eastAsia"/>
          <w:u w:val="none"/>
        </w:rPr>
        <w:t>（</w:t>
      </w:r>
      <w:r>
        <w:rPr>
          <w:rFonts w:hint="eastAsia" w:eastAsia="Times New Roman"/>
          <w:u w:val="none"/>
          <w:lang w:val="en-US" w:eastAsia="zh-CN"/>
        </w:rPr>
        <w:t>1</w:t>
      </w:r>
      <w:r>
        <w:rPr>
          <w:u w:val="none"/>
        </w:rPr>
        <w:t>.</w:t>
      </w:r>
      <w:r>
        <w:rPr>
          <w:rFonts w:hint="eastAsia" w:eastAsia="Times New Roman"/>
          <w:u w:val="none"/>
          <w:lang w:val="en-US" w:eastAsia="zh-CN"/>
        </w:rPr>
        <w:t>1</w:t>
      </w:r>
      <w:r>
        <w:rPr>
          <w:u w:val="none"/>
        </w:rPr>
        <w:t>.</w:t>
      </w:r>
      <w:r>
        <w:rPr>
          <w:rFonts w:eastAsia="Times New Roman"/>
          <w:u w:val="none"/>
        </w:rPr>
        <w:t>1</w:t>
      </w:r>
      <w:r>
        <w:rPr>
          <w:rFonts w:hint="eastAsia"/>
          <w:u w:val="none"/>
        </w:rPr>
        <w:t>）</w:t>
      </w:r>
    </w:p>
    <w:p>
      <w:pPr>
        <w:pStyle w:val="39"/>
        <w:rPr>
          <w:sz w:val="28"/>
          <w:szCs w:val="28"/>
          <w:u w:val="none"/>
        </w:rPr>
      </w:pPr>
      <w:r>
        <w:rPr>
          <w:rFonts w:hint="eastAsia"/>
          <w:sz w:val="28"/>
          <w:szCs w:val="28"/>
          <w:u w:val="none"/>
        </w:rPr>
        <w:t>式中：</w:t>
      </w:r>
      <w:r>
        <w:rPr>
          <w:sz w:val="28"/>
          <w:szCs w:val="28"/>
          <w:u w:val="none"/>
        </w:rPr>
        <w:t>q</w:t>
      </w:r>
      <w:r>
        <w:rPr>
          <w:rFonts w:hint="eastAsia" w:eastAsia="Times New Roman"/>
          <w:sz w:val="28"/>
          <w:szCs w:val="28"/>
          <w:u w:val="none"/>
          <w:vertAlign w:val="subscript"/>
        </w:rPr>
        <w:t>1</w:t>
      </w:r>
      <w:r>
        <w:rPr>
          <w:sz w:val="28"/>
          <w:szCs w:val="28"/>
          <w:u w:val="none"/>
          <w:vertAlign w:val="subscript"/>
        </w:rPr>
        <w:t>a</w:t>
      </w:r>
      <w:r>
        <w:rPr>
          <w:rFonts w:hint="eastAsia"/>
          <w:sz w:val="28"/>
          <w:szCs w:val="28"/>
          <w:u w:val="none"/>
        </w:rPr>
        <w:t>——柱、支撑、承重墙、延性墙板等主体结构竖向构件中预制部品部件的应用比例；</w:t>
      </w:r>
    </w:p>
    <w:p>
      <w:pPr>
        <w:pStyle w:val="40"/>
        <w:rPr>
          <w:sz w:val="28"/>
          <w:szCs w:val="28"/>
          <w:u w:val="none"/>
        </w:rPr>
      </w:pPr>
      <w:r>
        <w:rPr>
          <w:rFonts w:hint="eastAsia"/>
          <w:sz w:val="28"/>
          <w:szCs w:val="28"/>
          <w:u w:val="none"/>
        </w:rPr>
        <w:t>V</w:t>
      </w:r>
      <w:r>
        <w:rPr>
          <w:rFonts w:hint="eastAsia" w:eastAsia="Times New Roman"/>
          <w:sz w:val="28"/>
          <w:szCs w:val="28"/>
          <w:u w:val="none"/>
          <w:vertAlign w:val="subscript"/>
        </w:rPr>
        <w:t>1</w:t>
      </w:r>
      <w:r>
        <w:rPr>
          <w:sz w:val="28"/>
          <w:szCs w:val="28"/>
          <w:u w:val="none"/>
          <w:vertAlign w:val="subscript"/>
        </w:rPr>
        <w:t>a</w:t>
      </w:r>
      <w:r>
        <w:rPr>
          <w:rFonts w:hint="eastAsia"/>
          <w:sz w:val="28"/>
          <w:szCs w:val="28"/>
          <w:u w:val="none"/>
        </w:rPr>
        <w:t>——柱、支撑、承重墙、延性墙板等主体结构竖向构件中预制混凝土体积之和，符合</w:t>
      </w:r>
      <w:r>
        <w:rPr>
          <w:rFonts w:hint="eastAsia"/>
          <w:sz w:val="28"/>
          <w:szCs w:val="28"/>
          <w:u w:val="none"/>
          <w:lang w:val="en-US" w:eastAsia="zh-CN"/>
        </w:rPr>
        <w:t>第</w:t>
      </w:r>
      <w:r>
        <w:rPr>
          <w:rFonts w:hint="eastAsia" w:eastAsia="Times New Roman"/>
          <w:sz w:val="28"/>
          <w:szCs w:val="28"/>
          <w:u w:val="none"/>
          <w:lang w:val="en-US" w:eastAsia="zh-CN"/>
        </w:rPr>
        <w:t>1</w:t>
      </w:r>
      <w:r>
        <w:rPr>
          <w:rFonts w:hint="eastAsia"/>
          <w:sz w:val="28"/>
          <w:szCs w:val="28"/>
          <w:u w:val="none"/>
          <w:lang w:val="en-US" w:eastAsia="zh-CN"/>
        </w:rPr>
        <w:t>.</w:t>
      </w:r>
      <w:r>
        <w:rPr>
          <w:rFonts w:hint="eastAsia" w:eastAsia="Times New Roman"/>
          <w:sz w:val="28"/>
          <w:szCs w:val="28"/>
          <w:u w:val="none"/>
          <w:lang w:val="en-US" w:eastAsia="zh-CN"/>
        </w:rPr>
        <w:t>1</w:t>
      </w:r>
      <w:r>
        <w:rPr>
          <w:rFonts w:hint="eastAsia"/>
          <w:sz w:val="28"/>
          <w:szCs w:val="28"/>
          <w:u w:val="none"/>
          <w:lang w:val="en-US" w:eastAsia="zh-CN"/>
        </w:rPr>
        <w:t>.</w:t>
      </w:r>
      <w:r>
        <w:rPr>
          <w:rFonts w:hint="eastAsia" w:eastAsia="Times New Roman"/>
          <w:sz w:val="28"/>
          <w:szCs w:val="28"/>
          <w:u w:val="none"/>
          <w:lang w:val="en-US" w:eastAsia="zh-CN"/>
        </w:rPr>
        <w:t>2</w:t>
      </w:r>
      <w:r>
        <w:rPr>
          <w:rFonts w:hint="eastAsia"/>
          <w:sz w:val="28"/>
          <w:szCs w:val="28"/>
          <w:u w:val="none"/>
          <w:lang w:val="en-US" w:eastAsia="zh-CN"/>
        </w:rPr>
        <w:t>条</w:t>
      </w:r>
      <w:r>
        <w:rPr>
          <w:rFonts w:hint="eastAsia"/>
          <w:sz w:val="28"/>
          <w:szCs w:val="28"/>
          <w:u w:val="none"/>
        </w:rPr>
        <w:t>规定的预制构件间连续部分的后浇混凝土也可以计入计算；</w:t>
      </w:r>
    </w:p>
    <w:p>
      <w:pPr>
        <w:pStyle w:val="40"/>
        <w:rPr>
          <w:sz w:val="28"/>
          <w:szCs w:val="28"/>
          <w:u w:val="none"/>
        </w:rPr>
      </w:pPr>
      <w:r>
        <w:rPr>
          <w:rFonts w:hint="eastAsia"/>
          <w:sz w:val="28"/>
          <w:szCs w:val="28"/>
          <w:u w:val="none"/>
        </w:rPr>
        <w:t>V——柱、支撑、承重墙、延性墙板等主体结构竖向构件混凝土总体积。</w:t>
      </w:r>
    </w:p>
    <w:p>
      <w:pPr>
        <w:pStyle w:val="34"/>
        <w:rPr>
          <w:u w:val="none"/>
        </w:rPr>
      </w:pPr>
      <w:r>
        <w:rPr>
          <w:rFonts w:hint="default" w:ascii="Times New Roman" w:hAnsi="Times New Roman" w:eastAsia="Times New Roman" w:cs="Times New Roman"/>
          <w:b/>
          <w:bCs/>
          <w:sz w:val="28"/>
          <w:szCs w:val="28"/>
          <w:lang w:val="en-US"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2</w:t>
      </w:r>
      <w:r>
        <w:rPr>
          <w:rFonts w:hint="default" w:ascii="Times New Roman" w:hAnsi="Times New Roman" w:eastAsia="宋体" w:cs="Times New Roman"/>
          <w:sz w:val="24"/>
          <w:szCs w:val="24"/>
          <w:lang w:val="en-US" w:eastAsia="zh-CN"/>
        </w:rPr>
        <w:t xml:space="preserve"> </w:t>
      </w:r>
      <w:r>
        <w:rPr>
          <w:rFonts w:hint="eastAsia" w:ascii="宋体" w:hAnsi="宋体" w:cs="宋体"/>
          <w:sz w:val="24"/>
          <w:szCs w:val="24"/>
          <w:lang w:val="en-US" w:eastAsia="zh-CN"/>
        </w:rPr>
        <w:t xml:space="preserve"> </w:t>
      </w:r>
      <w:r>
        <w:rPr>
          <w:rFonts w:hint="eastAsia"/>
          <w:u w:val="none"/>
        </w:rPr>
        <w:t>当符合下列规定时，主体结构竖向构件间连接部分的后浇混凝土可计入预制混凝土体积计算：</w:t>
      </w:r>
    </w:p>
    <w:p>
      <w:pPr>
        <w:pStyle w:val="46"/>
        <w:ind w:firstLine="560"/>
        <w:rPr>
          <w:u w:val="none"/>
        </w:rPr>
      </w:pPr>
      <w:r>
        <w:rPr>
          <w:rFonts w:hint="default" w:ascii="Times New Roman" w:hAnsi="Times New Roman" w:eastAsia="Times New Roman" w:cs="Times New Roman"/>
          <w:u w:val="none"/>
        </w:rPr>
        <w:t>1</w:t>
      </w:r>
      <w:r>
        <w:rPr>
          <w:u w:val="none"/>
        </w:rPr>
        <w:t xml:space="preserve"> </w:t>
      </w:r>
      <w:r>
        <w:rPr>
          <w:rFonts w:hint="eastAsia"/>
          <w:u w:val="none"/>
          <w:lang w:val="en-US" w:eastAsia="zh-CN"/>
        </w:rPr>
        <w:t xml:space="preserve"> </w:t>
      </w:r>
      <w:r>
        <w:rPr>
          <w:rFonts w:hint="eastAsia"/>
          <w:u w:val="none"/>
        </w:rPr>
        <w:t>预制剪力墙板之间宽度不大于</w:t>
      </w:r>
      <w:r>
        <w:rPr>
          <w:rFonts w:hint="eastAsia" w:eastAsia="Times New Roman"/>
          <w:u w:val="none"/>
        </w:rPr>
        <w:t>600</w:t>
      </w:r>
      <w:r>
        <w:rPr>
          <w:rFonts w:hint="eastAsia"/>
          <w:u w:val="none"/>
        </w:rPr>
        <w:t>mm的竖向现浇段和高度不大于</w:t>
      </w:r>
      <w:r>
        <w:rPr>
          <w:rFonts w:hint="eastAsia" w:eastAsia="Times New Roman"/>
          <w:u w:val="none"/>
        </w:rPr>
        <w:t>300</w:t>
      </w:r>
      <w:r>
        <w:rPr>
          <w:rFonts w:hint="eastAsia"/>
          <w:u w:val="none"/>
        </w:rPr>
        <w:t>mm的水平后浇带、圈梁的后浇混凝土体积，预制剪力墙转角或端部边缘构件长度不大于</w:t>
      </w:r>
      <w:r>
        <w:rPr>
          <w:rFonts w:hint="eastAsia" w:eastAsia="Times New Roman"/>
          <w:u w:val="none"/>
        </w:rPr>
        <w:t>400</w:t>
      </w:r>
      <w:r>
        <w:rPr>
          <w:rFonts w:hint="eastAsia"/>
          <w:u w:val="none"/>
        </w:rPr>
        <w:t>mm</w:t>
      </w:r>
      <w:r>
        <w:rPr>
          <w:rFonts w:hint="eastAsia"/>
          <w:u w:val="none"/>
          <w:lang w:eastAsia="zh-CN"/>
        </w:rPr>
        <w:t>（</w:t>
      </w:r>
      <w:r>
        <w:rPr>
          <w:rFonts w:hint="eastAsia"/>
          <w:u w:val="none"/>
          <w:lang w:val="en-US" w:eastAsia="zh-CN"/>
        </w:rPr>
        <w:t>不含墙厚</w:t>
      </w:r>
      <w:r>
        <w:rPr>
          <w:rFonts w:hint="eastAsia"/>
          <w:u w:val="none"/>
          <w:lang w:eastAsia="zh-CN"/>
        </w:rPr>
        <w:t>）</w:t>
      </w:r>
      <w:r>
        <w:rPr>
          <w:rFonts w:hint="eastAsia"/>
          <w:u w:val="none"/>
        </w:rPr>
        <w:t>的后浇混凝土体积</w:t>
      </w:r>
      <w:r>
        <w:rPr>
          <w:rFonts w:hint="eastAsia"/>
          <w:u w:val="none"/>
          <w:lang w:eastAsia="zh-CN"/>
        </w:rPr>
        <w:t>；</w:t>
      </w:r>
    </w:p>
    <w:p>
      <w:pPr>
        <w:pStyle w:val="46"/>
        <w:ind w:firstLine="560"/>
        <w:rPr>
          <w:rFonts w:hint="eastAsia"/>
          <w:u w:val="none"/>
        </w:rPr>
      </w:pPr>
      <w:r>
        <w:rPr>
          <w:rFonts w:hint="default" w:ascii="Times New Roman" w:hAnsi="Times New Roman" w:eastAsia="Times New Roman" w:cs="Times New Roman"/>
          <w:u w:val="none"/>
        </w:rPr>
        <w:t>2</w:t>
      </w:r>
      <w:r>
        <w:rPr>
          <w:rFonts w:hint="eastAsia"/>
          <w:u w:val="none"/>
        </w:rPr>
        <w:t xml:space="preserve"> </w:t>
      </w:r>
      <w:r>
        <w:rPr>
          <w:rFonts w:hint="eastAsia"/>
          <w:u w:val="none"/>
          <w:lang w:val="en-US" w:eastAsia="zh-CN"/>
        </w:rPr>
        <w:t xml:space="preserve"> </w:t>
      </w:r>
      <w:r>
        <w:rPr>
          <w:rFonts w:hint="eastAsia"/>
          <w:u w:val="none"/>
        </w:rPr>
        <w:t>预制框架柱和框架梁之间柱梁节点区的后浇混凝土体积</w:t>
      </w:r>
      <w:r>
        <w:rPr>
          <w:rFonts w:hint="eastAsia"/>
          <w:u w:val="none"/>
          <w:lang w:eastAsia="zh-CN"/>
        </w:rPr>
        <w:t>。</w:t>
      </w:r>
    </w:p>
    <w:p>
      <w:pPr>
        <w:pStyle w:val="34"/>
        <w:rPr>
          <w:u w:val="none"/>
        </w:rPr>
      </w:pPr>
      <w:r>
        <w:rPr>
          <w:rFonts w:hint="default" w:ascii="Times New Roman" w:hAnsi="Times New Roman" w:eastAsia="Times New Roman" w:cs="Times New Roman"/>
          <w:b/>
          <w:bCs/>
          <w:u w:val="none"/>
          <w:lang w:val="en-US" w:eastAsia="zh-CN"/>
        </w:rPr>
        <w:t>1</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u w:val="none"/>
        </w:rPr>
        <w:t>竖向构件（柱、墙）</w:t>
      </w:r>
      <w:r>
        <w:rPr>
          <w:rFonts w:hint="eastAsia" w:eastAsia="Times New Roman"/>
          <w:u w:val="none"/>
        </w:rPr>
        <w:t>35</w:t>
      </w:r>
      <w:r>
        <w:rPr>
          <w:rFonts w:hint="eastAsia"/>
          <w:u w:val="none"/>
        </w:rPr>
        <w:t>%~</w:t>
      </w:r>
      <w:r>
        <w:rPr>
          <w:rFonts w:hint="eastAsia" w:eastAsia="Times New Roman"/>
          <w:u w:val="none"/>
        </w:rPr>
        <w:t>80</w:t>
      </w:r>
      <w:r>
        <w:rPr>
          <w:rFonts w:hint="eastAsia"/>
          <w:u w:val="none"/>
        </w:rPr>
        <w:t>%</w:t>
      </w:r>
      <w:r>
        <w:rPr>
          <w:rFonts w:hint="eastAsia"/>
          <w:u w:val="none"/>
          <w:lang w:val="en-US" w:eastAsia="zh-CN"/>
        </w:rPr>
        <w:t>的体积</w:t>
      </w:r>
      <w:r>
        <w:rPr>
          <w:rFonts w:hint="eastAsia"/>
          <w:u w:val="none"/>
        </w:rPr>
        <w:t>采用受力钢筋与免拆模板形成一体的中空预制构件（含</w:t>
      </w:r>
      <w:r>
        <w:rPr>
          <w:rFonts w:hint="eastAsia"/>
          <w:u w:val="none"/>
          <w:lang w:val="en-US" w:eastAsia="zh-CN"/>
        </w:rPr>
        <w:t>叠合剪力</w:t>
      </w:r>
      <w:r>
        <w:rPr>
          <w:rFonts w:hint="eastAsia"/>
          <w:u w:val="none"/>
        </w:rPr>
        <w:t>墙），并在现场安装和浇筑混凝土时，得</w:t>
      </w:r>
      <w:r>
        <w:rPr>
          <w:rFonts w:eastAsia="Times New Roman"/>
          <w:u w:val="none"/>
        </w:rPr>
        <w:t>1</w:t>
      </w:r>
      <w:r>
        <w:rPr>
          <w:rFonts w:hint="eastAsia" w:eastAsia="Times New Roman"/>
          <w:u w:val="none"/>
          <w:lang w:val="en-US" w:eastAsia="zh-CN"/>
        </w:rPr>
        <w:t>4</w:t>
      </w:r>
      <w:r>
        <w:rPr>
          <w:u w:val="none"/>
        </w:rPr>
        <w:t>~</w:t>
      </w:r>
      <w:r>
        <w:rPr>
          <w:rFonts w:hint="eastAsia" w:eastAsia="Times New Roman"/>
          <w:u w:val="none"/>
          <w:lang w:val="en-US" w:eastAsia="zh-CN"/>
        </w:rPr>
        <w:t>21</w:t>
      </w:r>
      <w:r>
        <w:rPr>
          <w:rFonts w:hint="eastAsia"/>
          <w:u w:val="none"/>
        </w:rPr>
        <w:t>分，低于</w:t>
      </w:r>
      <w:r>
        <w:rPr>
          <w:rFonts w:hint="eastAsia" w:eastAsia="Times New Roman"/>
          <w:u w:val="none"/>
        </w:rPr>
        <w:t>35</w:t>
      </w:r>
      <w:r>
        <w:rPr>
          <w:rFonts w:hint="eastAsia"/>
          <w:u w:val="none"/>
        </w:rPr>
        <w:t>%时得</w:t>
      </w:r>
      <w:r>
        <w:rPr>
          <w:rFonts w:hint="eastAsia" w:eastAsia="Times New Roman"/>
          <w:u w:val="none"/>
        </w:rPr>
        <w:t>0</w:t>
      </w:r>
      <w:r>
        <w:rPr>
          <w:rFonts w:hint="eastAsia"/>
          <w:u w:val="none"/>
        </w:rPr>
        <w:t>分，高于</w:t>
      </w:r>
      <w:r>
        <w:rPr>
          <w:rFonts w:hint="eastAsia" w:eastAsia="Times New Roman"/>
          <w:u w:val="none"/>
        </w:rPr>
        <w:t>80</w:t>
      </w:r>
      <w:r>
        <w:rPr>
          <w:rFonts w:hint="eastAsia"/>
          <w:u w:val="none"/>
        </w:rPr>
        <w:t>%时得</w:t>
      </w:r>
      <w:r>
        <w:rPr>
          <w:rFonts w:hint="eastAsia" w:eastAsia="Times New Roman"/>
          <w:u w:val="none"/>
          <w:lang w:val="en-US" w:eastAsia="zh-CN"/>
        </w:rPr>
        <w:t>21</w:t>
      </w:r>
      <w:r>
        <w:rPr>
          <w:rFonts w:hint="eastAsia"/>
          <w:u w:val="none"/>
        </w:rPr>
        <w:t>分，其他比例按线性插值得分。</w:t>
      </w:r>
    </w:p>
    <w:p>
      <w:pPr>
        <w:pStyle w:val="34"/>
        <w:rPr>
          <w:u w:val="none"/>
        </w:rPr>
      </w:pP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4</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u w:val="none"/>
        </w:rPr>
        <w:t>主体结构为装配式钢结构或</w:t>
      </w:r>
      <w:r>
        <w:rPr>
          <w:u w:val="none"/>
        </w:rPr>
        <w:t>钢</w:t>
      </w:r>
      <w:r>
        <w:rPr>
          <w:rFonts w:hint="eastAsia"/>
          <w:u w:val="none"/>
        </w:rPr>
        <w:t>-混凝土</w:t>
      </w:r>
      <w:r>
        <w:rPr>
          <w:u w:val="none"/>
        </w:rPr>
        <w:t>混合结构</w:t>
      </w:r>
      <w:r>
        <w:rPr>
          <w:rFonts w:hint="eastAsia"/>
          <w:u w:val="none"/>
        </w:rPr>
        <w:t>时，评价项分值</w:t>
      </w:r>
      <w:r>
        <w:rPr>
          <w:u w:val="none"/>
        </w:rPr>
        <w:t>按下列情况计算</w:t>
      </w:r>
      <w:r>
        <w:rPr>
          <w:rFonts w:hint="eastAsia"/>
          <w:u w:val="none"/>
        </w:rPr>
        <w:t>：</w:t>
      </w:r>
    </w:p>
    <w:p>
      <w:pPr>
        <w:pStyle w:val="46"/>
        <w:ind w:firstLine="560"/>
        <w:rPr>
          <w:rFonts w:hint="eastAsia" w:eastAsia="宋体"/>
          <w:u w:val="none"/>
          <w:lang w:eastAsia="zh-CN"/>
        </w:rPr>
      </w:pPr>
      <w:r>
        <w:rPr>
          <w:rFonts w:hint="default" w:ascii="Times New Roman" w:hAnsi="Times New Roman" w:eastAsia="Times New Roman" w:cs="Times New Roman"/>
          <w:u w:val="none"/>
        </w:rPr>
        <w:t>1</w:t>
      </w:r>
      <w:r>
        <w:rPr>
          <w:rFonts w:hint="eastAsia"/>
          <w:u w:val="none"/>
          <w:lang w:val="en-US" w:eastAsia="zh-CN"/>
        </w:rPr>
        <w:t xml:space="preserve"> </w:t>
      </w:r>
      <w:r>
        <w:rPr>
          <w:u w:val="none"/>
        </w:rPr>
        <w:t xml:space="preserve"> </w:t>
      </w:r>
      <w:r>
        <w:rPr>
          <w:rFonts w:hint="eastAsia"/>
          <w:u w:val="none"/>
        </w:rPr>
        <w:t>竖向</w:t>
      </w:r>
      <w:r>
        <w:rPr>
          <w:u w:val="none"/>
        </w:rPr>
        <w:t>构件</w:t>
      </w:r>
      <w:r>
        <w:rPr>
          <w:rFonts w:hint="eastAsia"/>
          <w:u w:val="none"/>
        </w:rPr>
        <w:t>全部采用钢构件，得</w:t>
      </w:r>
      <w:r>
        <w:rPr>
          <w:rFonts w:hint="eastAsia" w:eastAsia="Times New Roman"/>
          <w:u w:val="none"/>
        </w:rPr>
        <w:t>30</w:t>
      </w:r>
      <w:r>
        <w:rPr>
          <w:rFonts w:hint="eastAsia"/>
          <w:u w:val="none"/>
        </w:rPr>
        <w:t>分</w:t>
      </w:r>
      <w:r>
        <w:rPr>
          <w:rFonts w:hint="eastAsia"/>
          <w:u w:val="none"/>
          <w:lang w:eastAsia="zh-CN"/>
        </w:rPr>
        <w:t>；</w:t>
      </w:r>
    </w:p>
    <w:p>
      <w:pPr>
        <w:pStyle w:val="46"/>
        <w:ind w:firstLine="560"/>
        <w:rPr>
          <w:u w:val="none"/>
        </w:rPr>
      </w:pPr>
      <w:r>
        <w:rPr>
          <w:rFonts w:hint="default" w:ascii="Times New Roman" w:hAnsi="Times New Roman" w:eastAsia="Times New Roman" w:cs="Times New Roman"/>
          <w:u w:val="none"/>
        </w:rPr>
        <w:t>2</w:t>
      </w:r>
      <w:r>
        <w:rPr>
          <w:u w:val="none"/>
        </w:rPr>
        <w:t xml:space="preserve"> </w:t>
      </w:r>
      <w:r>
        <w:rPr>
          <w:rFonts w:hint="eastAsia"/>
          <w:u w:val="none"/>
          <w:lang w:val="en-US" w:eastAsia="zh-CN"/>
        </w:rPr>
        <w:t xml:space="preserve"> </w:t>
      </w:r>
      <w:r>
        <w:rPr>
          <w:rFonts w:hint="eastAsia"/>
          <w:u w:val="none"/>
        </w:rPr>
        <w:t>框架柱采用钢柱或外包钢-混凝土组合柱，剪力墙采用外包钢-混凝土组合剪力墙时，得</w:t>
      </w:r>
      <w:r>
        <w:rPr>
          <w:rFonts w:hint="eastAsia" w:eastAsia="Times New Roman"/>
          <w:u w:val="none"/>
        </w:rPr>
        <w:t>25</w:t>
      </w:r>
      <w:r>
        <w:rPr>
          <w:rFonts w:hint="eastAsia"/>
          <w:u w:val="none"/>
        </w:rPr>
        <w:t>分</w:t>
      </w:r>
      <w:r>
        <w:rPr>
          <w:rFonts w:hint="eastAsia"/>
          <w:u w:val="none"/>
          <w:lang w:eastAsia="zh-CN"/>
        </w:rPr>
        <w:t>；</w:t>
      </w:r>
    </w:p>
    <w:p>
      <w:pPr>
        <w:pStyle w:val="46"/>
        <w:ind w:firstLine="560"/>
        <w:rPr>
          <w:rFonts w:hint="eastAsia"/>
          <w:u w:val="none"/>
        </w:rPr>
      </w:pPr>
      <w:r>
        <w:rPr>
          <w:rFonts w:ascii="Times New Roman" w:hAnsi="Times New Roman" w:eastAsia="Times New Roman" w:cs="Times New Roman"/>
          <w:u w:val="none"/>
        </w:rPr>
        <w:t>3</w:t>
      </w:r>
      <w:r>
        <w:rPr>
          <w:rFonts w:ascii="Times New Roman" w:hAnsi="Times New Roman" w:cs="Times New Roman"/>
          <w:u w:val="none"/>
        </w:rPr>
        <w:t xml:space="preserve"> </w:t>
      </w:r>
      <w:r>
        <w:rPr>
          <w:rFonts w:hint="eastAsia"/>
          <w:u w:val="none"/>
          <w:lang w:val="en-US" w:eastAsia="zh-CN"/>
        </w:rPr>
        <w:t xml:space="preserve"> </w:t>
      </w:r>
      <w:r>
        <w:rPr>
          <w:rFonts w:hint="eastAsia"/>
          <w:u w:val="none"/>
        </w:rPr>
        <w:t>框架柱采用钢柱或外包钢-混凝土组合柱，剪力墙采用混凝土剪力墙（含型钢混凝土</w:t>
      </w:r>
      <w:r>
        <w:rPr>
          <w:u w:val="none"/>
        </w:rPr>
        <w:t>剪力墙</w:t>
      </w:r>
      <w:r>
        <w:rPr>
          <w:rFonts w:hint="eastAsia"/>
          <w:u w:val="none"/>
        </w:rPr>
        <w:t>、型钢</w:t>
      </w:r>
      <w:r>
        <w:rPr>
          <w:u w:val="none"/>
        </w:rPr>
        <w:t>（</w:t>
      </w:r>
      <w:r>
        <w:rPr>
          <w:rFonts w:hint="eastAsia"/>
          <w:u w:val="none"/>
        </w:rPr>
        <w:t>钢管</w:t>
      </w:r>
      <w:r>
        <w:rPr>
          <w:u w:val="none"/>
        </w:rPr>
        <w:t>）</w:t>
      </w:r>
      <w:r>
        <w:rPr>
          <w:rFonts w:hint="eastAsia"/>
          <w:u w:val="none"/>
        </w:rPr>
        <w:t>混凝土</w:t>
      </w:r>
      <w:r>
        <w:rPr>
          <w:u w:val="none"/>
        </w:rPr>
        <w:t>剪力墙、</w:t>
      </w:r>
      <w:r>
        <w:rPr>
          <w:rFonts w:hint="eastAsia"/>
          <w:u w:val="none"/>
        </w:rPr>
        <w:t>内藏</w:t>
      </w:r>
      <w:r>
        <w:rPr>
          <w:u w:val="none"/>
        </w:rPr>
        <w:t>钢板</w:t>
      </w:r>
      <w:r>
        <w:rPr>
          <w:rFonts w:hint="eastAsia"/>
          <w:u w:val="none"/>
        </w:rPr>
        <w:t>混凝土剪力墙、</w:t>
      </w:r>
      <w:r>
        <w:rPr>
          <w:u w:val="none"/>
        </w:rPr>
        <w:t>带</w:t>
      </w:r>
      <w:r>
        <w:rPr>
          <w:rFonts w:hint="eastAsia"/>
          <w:u w:val="none"/>
        </w:rPr>
        <w:t>钢</w:t>
      </w:r>
      <w:r>
        <w:rPr>
          <w:u w:val="none"/>
        </w:rPr>
        <w:t>斜撑混凝土剪力墙</w:t>
      </w:r>
      <w:r>
        <w:rPr>
          <w:rFonts w:hint="eastAsia"/>
          <w:u w:val="none"/>
        </w:rPr>
        <w:t>）时，得</w:t>
      </w:r>
      <w:r>
        <w:rPr>
          <w:rFonts w:hint="eastAsia" w:eastAsia="Times New Roman"/>
          <w:u w:val="none"/>
        </w:rPr>
        <w:t>20</w:t>
      </w:r>
      <w:r>
        <w:rPr>
          <w:rFonts w:hint="eastAsia"/>
          <w:u w:val="none"/>
        </w:rPr>
        <w:t>分。</w:t>
      </w:r>
    </w:p>
    <w:p>
      <w:pPr>
        <w:pStyle w:val="32"/>
        <w:ind w:left="0" w:leftChars="0" w:firstLine="482"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b/>
          <w:bCs/>
          <w:i w:val="0"/>
          <w:iCs/>
          <w:kern w:val="2"/>
          <w:sz w:val="24"/>
          <w:szCs w:val="24"/>
          <w:u w:val="none"/>
          <w:shd w:val="clear" w:color="auto" w:fill="FFFFFF"/>
          <w:lang w:val="en-US" w:eastAsia="zh-CN" w:bidi="ar-SA"/>
        </w:rPr>
        <w:t>注：</w:t>
      </w:r>
      <w:r>
        <w:rPr>
          <w:rFonts w:hint="eastAsia" w:ascii="宋体" w:hAnsi="宋体" w:eastAsia="宋体" w:cs="宋体"/>
          <w:i w:val="0"/>
          <w:iCs/>
          <w:kern w:val="2"/>
          <w:sz w:val="24"/>
          <w:szCs w:val="24"/>
          <w:u w:val="none"/>
          <w:shd w:val="clear" w:color="auto" w:fill="FFFFFF"/>
          <w:lang w:val="en-US" w:eastAsia="zh-CN" w:bidi="ar-SA"/>
        </w:rPr>
        <w:t>相关竖向构件主要包括如下：</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钢构件：钢柱、钢支撑、屈曲约束支撑、钢板剪力墙、钢板组合剪力墙；</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2、</w:t>
      </w:r>
      <w:r>
        <w:rPr>
          <w:rFonts w:hint="eastAsia" w:ascii="宋体" w:hAnsi="宋体" w:eastAsia="宋体" w:cs="宋体"/>
          <w:i w:val="0"/>
          <w:iCs/>
          <w:kern w:val="2"/>
          <w:sz w:val="24"/>
          <w:szCs w:val="24"/>
          <w:u w:val="none"/>
          <w:shd w:val="clear" w:color="auto" w:fill="FFFFFF"/>
          <w:lang w:val="en-US" w:eastAsia="zh-CN" w:bidi="ar-SA"/>
        </w:rPr>
        <w:t>外包钢-混凝土组合柱：圆形钢管混凝土柱、矩形钢管混凝土柱和异形钢管混凝土柱；</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3、</w:t>
      </w:r>
      <w:r>
        <w:rPr>
          <w:rFonts w:hint="eastAsia" w:ascii="宋体" w:hAnsi="宋体" w:eastAsia="宋体" w:cs="宋体"/>
          <w:i w:val="0"/>
          <w:iCs/>
          <w:kern w:val="2"/>
          <w:sz w:val="24"/>
          <w:szCs w:val="24"/>
          <w:u w:val="none"/>
          <w:shd w:val="clear" w:color="auto" w:fill="FFFFFF"/>
          <w:lang w:val="en-US" w:eastAsia="zh-CN" w:bidi="ar-SA"/>
        </w:rPr>
        <w:t>外包钢-混凝土剪力墙：外包钢板混凝土剪力墙、排钢管钢板混凝土剪力墙</w:t>
      </w:r>
      <w:r>
        <w:rPr>
          <w:rFonts w:hint="eastAsia" w:ascii="宋体" w:hAnsi="宋体" w:cs="宋体"/>
          <w:i w:val="0"/>
          <w:iCs/>
          <w:kern w:val="2"/>
          <w:sz w:val="24"/>
          <w:szCs w:val="24"/>
          <w:u w:val="none"/>
          <w:shd w:val="clear" w:color="auto" w:fill="FFFFFF"/>
          <w:lang w:val="en-US" w:eastAsia="zh-CN" w:bidi="ar-SA"/>
        </w:rPr>
        <w:t>或钢板组合剪力墙</w:t>
      </w:r>
      <w:r>
        <w:rPr>
          <w:rFonts w:hint="eastAsia" w:ascii="宋体" w:hAnsi="宋体" w:eastAsia="宋体" w:cs="宋体"/>
          <w:i w:val="0"/>
          <w:iCs/>
          <w:kern w:val="2"/>
          <w:sz w:val="24"/>
          <w:szCs w:val="24"/>
          <w:u w:val="none"/>
          <w:shd w:val="clear" w:color="auto" w:fill="FFFFFF"/>
          <w:lang w:val="en-US" w:eastAsia="zh-CN" w:bidi="ar-SA"/>
        </w:rPr>
        <w:t>。</w:t>
      </w:r>
    </w:p>
    <w:p>
      <w:pPr>
        <w:pStyle w:val="34"/>
        <w:rPr>
          <w:rFonts w:hint="eastAsia" w:ascii="宋体" w:hAnsi="宋体" w:eastAsia="宋体" w:cs="宋体"/>
          <w:b/>
          <w:u w:val="none"/>
          <w:lang w:val="en-US" w:eastAsia="zh-CN"/>
        </w:rPr>
      </w:pPr>
      <w:r>
        <w:rPr>
          <w:rFonts w:hint="default" w:ascii="Times New Roman" w:hAnsi="Times New Roman" w:eastAsia="Times New Roman" w:cs="Times New Roman"/>
          <w:b/>
          <w:u w:val="none"/>
          <w:lang w:val="en-US" w:eastAsia="zh-CN"/>
        </w:rPr>
        <w:t>1</w:t>
      </w:r>
      <w:r>
        <w:rPr>
          <w:rFonts w:hint="default" w:ascii="Times New Roman" w:hAnsi="Times New Roman" w:eastAsia="宋体" w:cs="Times New Roman"/>
          <w:b/>
          <w:u w:val="none"/>
          <w:lang w:val="en-US" w:eastAsia="zh-CN"/>
        </w:rPr>
        <w:t>.</w:t>
      </w:r>
      <w:r>
        <w:rPr>
          <w:rFonts w:hint="default" w:ascii="Times New Roman" w:hAnsi="Times New Roman" w:eastAsia="Times New Roman" w:cs="Times New Roman"/>
          <w:b/>
          <w:u w:val="none"/>
          <w:lang w:val="en-US" w:eastAsia="zh-CN"/>
        </w:rPr>
        <w:t>2</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b/>
          <w:u w:val="none"/>
          <w:lang w:val="en-US" w:eastAsia="zh-CN"/>
        </w:rPr>
        <w:t>Q</w:t>
      </w:r>
      <w:r>
        <w:rPr>
          <w:rFonts w:hint="eastAsia" w:ascii="宋体" w:hAnsi="宋体" w:eastAsia="Times New Roman" w:cs="宋体"/>
          <w:b/>
          <w:u w:val="none"/>
          <w:vertAlign w:val="subscript"/>
          <w:lang w:val="en-US" w:eastAsia="zh-CN"/>
        </w:rPr>
        <w:t>1</w:t>
      </w:r>
      <w:r>
        <w:rPr>
          <w:rFonts w:hint="eastAsia" w:ascii="宋体" w:hAnsi="宋体" w:eastAsia="宋体" w:cs="宋体"/>
          <w:b/>
          <w:u w:val="none"/>
          <w:vertAlign w:val="subscript"/>
          <w:lang w:val="en-US" w:eastAsia="zh-CN"/>
        </w:rPr>
        <w:t>b：</w:t>
      </w:r>
      <w:r>
        <w:rPr>
          <w:rFonts w:hint="eastAsia" w:ascii="宋体" w:hAnsi="宋体" w:eastAsia="宋体" w:cs="宋体"/>
          <w:b/>
          <w:u w:val="none"/>
          <w:lang w:val="en-US" w:eastAsia="zh-CN"/>
        </w:rPr>
        <w:t>水平构件</w:t>
      </w:r>
      <w:r>
        <w:rPr>
          <w:rFonts w:hint="eastAsia" w:ascii="宋体" w:hAnsi="宋体" w:eastAsia="宋体" w:cs="宋体"/>
          <w:b w:val="0"/>
          <w:bCs/>
          <w:sz w:val="21"/>
          <w:szCs w:val="21"/>
          <w:u w:val="none"/>
          <w:lang w:val="en-US" w:eastAsia="zh-CN"/>
        </w:rPr>
        <w:t>（</w:t>
      </w:r>
      <w:r>
        <w:rPr>
          <w:rFonts w:hint="eastAsia" w:ascii="宋体" w:hAnsi="宋体" w:eastAsia="Times New Roman" w:cs="宋体"/>
          <w:b w:val="0"/>
          <w:bCs/>
          <w:sz w:val="21"/>
          <w:szCs w:val="21"/>
          <w:u w:val="none"/>
          <w:lang w:val="en-US" w:eastAsia="zh-CN"/>
        </w:rPr>
        <w:t>10</w:t>
      </w:r>
      <w:r>
        <w:rPr>
          <w:rFonts w:hint="eastAsia" w:ascii="宋体" w:hAnsi="宋体" w:eastAsia="宋体" w:cs="宋体"/>
          <w:b w:val="0"/>
          <w:bCs/>
          <w:sz w:val="21"/>
          <w:szCs w:val="21"/>
          <w:u w:val="none"/>
          <w:lang w:val="en-US" w:eastAsia="zh-CN"/>
        </w:rPr>
        <w:t>分</w:t>
      </w:r>
      <w:r>
        <w:rPr>
          <w:rFonts w:hint="eastAsia"/>
          <w:u w:val="none"/>
        </w:rPr>
        <w:t>~</w:t>
      </w:r>
      <w:r>
        <w:rPr>
          <w:rFonts w:hint="eastAsia" w:ascii="宋体" w:hAnsi="宋体" w:eastAsia="Times New Roman" w:cs="宋体"/>
          <w:b w:val="0"/>
          <w:bCs/>
          <w:sz w:val="21"/>
          <w:szCs w:val="21"/>
          <w:u w:val="none"/>
          <w:lang w:val="en-US" w:eastAsia="zh-CN"/>
        </w:rPr>
        <w:t>20</w:t>
      </w:r>
      <w:r>
        <w:rPr>
          <w:rFonts w:hint="eastAsia" w:ascii="宋体" w:hAnsi="宋体" w:eastAsia="宋体" w:cs="宋体"/>
          <w:b w:val="0"/>
          <w:bCs/>
          <w:sz w:val="21"/>
          <w:szCs w:val="21"/>
          <w:u w:val="none"/>
          <w:lang w:val="en-US" w:eastAsia="zh-CN"/>
        </w:rPr>
        <w:t>分，评价要求：</w:t>
      </w:r>
      <w:r>
        <w:rPr>
          <w:rFonts w:hint="eastAsia" w:ascii="宋体" w:hAnsi="宋体" w:eastAsia="Times New Roman" w:cs="宋体"/>
          <w:b w:val="0"/>
          <w:bCs/>
          <w:sz w:val="21"/>
          <w:szCs w:val="21"/>
          <w:u w:val="none"/>
          <w:lang w:val="en-US" w:eastAsia="zh-CN"/>
        </w:rPr>
        <w:t>70</w:t>
      </w:r>
      <w:r>
        <w:rPr>
          <w:rFonts w:hint="eastAsia" w:ascii="宋体" w:hAnsi="宋体" w:eastAsia="宋体" w:cs="宋体"/>
          <w:b w:val="0"/>
          <w:bCs/>
          <w:sz w:val="21"/>
          <w:szCs w:val="21"/>
          <w:u w:val="none"/>
          <w:lang w:val="en-US" w:eastAsia="zh-CN"/>
        </w:rPr>
        <w:t>%≤比例≤</w:t>
      </w:r>
      <w:r>
        <w:rPr>
          <w:rFonts w:hint="eastAsia" w:ascii="宋体" w:hAnsi="宋体" w:eastAsia="Times New Roman" w:cs="宋体"/>
          <w:b w:val="0"/>
          <w:bCs/>
          <w:sz w:val="21"/>
          <w:szCs w:val="21"/>
          <w:u w:val="none"/>
          <w:lang w:val="en-US" w:eastAsia="zh-CN"/>
        </w:rPr>
        <w:t>80</w:t>
      </w:r>
      <w:r>
        <w:rPr>
          <w:rFonts w:hint="eastAsia" w:ascii="宋体" w:hAnsi="宋体" w:eastAsia="宋体" w:cs="宋体"/>
          <w:b w:val="0"/>
          <w:bCs/>
          <w:sz w:val="21"/>
          <w:szCs w:val="21"/>
          <w:u w:val="none"/>
          <w:lang w:val="en-US" w:eastAsia="zh-CN"/>
        </w:rPr>
        <w:t>%）</w:t>
      </w:r>
    </w:p>
    <w:p>
      <w:pPr>
        <w:pStyle w:val="34"/>
        <w:rPr>
          <w:u w:val="none"/>
        </w:rPr>
      </w:pP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2</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u w:val="none"/>
        </w:rPr>
        <w:t>梁、板、楼梯、阳台、空调板等构件中预制部品部件的应用比例应按下列公式</w:t>
      </w:r>
      <w:r>
        <w:rPr>
          <w:rFonts w:hint="eastAsia"/>
          <w:u w:val="none"/>
          <w:lang w:val="en-US" w:eastAsia="zh-CN"/>
        </w:rPr>
        <w:t>计算</w:t>
      </w:r>
      <w:r>
        <w:rPr>
          <w:rFonts w:hint="eastAsia"/>
          <w:u w:val="none"/>
        </w:rPr>
        <w:t>：</w:t>
      </w:r>
    </w:p>
    <w:p>
      <w:pPr>
        <w:pStyle w:val="31"/>
        <w:rPr>
          <w:u w:val="none"/>
        </w:rPr>
      </w:pPr>
      <w:r>
        <w:rPr>
          <w:u w:val="none"/>
        </w:rPr>
        <w:tab/>
      </w:r>
      <w:r>
        <w:rPr>
          <w:position w:val="-26"/>
          <w:u w:val="none"/>
        </w:rPr>
        <w:object>
          <v:shape id="_x0000_i1026" o:spt="75" type="#_x0000_t75" style="height:34.45pt;width:97.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u w:val="none"/>
        </w:rPr>
        <w:tab/>
      </w:r>
      <w:r>
        <w:rPr>
          <w:rFonts w:hint="eastAsia"/>
          <w:u w:val="none"/>
        </w:rPr>
        <w:t>（</w:t>
      </w:r>
      <w:r>
        <w:rPr>
          <w:rFonts w:hint="eastAsia" w:eastAsia="Times New Roman"/>
          <w:u w:val="none"/>
          <w:lang w:val="en-US" w:eastAsia="zh-CN"/>
        </w:rPr>
        <w:t>1</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ind w:left="1842" w:hanging="1842" w:hangingChars="658"/>
        <w:rPr>
          <w:u w:val="none"/>
        </w:rPr>
      </w:pPr>
      <w:r>
        <w:rPr>
          <w:rFonts w:hint="eastAsia"/>
          <w:u w:val="none"/>
        </w:rPr>
        <w:t>式中：q</w:t>
      </w:r>
      <w:r>
        <w:rPr>
          <w:rFonts w:hint="eastAsia" w:eastAsia="Times New Roman"/>
          <w:u w:val="none"/>
          <w:vertAlign w:val="subscript"/>
        </w:rPr>
        <w:t>1</w:t>
      </w:r>
      <w:r>
        <w:rPr>
          <w:u w:val="none"/>
          <w:vertAlign w:val="subscript"/>
        </w:rPr>
        <w:t>b</w:t>
      </w:r>
      <w:r>
        <w:rPr>
          <w:rFonts w:hint="eastAsia"/>
          <w:u w:val="none"/>
        </w:rPr>
        <w:t>——梁、板、楼梯、阳台、空调板等构件中预制部品部件的应用比例；</w:t>
      </w:r>
    </w:p>
    <w:p>
      <w:pPr>
        <w:pStyle w:val="40"/>
        <w:rPr>
          <w:u w:val="none"/>
        </w:rPr>
      </w:pPr>
      <w:r>
        <w:rPr>
          <w:rFonts w:hint="eastAsia"/>
          <w:u w:val="none"/>
        </w:rPr>
        <w:t>A</w:t>
      </w:r>
      <w:r>
        <w:rPr>
          <w:rFonts w:hint="eastAsia" w:eastAsia="Times New Roman"/>
          <w:u w:val="none"/>
          <w:vertAlign w:val="subscript"/>
        </w:rPr>
        <w:t>1</w:t>
      </w:r>
      <w:r>
        <w:rPr>
          <w:u w:val="none"/>
          <w:vertAlign w:val="subscript"/>
        </w:rPr>
        <w:t>b</w:t>
      </w:r>
      <w:r>
        <w:rPr>
          <w:rFonts w:hint="eastAsia"/>
          <w:u w:val="none"/>
        </w:rPr>
        <w:t>——各楼层中预制装配梁（包括采用受力钢筋与免拆模板形成一体的中空梁预制件）、板（含屋面板）、楼梯、阳台、空调板（悬挑板）等水平构件的水平投影面积之和；</w:t>
      </w:r>
    </w:p>
    <w:p>
      <w:pPr>
        <w:pStyle w:val="40"/>
        <w:rPr>
          <w:rFonts w:hint="eastAsia"/>
          <w:u w:val="none"/>
        </w:rPr>
      </w:pPr>
      <w:r>
        <w:rPr>
          <w:rFonts w:hint="eastAsia"/>
          <w:u w:val="none"/>
        </w:rPr>
        <w:t>A——所有楼层的梁、楼板（含屋面板）、楼梯、阳台和空调板等构件的水平投影面积之和。</w:t>
      </w:r>
    </w:p>
    <w:p>
      <w:pPr>
        <w:pStyle w:val="40"/>
        <w:ind w:left="0" w:leftChars="0" w:firstLine="0" w:firstLineChars="0"/>
        <w:rPr>
          <w:rFonts w:hint="eastAsia"/>
          <w:sz w:val="24"/>
          <w:szCs w:val="24"/>
          <w:u w:val="none"/>
          <w:lang w:val="en-US" w:eastAsia="zh-CN"/>
        </w:rPr>
      </w:pPr>
      <w:r>
        <w:rPr>
          <w:rFonts w:hint="eastAsia"/>
          <w:sz w:val="24"/>
          <w:szCs w:val="24"/>
          <w:u w:val="none"/>
          <w:lang w:val="en-US" w:eastAsia="zh-CN"/>
        </w:rPr>
        <w:t>注：</w:t>
      </w:r>
    </w:p>
    <w:p>
      <w:pPr>
        <w:pStyle w:val="32"/>
        <w:spacing w:line="360" w:lineRule="auto"/>
        <w:ind w:left="0" w:leftChars="0" w:firstLine="480" w:firstLineChars="200"/>
        <w:rPr>
          <w:rFonts w:hint="eastAsia" w:ascii="宋体" w:hAnsi="宋体" w:cs="宋体"/>
          <w:i w:val="0"/>
          <w:iCs/>
          <w:color w:val="auto"/>
          <w:sz w:val="24"/>
          <w:szCs w:val="24"/>
          <w:u w:val="none"/>
          <w:lang w:val="en-US" w:eastAsia="zh-CN"/>
        </w:rPr>
      </w:pP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cs="宋体"/>
          <w:i w:val="0"/>
          <w:iCs/>
          <w:color w:val="auto"/>
          <w:kern w:val="2"/>
          <w:sz w:val="24"/>
          <w:szCs w:val="24"/>
          <w:u w:val="none"/>
          <w:shd w:val="clear" w:color="auto" w:fill="FFFFFF"/>
          <w:lang w:val="en-US" w:eastAsia="zh-CN" w:bidi="ar-SA"/>
        </w:rPr>
        <w:t>、当以</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w:t>
      </w:r>
      <w:r>
        <w:rPr>
          <w:rFonts w:hint="eastAsia" w:ascii="宋体" w:hAnsi="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00</w:t>
      </w:r>
      <w:r>
        <w:rPr>
          <w:rFonts w:hint="eastAsia" w:ascii="宋体" w:hAnsi="宋体" w:cs="宋体"/>
          <w:i w:val="0"/>
          <w:iCs/>
          <w:color w:val="auto"/>
          <w:sz w:val="24"/>
          <w:szCs w:val="24"/>
          <w:u w:val="none"/>
          <w:lang w:val="en-US" w:eastAsia="zh-CN"/>
        </w:rPr>
        <w:t>以上部分作为评价单元进行评价时，</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w:t>
      </w:r>
      <w:r>
        <w:rPr>
          <w:rFonts w:hint="eastAsia" w:ascii="宋体" w:hAnsi="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00</w:t>
      </w:r>
      <w:r>
        <w:rPr>
          <w:rFonts w:hint="eastAsia" w:ascii="宋体" w:hAnsi="宋体" w:cs="宋体"/>
          <w:i w:val="0"/>
          <w:iCs/>
          <w:color w:val="auto"/>
          <w:sz w:val="24"/>
          <w:szCs w:val="24"/>
          <w:u w:val="none"/>
          <w:lang w:val="en-US" w:eastAsia="zh-CN"/>
        </w:rPr>
        <w:t>楼（地）面不参与计算（含分子和分母）；</w:t>
      </w:r>
    </w:p>
    <w:p>
      <w:pPr>
        <w:pStyle w:val="32"/>
        <w:spacing w:line="360" w:lineRule="auto"/>
        <w:ind w:left="0" w:leftChars="0" w:firstLine="480" w:firstLineChars="200"/>
        <w:rPr>
          <w:rFonts w:hint="eastAsia"/>
          <w:sz w:val="24"/>
          <w:szCs w:val="24"/>
          <w:u w:val="none"/>
        </w:rPr>
      </w:pPr>
      <w:r>
        <w:rPr>
          <w:rFonts w:hint="eastAsia" w:ascii="宋体" w:hAnsi="宋体" w:eastAsia="Times New Roman" w:cs="宋体"/>
          <w:i w:val="0"/>
          <w:iCs/>
          <w:color w:val="auto"/>
          <w:sz w:val="24"/>
          <w:szCs w:val="24"/>
          <w:u w:val="none"/>
          <w:lang w:val="en-US" w:eastAsia="zh-CN"/>
        </w:rPr>
        <w:t>2</w:t>
      </w:r>
      <w:r>
        <w:rPr>
          <w:rFonts w:hint="eastAsia" w:ascii="宋体" w:hAnsi="宋体" w:cs="宋体"/>
          <w:i w:val="0"/>
          <w:iCs/>
          <w:color w:val="auto"/>
          <w:sz w:val="24"/>
          <w:szCs w:val="24"/>
          <w:u w:val="none"/>
          <w:lang w:val="en-US" w:eastAsia="zh-CN"/>
        </w:rPr>
        <w:t>、</w:t>
      </w:r>
      <w:r>
        <w:rPr>
          <w:rFonts w:hint="eastAsia" w:ascii="宋体" w:hAnsi="宋体" w:cs="宋体"/>
          <w:i w:val="0"/>
          <w:iCs/>
          <w:color w:val="auto"/>
          <w:kern w:val="2"/>
          <w:sz w:val="24"/>
          <w:szCs w:val="24"/>
          <w:u w:val="none"/>
          <w:shd w:val="clear" w:color="auto" w:fill="FFFFFF"/>
          <w:lang w:val="en-US" w:eastAsia="zh-CN" w:bidi="ar-SA"/>
        </w:rPr>
        <w:t>对凸窗板，当项目采用预制凸窗时凸窗板纳入到竖向构件中计算，否则需纳入到</w:t>
      </w:r>
      <w:r>
        <w:rPr>
          <w:rFonts w:hint="eastAsia"/>
          <w:i w:val="0"/>
          <w:iCs/>
          <w:color w:val="auto"/>
          <w:sz w:val="24"/>
          <w:szCs w:val="24"/>
          <w:u w:val="none"/>
        </w:rPr>
        <w:t>水平投影面积</w:t>
      </w:r>
      <w:r>
        <w:rPr>
          <w:rFonts w:hint="eastAsia"/>
          <w:i w:val="0"/>
          <w:iCs/>
          <w:color w:val="auto"/>
          <w:sz w:val="24"/>
          <w:szCs w:val="24"/>
          <w:u w:val="none"/>
          <w:lang w:val="en-US" w:eastAsia="zh-CN"/>
        </w:rPr>
        <w:t>A中。</w:t>
      </w:r>
    </w:p>
    <w:p>
      <w:pPr>
        <w:pStyle w:val="34"/>
        <w:rPr>
          <w:rFonts w:hint="eastAsia" w:ascii="宋体" w:hAnsi="宋体" w:eastAsia="宋体" w:cs="宋体"/>
          <w:sz w:val="28"/>
          <w:szCs w:val="28"/>
          <w:u w:val="none"/>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default" w:ascii="Times New Roman" w:hAnsi="Times New Roman"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u w:val="none"/>
        </w:rPr>
        <w:t>预制装配式楼板、屋面板的水平投影面积包括：</w:t>
      </w:r>
    </w:p>
    <w:p>
      <w:pPr>
        <w:pStyle w:val="46"/>
        <w:ind w:firstLine="560" w:firstLineChars="200"/>
        <w:rPr>
          <w:rFonts w:hint="eastAsia" w:ascii="宋体" w:hAnsi="宋体" w:eastAsia="宋体" w:cs="宋体"/>
          <w:sz w:val="28"/>
          <w:szCs w:val="28"/>
          <w:u w:val="none"/>
        </w:rPr>
      </w:pPr>
      <w:r>
        <w:rPr>
          <w:rFonts w:hint="default" w:ascii="Times New Roman" w:hAnsi="Times New Roman" w:eastAsia="Times New Roman" w:cs="Times New Roman"/>
          <w:sz w:val="28"/>
          <w:szCs w:val="28"/>
          <w:u w:val="none"/>
          <w:lang w:val="en-US" w:eastAsia="zh-CN"/>
        </w:rPr>
        <w:t>1</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rPr>
        <w:t>预制装配式叠合楼板、屋面板的水平投影面积；</w:t>
      </w:r>
    </w:p>
    <w:p>
      <w:pPr>
        <w:pStyle w:val="46"/>
        <w:ind w:firstLine="560" w:firstLineChars="200"/>
        <w:rPr>
          <w:rFonts w:hint="eastAsia" w:ascii="宋体" w:hAnsi="宋体" w:eastAsia="宋体" w:cs="宋体"/>
          <w:sz w:val="28"/>
          <w:szCs w:val="28"/>
          <w:u w:val="none"/>
        </w:rPr>
      </w:pP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 xml:space="preserve"> </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rPr>
        <w:t>预制构件间宽度不大于</w:t>
      </w:r>
      <w:r>
        <w:rPr>
          <w:rFonts w:hint="eastAsia" w:ascii="宋体" w:hAnsi="宋体" w:eastAsia="Times New Roman" w:cs="宋体"/>
          <w:sz w:val="28"/>
          <w:szCs w:val="28"/>
          <w:u w:val="none"/>
          <w:lang w:val="en-US" w:eastAsia="zh-CN"/>
        </w:rPr>
        <w:t>4</w:t>
      </w:r>
      <w:r>
        <w:rPr>
          <w:rFonts w:hint="eastAsia" w:ascii="宋体" w:hAnsi="宋体" w:eastAsia="Times New Roman" w:cs="宋体"/>
          <w:sz w:val="28"/>
          <w:szCs w:val="28"/>
          <w:u w:val="none"/>
        </w:rPr>
        <w:t>00</w:t>
      </w:r>
      <w:r>
        <w:rPr>
          <w:rFonts w:hint="eastAsia" w:ascii="宋体" w:hAnsi="宋体" w:eastAsia="宋体" w:cs="宋体"/>
          <w:sz w:val="28"/>
          <w:szCs w:val="28"/>
          <w:u w:val="none"/>
        </w:rPr>
        <w:t>mm的后浇混凝土带水平投影面积；</w:t>
      </w:r>
    </w:p>
    <w:p>
      <w:pPr>
        <w:widowControl/>
        <w:ind w:firstLine="560" w:firstLineChars="200"/>
        <w:jc w:val="left"/>
        <w:rPr>
          <w:rFonts w:hint="eastAsia" w:ascii="宋体" w:hAnsi="宋体" w:cs="宋体"/>
          <w:sz w:val="28"/>
          <w:szCs w:val="28"/>
          <w:u w:val="none"/>
          <w:lang w:eastAsia="zh-CN"/>
        </w:rPr>
      </w:pPr>
      <w:r>
        <w:rPr>
          <w:rFonts w:hint="default" w:ascii="Times New Roman" w:hAnsi="Times New Roman" w:eastAsia="Times New Roman" w:cs="Times New Roman"/>
          <w:sz w:val="28"/>
          <w:szCs w:val="28"/>
          <w:u w:val="none"/>
          <w:lang w:val="en-US" w:eastAsia="zh-CN"/>
        </w:rPr>
        <w:t>3</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rPr>
        <w:t>金属楼</w:t>
      </w:r>
      <w:r>
        <w:rPr>
          <w:rFonts w:hint="eastAsia" w:ascii="宋体" w:hAnsi="宋体" w:cs="宋体"/>
          <w:sz w:val="28"/>
          <w:szCs w:val="28"/>
          <w:u w:val="none"/>
          <w:lang w:val="en-US" w:eastAsia="zh-CN"/>
        </w:rPr>
        <w:t>承</w:t>
      </w:r>
      <w:r>
        <w:rPr>
          <w:rFonts w:hint="eastAsia" w:ascii="宋体" w:hAnsi="宋体" w:eastAsia="宋体" w:cs="宋体"/>
          <w:sz w:val="28"/>
          <w:szCs w:val="28"/>
          <w:u w:val="none"/>
        </w:rPr>
        <w:t>板和屋面板、木楼盖和屋盖及其他在施工现场免支模的楼盖和屋盖</w:t>
      </w:r>
      <w:r>
        <w:rPr>
          <w:rFonts w:hint="eastAsia" w:ascii="宋体" w:hAnsi="宋体" w:eastAsia="宋体" w:cs="宋体"/>
          <w:color w:val="auto"/>
          <w:sz w:val="28"/>
          <w:szCs w:val="28"/>
          <w:u w:val="none"/>
        </w:rPr>
        <w:t>的水平投影面积</w:t>
      </w:r>
      <w:r>
        <w:rPr>
          <w:rFonts w:hint="eastAsia" w:ascii="宋体" w:hAnsi="宋体" w:cs="宋体"/>
          <w:sz w:val="28"/>
          <w:szCs w:val="28"/>
          <w:u w:val="none"/>
          <w:lang w:eastAsia="zh-CN"/>
        </w:rPr>
        <w:t>。</w:t>
      </w:r>
    </w:p>
    <w:p>
      <w:pPr>
        <w:widowControl/>
        <w:spacing w:line="360" w:lineRule="auto"/>
        <w:jc w:val="left"/>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注：</w:t>
      </w:r>
    </w:p>
    <w:p>
      <w:pPr>
        <w:spacing w:line="360" w:lineRule="auto"/>
        <w:rPr>
          <w:rFonts w:hint="eastAsia" w:ascii="宋体" w:hAnsi="宋体" w:cs="宋体"/>
          <w:sz w:val="24"/>
          <w:lang w:val="en-US" w:eastAsia="zh-CN"/>
        </w:rPr>
      </w:pPr>
      <w:r>
        <w:rPr>
          <w:rFonts w:hint="eastAsia" w:ascii="宋体" w:hAnsi="宋体" w:cs="宋体"/>
          <w:color w:val="auto"/>
          <w:sz w:val="24"/>
          <w:szCs w:val="24"/>
          <w:u w:val="none"/>
          <w:lang w:val="en-US" w:eastAsia="zh-CN"/>
        </w:rPr>
        <w:t>1</w:t>
      </w:r>
      <w:r>
        <w:rPr>
          <w:rFonts w:hint="eastAsia" w:ascii="宋体" w:hAnsi="宋体" w:cs="宋体"/>
          <w:sz w:val="24"/>
          <w:lang w:val="en-US" w:eastAsia="zh-CN"/>
        </w:rPr>
        <w:t>、</w:t>
      </w:r>
      <w:r>
        <w:rPr>
          <w:rFonts w:hint="eastAsia" w:ascii="宋体" w:hAnsi="宋体" w:cs="宋体"/>
          <w:sz w:val="24"/>
        </w:rPr>
        <w:t>其他在施工现场免支模的楼盖和屋盖</w:t>
      </w:r>
      <w:r>
        <w:rPr>
          <w:rFonts w:hint="eastAsia" w:ascii="宋体" w:hAnsi="宋体" w:cs="宋体"/>
          <w:sz w:val="24"/>
          <w:lang w:val="en-US" w:eastAsia="zh-CN"/>
        </w:rPr>
        <w:t>指除叠合楼板、预制楼板、金属楼承板组合楼板、木楼盖和轻型金属屋面外，现浇混凝土楼板的底模板不拆除的楼板（屋面板）</w:t>
      </w:r>
      <w:r>
        <w:rPr>
          <w:rFonts w:hint="eastAsia" w:ascii="宋体" w:hAnsi="宋体" w:cs="宋体"/>
          <w:sz w:val="24"/>
        </w:rPr>
        <w:t>。</w:t>
      </w:r>
      <w:r>
        <w:rPr>
          <w:rFonts w:hint="eastAsia" w:ascii="宋体" w:hAnsi="宋体" w:cs="宋体"/>
          <w:sz w:val="24"/>
          <w:lang w:val="en-US" w:eastAsia="zh-CN"/>
        </w:rPr>
        <w:t>项目采用的</w:t>
      </w:r>
      <w:r>
        <w:rPr>
          <w:rFonts w:hint="eastAsia" w:ascii="宋体" w:hAnsi="宋体" w:cs="宋体"/>
          <w:sz w:val="24"/>
        </w:rPr>
        <w:t>免支模楼盖</w:t>
      </w:r>
      <w:r>
        <w:rPr>
          <w:rFonts w:hint="eastAsia" w:ascii="宋体" w:hAnsi="宋体" w:cs="宋体"/>
          <w:sz w:val="24"/>
          <w:lang w:eastAsia="zh-CN"/>
        </w:rPr>
        <w:t>（</w:t>
      </w:r>
      <w:r>
        <w:rPr>
          <w:rFonts w:hint="eastAsia" w:ascii="宋体" w:hAnsi="宋体" w:cs="宋体"/>
          <w:sz w:val="24"/>
        </w:rPr>
        <w:t>屋盖</w:t>
      </w:r>
      <w:r>
        <w:rPr>
          <w:rFonts w:hint="eastAsia" w:ascii="宋体" w:hAnsi="宋体" w:cs="宋体"/>
          <w:sz w:val="24"/>
          <w:lang w:eastAsia="zh-CN"/>
        </w:rPr>
        <w:t>）</w:t>
      </w:r>
      <w:r>
        <w:rPr>
          <w:rFonts w:hint="eastAsia" w:ascii="宋体" w:hAnsi="宋体" w:cs="宋体"/>
          <w:sz w:val="24"/>
          <w:lang w:val="en-US" w:eastAsia="zh-CN"/>
        </w:rPr>
        <w:t>技术需有国家或广东省对应的相关标准（或图集）作为设计依据；</w:t>
      </w:r>
    </w:p>
    <w:p>
      <w:pPr>
        <w:spacing w:line="360" w:lineRule="auto"/>
        <w:rPr>
          <w:rFonts w:hint="eastAsia" w:ascii="宋体" w:hAnsi="宋体" w:cs="宋体"/>
          <w:sz w:val="24"/>
          <w:lang w:val="en-US" w:eastAsia="zh-CN"/>
        </w:rPr>
      </w:pPr>
      <w:r>
        <w:rPr>
          <w:rFonts w:hint="eastAsia" w:ascii="宋体" w:hAnsi="宋体" w:cs="宋体"/>
          <w:i w:val="0"/>
          <w:iCs w:val="0"/>
          <w:color w:val="auto"/>
          <w:kern w:val="44"/>
          <w:sz w:val="24"/>
          <w:szCs w:val="24"/>
          <w:u w:val="none"/>
          <w:shd w:val="clear" w:color="auto" w:fill="auto"/>
          <w:lang w:val="en-US" w:eastAsia="zh-CN" w:bidi="ar-SA"/>
        </w:rPr>
        <w:t>2</w:t>
      </w:r>
      <w:r>
        <w:rPr>
          <w:rFonts w:hint="eastAsia" w:ascii="宋体" w:hAnsi="宋体" w:cs="宋体"/>
          <w:sz w:val="24"/>
          <w:lang w:val="en-US" w:eastAsia="zh-CN"/>
        </w:rPr>
        <w:t>、楼板（含屋面板）的水平投影面积可取楼层外边线投影围合的面积扣除围合范围内的洞口面积、阳台的面积、混凝土墙和柱的水平投影面积、以及梁的水平投影面积后剩余的面积。梁的水平投影面积不包括梁与柱重叠、梁与钢筋混凝土剪力墙重叠的面积。当高层建筑存在组合平面、楼板不连续、凹凸不规则等项时，且公共通道及前室采用现浇楼盖时，可扣除相应的面积，但不超过</w:t>
      </w:r>
      <w:r>
        <w:rPr>
          <w:rFonts w:hint="eastAsia" w:ascii="宋体" w:hAnsi="宋体" w:eastAsia="宋体" w:cs="宋体"/>
          <w:i w:val="0"/>
          <w:iCs w:val="0"/>
          <w:color w:val="auto"/>
          <w:kern w:val="44"/>
          <w:sz w:val="24"/>
          <w:szCs w:val="24"/>
          <w:u w:val="none"/>
          <w:shd w:val="clear" w:color="auto" w:fill="auto"/>
          <w:lang w:val="en-US" w:eastAsia="zh-CN" w:bidi="ar-SA"/>
        </w:rPr>
        <w:t>50</w:t>
      </w:r>
      <w:r>
        <w:rPr>
          <w:rFonts w:hint="eastAsia" w:ascii="宋体" w:hAnsi="宋体" w:cs="宋体"/>
          <w:sz w:val="24"/>
          <w:lang w:val="en-US" w:eastAsia="zh-CN"/>
        </w:rPr>
        <w:t>m</w:t>
      </w:r>
      <w:r>
        <w:rPr>
          <w:rFonts w:hint="eastAsia" w:ascii="宋体" w:hAnsi="宋体" w:eastAsia="宋体" w:cs="宋体"/>
          <w:i w:val="0"/>
          <w:iCs w:val="0"/>
          <w:color w:val="auto"/>
          <w:kern w:val="44"/>
          <w:sz w:val="24"/>
          <w:szCs w:val="24"/>
          <w:u w:val="none"/>
          <w:shd w:val="clear" w:color="auto" w:fill="auto"/>
          <w:vertAlign w:val="superscript"/>
          <w:lang w:val="en-US" w:eastAsia="zh-CN" w:bidi="ar-SA"/>
        </w:rPr>
        <w:t>2</w:t>
      </w:r>
      <w:r>
        <w:rPr>
          <w:rFonts w:hint="eastAsia" w:ascii="宋体" w:hAnsi="宋体" w:cs="宋体"/>
          <w:sz w:val="24"/>
          <w:lang w:val="en-US" w:eastAsia="zh-CN"/>
        </w:rPr>
        <w:t>。</w:t>
      </w:r>
    </w:p>
    <w:p>
      <w:pPr>
        <w:pStyle w:val="40"/>
        <w:ind w:left="0" w:leftChars="0" w:firstLine="0" w:firstLineChars="0"/>
        <w:rPr>
          <w:rFonts w:hint="eastAsia" w:ascii="黑体" w:hAnsi="黑体" w:eastAsia="黑体" w:cs="黑体"/>
          <w:color w:val="auto"/>
          <w:sz w:val="21"/>
          <w:szCs w:val="21"/>
          <w:u w:val="none"/>
          <w:lang w:val="en-US" w:eastAsia="zh-CN"/>
        </w:rPr>
      </w:pPr>
      <w:r>
        <w:rPr>
          <w:rFonts w:hint="default" w:ascii="Times New Roman" w:hAnsi="Times New Roman" w:eastAsia="Times New Roman" w:cs="Times New Roman"/>
          <w:b/>
          <w:bCs/>
          <w:color w:val="auto"/>
          <w:sz w:val="30"/>
          <w:szCs w:val="30"/>
          <w:u w:val="none"/>
          <w:lang w:val="en-US" w:eastAsia="zh-CN"/>
        </w:rPr>
        <w:t>2</w:t>
      </w:r>
      <w:r>
        <w:rPr>
          <w:rFonts w:hint="default" w:ascii="Times New Roman" w:hAnsi="Times New Roman" w:eastAsia="宋体" w:cs="Times New Roman"/>
          <w:b/>
          <w:bCs/>
          <w:color w:val="auto"/>
          <w:sz w:val="30"/>
          <w:szCs w:val="30"/>
          <w:u w:val="none"/>
          <w:lang w:val="en-US" w:eastAsia="zh-CN"/>
        </w:rPr>
        <w:t xml:space="preserve"> </w:t>
      </w:r>
      <w:r>
        <w:rPr>
          <w:rFonts w:hint="eastAsia" w:ascii="宋体" w:hAnsi="宋体" w:eastAsia="宋体" w:cs="宋体"/>
          <w:b/>
          <w:bCs/>
          <w:color w:val="auto"/>
          <w:sz w:val="30"/>
          <w:szCs w:val="30"/>
          <w:u w:val="none"/>
          <w:lang w:val="en-US" w:eastAsia="zh-CN"/>
        </w:rPr>
        <w:t xml:space="preserve"> Q</w:t>
      </w:r>
      <w:r>
        <w:rPr>
          <w:rFonts w:hint="eastAsia" w:ascii="宋体" w:hAnsi="宋体" w:eastAsia="Times New Roman" w:cs="宋体"/>
          <w:b/>
          <w:bCs/>
          <w:color w:val="auto"/>
          <w:sz w:val="30"/>
          <w:szCs w:val="30"/>
          <w:u w:val="none"/>
          <w:vertAlign w:val="subscript"/>
          <w:lang w:val="en-US" w:eastAsia="zh-CN"/>
        </w:rPr>
        <w:t>2</w:t>
      </w:r>
      <w:r>
        <w:rPr>
          <w:rFonts w:hint="eastAsia" w:ascii="宋体" w:hAnsi="宋体" w:eastAsia="宋体" w:cs="宋体"/>
          <w:b/>
          <w:bCs/>
          <w:color w:val="auto"/>
          <w:sz w:val="30"/>
          <w:szCs w:val="30"/>
          <w:u w:val="none"/>
          <w:lang w:val="en-US" w:eastAsia="zh-CN"/>
        </w:rPr>
        <w:t>：围护墙和内隔墙</w:t>
      </w:r>
      <w:r>
        <w:rPr>
          <w:rFonts w:hint="eastAsia" w:ascii="宋体" w:hAnsi="宋体" w:eastAsia="宋体" w:cs="宋体"/>
          <w:b w:val="0"/>
          <w:bCs w:val="0"/>
          <w:color w:val="auto"/>
          <w:sz w:val="21"/>
          <w:szCs w:val="21"/>
          <w:u w:val="none"/>
          <w:lang w:val="en-US" w:eastAsia="zh-CN"/>
        </w:rPr>
        <w:t>（总分</w:t>
      </w:r>
      <w:r>
        <w:rPr>
          <w:rFonts w:hint="eastAsia" w:ascii="宋体" w:hAnsi="宋体" w:eastAsia="Times New Roman" w:cs="宋体"/>
          <w:b w:val="0"/>
          <w:bCs w:val="0"/>
          <w:color w:val="auto"/>
          <w:sz w:val="21"/>
          <w:szCs w:val="21"/>
          <w:u w:val="none"/>
          <w:lang w:val="en-US" w:eastAsia="zh-CN"/>
        </w:rPr>
        <w:t>20</w:t>
      </w:r>
      <w:r>
        <w:rPr>
          <w:rFonts w:hint="eastAsia" w:ascii="宋体" w:hAnsi="宋体" w:eastAsia="宋体" w:cs="宋体"/>
          <w:b w:val="0"/>
          <w:bCs w:val="0"/>
          <w:color w:val="auto"/>
          <w:sz w:val="21"/>
          <w:szCs w:val="21"/>
          <w:u w:val="none"/>
          <w:lang w:val="en-US" w:eastAsia="zh-CN"/>
        </w:rPr>
        <w:t>分，</w:t>
      </w:r>
      <w:r>
        <w:rPr>
          <w:rFonts w:hint="eastAsia" w:ascii="宋体" w:hAnsi="宋体" w:eastAsia="宋体" w:cs="宋体"/>
          <w:b w:val="0"/>
          <w:bCs w:val="0"/>
          <w:color w:val="auto"/>
          <w:sz w:val="21"/>
          <w:szCs w:val="21"/>
          <w:lang w:val="en-US" w:eastAsia="zh-CN"/>
        </w:rPr>
        <w:t>最低分值</w:t>
      </w:r>
      <w:r>
        <w:rPr>
          <w:rFonts w:hint="eastAsia" w:ascii="宋体" w:hAnsi="宋体" w:eastAsia="Times New Roman" w:cs="宋体"/>
          <w:b w:val="0"/>
          <w:bCs w:val="0"/>
          <w:color w:val="auto"/>
          <w:sz w:val="21"/>
          <w:szCs w:val="21"/>
          <w:u w:val="none"/>
          <w:lang w:val="en-US" w:eastAsia="zh-CN"/>
        </w:rPr>
        <w:t>10</w:t>
      </w:r>
      <w:r>
        <w:rPr>
          <w:rFonts w:hint="eastAsia" w:ascii="宋体" w:hAnsi="宋体" w:eastAsia="宋体" w:cs="宋体"/>
          <w:b w:val="0"/>
          <w:bCs w:val="0"/>
          <w:color w:val="auto"/>
          <w:sz w:val="21"/>
          <w:szCs w:val="21"/>
          <w:u w:val="none"/>
          <w:lang w:val="en-US" w:eastAsia="zh-CN"/>
        </w:rPr>
        <w:t>分。）</w:t>
      </w:r>
    </w:p>
    <w:p>
      <w:pPr>
        <w:pStyle w:val="40"/>
        <w:ind w:left="0" w:leftChars="0" w:firstLine="0" w:firstLineChars="0"/>
        <w:rPr>
          <w:rFonts w:hint="eastAsia" w:ascii="宋体" w:hAnsi="宋体" w:cs="宋体"/>
          <w:color w:val="auto"/>
          <w:sz w:val="21"/>
          <w:szCs w:val="21"/>
          <w:u w:val="none"/>
          <w:lang w:val="en-US" w:eastAsia="zh-CN"/>
        </w:rPr>
      </w:pPr>
      <w:r>
        <w:rPr>
          <w:rFonts w:hint="default" w:ascii="Times New Roman" w:hAnsi="Times New Roman" w:eastAsia="Times New Roman" w:cs="Times New Roman"/>
          <w:b/>
          <w:bCs/>
          <w:color w:val="auto"/>
          <w:u w:val="none"/>
          <w:lang w:val="en-US" w:eastAsia="zh-CN"/>
        </w:rPr>
        <w:t>2</w:t>
      </w:r>
      <w:r>
        <w:rPr>
          <w:rFonts w:hint="default" w:ascii="Times New Roman" w:hAnsi="Times New Roman" w:cs="Times New Roman"/>
          <w:b/>
          <w:bCs/>
          <w:color w:val="auto"/>
          <w:u w:val="none"/>
          <w:lang w:val="en-US" w:eastAsia="zh-CN"/>
        </w:rPr>
        <w:t>.</w:t>
      </w:r>
      <w:r>
        <w:rPr>
          <w:rFonts w:hint="default" w:ascii="Times New Roman" w:hAnsi="Times New Roman" w:eastAsia="Times New Roman" w:cs="Times New Roman"/>
          <w:b/>
          <w:bCs/>
          <w:color w:val="auto"/>
          <w:u w:val="none"/>
          <w:lang w:val="en-US" w:eastAsia="zh-CN"/>
        </w:rPr>
        <w:t>1</w:t>
      </w:r>
      <w:r>
        <w:rPr>
          <w:rFonts w:hint="eastAsia" w:ascii="宋体" w:hAnsi="宋体" w:cs="宋体"/>
          <w:b/>
          <w:bCs/>
          <w:color w:val="auto"/>
          <w:u w:val="none"/>
          <w:lang w:val="en-US" w:eastAsia="zh-CN"/>
        </w:rPr>
        <w:t xml:space="preserve">  Q</w:t>
      </w:r>
      <w:r>
        <w:rPr>
          <w:rFonts w:hint="eastAsia" w:ascii="宋体" w:hAnsi="宋体" w:eastAsia="Times New Roman" w:cs="宋体"/>
          <w:b/>
          <w:bCs/>
          <w:color w:val="auto"/>
          <w:u w:val="none"/>
          <w:vertAlign w:val="subscript"/>
          <w:lang w:val="en-US" w:eastAsia="zh-CN"/>
        </w:rPr>
        <w:t>2</w:t>
      </w:r>
      <w:r>
        <w:rPr>
          <w:rFonts w:hint="eastAsia" w:ascii="宋体" w:hAnsi="宋体" w:cs="宋体"/>
          <w:b/>
          <w:bCs/>
          <w:color w:val="auto"/>
          <w:u w:val="none"/>
          <w:vertAlign w:val="subscript"/>
          <w:lang w:val="en-US" w:eastAsia="zh-CN"/>
        </w:rPr>
        <w:t>a</w:t>
      </w:r>
      <w:r>
        <w:rPr>
          <w:rFonts w:hint="eastAsia" w:ascii="宋体" w:hAnsi="宋体" w:cs="宋体"/>
          <w:b/>
          <w:bCs/>
          <w:color w:val="auto"/>
          <w:u w:val="none"/>
          <w:lang w:val="en-US" w:eastAsia="zh-CN"/>
        </w:rPr>
        <w:t>：非承重围护墙非砌筑</w:t>
      </w:r>
      <w:r>
        <w:rPr>
          <w:rFonts w:hint="eastAsia" w:ascii="宋体" w:hAnsi="宋体" w:eastAsia="宋体" w:cs="宋体"/>
          <w:color w:val="auto"/>
          <w:sz w:val="21"/>
          <w:szCs w:val="21"/>
          <w:u w:val="none"/>
          <w:lang w:val="en-US" w:eastAsia="zh-CN"/>
        </w:rPr>
        <w:t>（</w:t>
      </w:r>
      <w:r>
        <w:rPr>
          <w:rFonts w:hint="eastAsia" w:ascii="宋体" w:hAnsi="宋体" w:eastAsia="Times New Roman" w:cs="宋体"/>
          <w:color w:val="auto"/>
          <w:sz w:val="21"/>
          <w:szCs w:val="21"/>
          <w:u w:val="none"/>
          <w:lang w:val="en-US" w:eastAsia="zh-CN"/>
        </w:rPr>
        <w:t>5</w:t>
      </w:r>
      <w:r>
        <w:rPr>
          <w:rFonts w:hint="eastAsia" w:ascii="宋体" w:hAnsi="宋体" w:eastAsia="宋体" w:cs="宋体"/>
          <w:color w:val="auto"/>
          <w:sz w:val="21"/>
          <w:szCs w:val="21"/>
          <w:u w:val="none"/>
          <w:lang w:val="en-US" w:eastAsia="zh-CN"/>
        </w:rPr>
        <w:t>分，评价要求：比例≥</w:t>
      </w:r>
      <w:r>
        <w:rPr>
          <w:rFonts w:hint="eastAsia" w:ascii="宋体" w:hAnsi="宋体" w:eastAsia="Times New Roman" w:cs="宋体"/>
          <w:color w:val="auto"/>
          <w:sz w:val="21"/>
          <w:szCs w:val="21"/>
          <w:u w:val="none"/>
          <w:lang w:val="en-US" w:eastAsia="zh-CN"/>
        </w:rPr>
        <w:t>80</w:t>
      </w:r>
      <w:r>
        <w:rPr>
          <w:rFonts w:hint="eastAsia" w:ascii="宋体" w:hAnsi="宋体" w:eastAsia="宋体" w:cs="宋体"/>
          <w:color w:val="auto"/>
          <w:sz w:val="21"/>
          <w:szCs w:val="21"/>
          <w:u w:val="none"/>
          <w:lang w:val="en-US" w:eastAsia="zh-CN"/>
        </w:rPr>
        <w:t>%）</w:t>
      </w:r>
    </w:p>
    <w:p>
      <w:pPr>
        <w:pStyle w:val="34"/>
        <w:ind w:firstLine="0" w:firstLineChars="0"/>
        <w:rPr>
          <w:color w:val="auto"/>
          <w:u w:val="none"/>
        </w:rPr>
      </w:pPr>
      <w:r>
        <w:rPr>
          <w:rFonts w:hint="default" w:ascii="Times New Roman" w:hAnsi="Times New Roman" w:eastAsia="Times New Roman" w:cs="Times New Roman"/>
          <w:b/>
          <w:color w:val="auto"/>
          <w:u w:val="none"/>
          <w:lang w:val="en-US" w:eastAsia="zh-CN"/>
        </w:rPr>
        <w:t>2</w:t>
      </w:r>
      <w:r>
        <w:rPr>
          <w:rFonts w:hint="default" w:ascii="Times New Roman" w:hAnsi="Times New Roman" w:cs="Times New Roman"/>
          <w:b/>
          <w:color w:val="auto"/>
          <w:u w:val="none"/>
          <w:lang w:val="en-US" w:eastAsia="zh-CN"/>
        </w:rPr>
        <w:t>.</w:t>
      </w:r>
      <w:r>
        <w:rPr>
          <w:rFonts w:hint="default" w:ascii="Times New Roman" w:hAnsi="Times New Roman" w:eastAsia="Times New Roman" w:cs="Times New Roman"/>
          <w:b/>
          <w:color w:val="auto"/>
          <w:u w:val="none"/>
          <w:lang w:val="en-US" w:eastAsia="zh-CN"/>
        </w:rPr>
        <w:t>1</w:t>
      </w:r>
      <w:r>
        <w:rPr>
          <w:rFonts w:hint="default" w:ascii="Times New Roman" w:hAnsi="Times New Roman" w:cs="Times New Roman"/>
          <w:b/>
          <w:color w:val="auto"/>
          <w:u w:val="none"/>
          <w:lang w:val="en-US" w:eastAsia="zh-CN"/>
        </w:rPr>
        <w:t>.</w:t>
      </w:r>
      <w:r>
        <w:rPr>
          <w:rFonts w:hint="default" w:ascii="Times New Roman" w:hAnsi="Times New Roman" w:eastAsia="Times New Roman" w:cs="Times New Roman"/>
          <w:b/>
          <w:color w:val="auto"/>
          <w:u w:val="none"/>
          <w:lang w:val="en-US" w:eastAsia="zh-CN"/>
        </w:rPr>
        <w:t>1</w:t>
      </w:r>
      <w:r>
        <w:rPr>
          <w:rFonts w:ascii="Times New Roman" w:hAnsi="Times New Roman" w:cs="Times New Roman"/>
          <w:color w:val="auto"/>
          <w:u w:val="none"/>
        </w:rPr>
        <w:tab/>
      </w:r>
      <w:r>
        <w:rPr>
          <w:rFonts w:hint="eastAsia"/>
          <w:color w:val="auto"/>
          <w:u w:val="none"/>
        </w:rPr>
        <w:t>非承重围护墙中非砌筑墙体的应用比例应按下列式计算：</w:t>
      </w:r>
    </w:p>
    <w:p>
      <w:pPr>
        <w:pStyle w:val="31"/>
        <w:rPr>
          <w:color w:val="auto"/>
          <w:u w:val="none"/>
        </w:rPr>
      </w:pPr>
      <w:r>
        <w:rPr>
          <w:color w:val="auto"/>
          <w:u w:val="none"/>
        </w:rPr>
        <w:tab/>
      </w:r>
      <w:r>
        <w:rPr>
          <w:color w:val="auto"/>
          <w:position w:val="-34"/>
          <w:u w:val="none"/>
        </w:rPr>
        <w:object>
          <v:shape id="_x0000_i1049" o:spt="75" type="#_x0000_t75" style="height:40.05pt;width:102pt;" o:ole="t" filled="f" o:preferrelative="t" stroked="f" coordsize="21600,21600">
            <v:path/>
            <v:fill on="f" focussize="0,0"/>
            <v:stroke on="f" joinstyle="miter"/>
            <v:imagedata r:id="rId20" o:title=""/>
            <o:lock v:ext="edit" aspectratio="t"/>
            <w10:wrap type="none"/>
            <w10:anchorlock/>
          </v:shape>
          <o:OLEObject Type="Embed" ProgID="Equation.DSMT4" ShapeID="_x0000_i1049" DrawAspect="Content" ObjectID="_1468075727" r:id="rId19">
            <o:LockedField>false</o:LockedField>
          </o:OLEObject>
        </w:object>
      </w:r>
      <w:r>
        <w:rPr>
          <w:color w:val="auto"/>
          <w:u w:val="none"/>
        </w:rPr>
        <w:tab/>
      </w:r>
      <w:r>
        <w:rPr>
          <w:rFonts w:hint="eastAsia"/>
          <w:color w:val="auto"/>
          <w:u w:val="none"/>
        </w:rPr>
        <w:t>（</w:t>
      </w:r>
      <w:r>
        <w:rPr>
          <w:rFonts w:hint="eastAsia" w:eastAsia="Times New Roman"/>
          <w:color w:val="auto"/>
          <w:u w:val="none"/>
          <w:lang w:val="en-US" w:eastAsia="zh-CN"/>
        </w:rPr>
        <w:t>2</w:t>
      </w:r>
      <w:r>
        <w:rPr>
          <w:color w:val="auto"/>
          <w:u w:val="none"/>
        </w:rPr>
        <w:t>.</w:t>
      </w:r>
      <w:r>
        <w:rPr>
          <w:rFonts w:hint="eastAsia" w:eastAsia="Times New Roman"/>
          <w:color w:val="auto"/>
          <w:u w:val="none"/>
          <w:lang w:val="en-US" w:eastAsia="zh-CN"/>
        </w:rPr>
        <w:t>1</w:t>
      </w:r>
      <w:r>
        <w:rPr>
          <w:color w:val="auto"/>
          <w:u w:val="none"/>
        </w:rPr>
        <w:t>.</w:t>
      </w:r>
      <w:r>
        <w:rPr>
          <w:rFonts w:eastAsia="Times New Roman"/>
          <w:color w:val="auto"/>
          <w:u w:val="none"/>
        </w:rPr>
        <w:t>1</w:t>
      </w:r>
      <w:r>
        <w:rPr>
          <w:rFonts w:hint="eastAsia"/>
          <w:color w:val="auto"/>
          <w:u w:val="none"/>
        </w:rPr>
        <w:t>）</w:t>
      </w:r>
    </w:p>
    <w:p>
      <w:pPr>
        <w:pStyle w:val="39"/>
        <w:rPr>
          <w:color w:val="auto"/>
          <w:u w:val="none"/>
        </w:rPr>
      </w:pPr>
      <w:r>
        <w:rPr>
          <w:rFonts w:hint="eastAsia"/>
          <w:color w:val="auto"/>
          <w:u w:val="none"/>
        </w:rPr>
        <w:t>式中：</w:t>
      </w:r>
      <w:bookmarkStart w:id="529" w:name="_Hlk7450340"/>
      <w:r>
        <w:rPr>
          <w:rFonts w:hint="eastAsia"/>
          <w:color w:val="auto"/>
          <w:u w:val="none"/>
        </w:rPr>
        <w:t>q</w:t>
      </w:r>
      <w:r>
        <w:rPr>
          <w:rFonts w:hint="eastAsia" w:eastAsia="Times New Roman"/>
          <w:color w:val="auto"/>
          <w:u w:val="none"/>
          <w:vertAlign w:val="subscript"/>
        </w:rPr>
        <w:t>2</w:t>
      </w:r>
      <w:r>
        <w:rPr>
          <w:color w:val="auto"/>
          <w:u w:val="none"/>
          <w:vertAlign w:val="subscript"/>
        </w:rPr>
        <w:t>a</w:t>
      </w:r>
      <w:bookmarkEnd w:id="529"/>
      <w:r>
        <w:rPr>
          <w:rFonts w:hint="eastAsia"/>
          <w:color w:val="auto"/>
          <w:u w:val="none"/>
        </w:rPr>
        <w:t>——非承重围护墙中非砌筑墙体的应用比例；</w:t>
      </w:r>
    </w:p>
    <w:p>
      <w:pPr>
        <w:pStyle w:val="40"/>
        <w:rPr>
          <w:color w:val="auto"/>
          <w:u w:val="none"/>
        </w:rPr>
      </w:pPr>
      <w:r>
        <w:rPr>
          <w:rFonts w:hint="eastAsia"/>
          <w:color w:val="auto"/>
          <w:u w:val="none"/>
        </w:rPr>
        <w:t>A</w:t>
      </w:r>
      <w:r>
        <w:rPr>
          <w:rFonts w:eastAsia="Times New Roman"/>
          <w:color w:val="auto"/>
          <w:u w:val="none"/>
          <w:vertAlign w:val="subscript"/>
        </w:rPr>
        <w:t>2</w:t>
      </w:r>
      <w:r>
        <w:rPr>
          <w:color w:val="auto"/>
          <w:u w:val="none"/>
          <w:vertAlign w:val="subscript"/>
        </w:rPr>
        <w:t>a</w:t>
      </w:r>
      <w:r>
        <w:rPr>
          <w:rFonts w:hint="eastAsia"/>
          <w:color w:val="auto"/>
          <w:u w:val="none"/>
        </w:rPr>
        <w:t>——各楼层非承重围护墙中非砌筑墙体的外表面积之和，计算时可不扣除门、窗及预留洞口等的面积；</w:t>
      </w:r>
    </w:p>
    <w:p>
      <w:pPr>
        <w:pStyle w:val="40"/>
        <w:rPr>
          <w:rFonts w:hint="eastAsia"/>
          <w:color w:val="auto"/>
          <w:u w:val="none"/>
        </w:rPr>
      </w:pPr>
      <w:r>
        <w:rPr>
          <w:rFonts w:hint="eastAsia"/>
          <w:color w:val="auto"/>
          <w:u w:val="none"/>
        </w:rPr>
        <w:t>A</w:t>
      </w:r>
      <w:r>
        <w:rPr>
          <w:color w:val="auto"/>
          <w:u w:val="none"/>
          <w:vertAlign w:val="subscript"/>
        </w:rPr>
        <w:t>w</w:t>
      </w:r>
      <w:r>
        <w:rPr>
          <w:rFonts w:eastAsia="Times New Roman"/>
          <w:color w:val="auto"/>
          <w:u w:val="none"/>
          <w:vertAlign w:val="subscript"/>
        </w:rPr>
        <w:t>1</w:t>
      </w:r>
      <w:r>
        <w:rPr>
          <w:rFonts w:hint="eastAsia"/>
          <w:color w:val="auto"/>
          <w:u w:val="none"/>
        </w:rPr>
        <w:t>——各楼层非承重围护墙外表面总面积，计算时可不扣除门、窗及预留洞口等的面积。</w:t>
      </w:r>
    </w:p>
    <w:p>
      <w:pPr>
        <w:pStyle w:val="40"/>
        <w:spacing w:line="360" w:lineRule="auto"/>
        <w:ind w:left="0" w:leftChars="0" w:firstLine="0" w:firstLineChars="0"/>
        <w:rPr>
          <w:rFonts w:hint="eastAsia"/>
          <w:color w:val="auto"/>
          <w:sz w:val="21"/>
          <w:szCs w:val="21"/>
          <w:u w:val="none"/>
          <w:lang w:val="en-US" w:eastAsia="zh-CN"/>
        </w:rPr>
      </w:pPr>
      <w:r>
        <w:rPr>
          <w:rFonts w:hint="eastAsia"/>
          <w:color w:val="auto"/>
          <w:sz w:val="21"/>
          <w:szCs w:val="21"/>
          <w:u w:val="none"/>
          <w:lang w:val="en-US" w:eastAsia="zh-CN"/>
        </w:rPr>
        <w:t>注：</w:t>
      </w:r>
    </w:p>
    <w:p>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非砌筑类型墙体包括非承重预制普通混凝土墙板、轻质条板等各种中大型板材、不设内衬墙的玻璃幕墙、木骨架或轻钢龙骨式复合墙体等。</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Times New Roman"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、对于设置内衬墙的金属和石材幕墙、人造板材幕墙等非透明幕墙，非承重围护墙中非砌筑墙体的应用比例为非砌筑内衬墙体的应用比例。</w:t>
      </w:r>
    </w:p>
    <w:p>
      <w:pPr>
        <w:spacing w:line="360" w:lineRule="auto"/>
        <w:ind w:firstLine="480" w:firstLineChars="200"/>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Times New Roman" w:cs="宋体"/>
          <w:color w:val="auto"/>
          <w:sz w:val="24"/>
          <w:szCs w:val="24"/>
          <w:lang w:val="en-US" w:eastAsia="zh-CN"/>
        </w:rPr>
        <w:t>3</w:t>
      </w:r>
      <w:r>
        <w:rPr>
          <w:rFonts w:hint="eastAsia" w:ascii="宋体" w:hAnsi="宋体" w:eastAsia="宋体" w:cs="宋体"/>
          <w:i w:val="0"/>
          <w:iCs w:val="0"/>
          <w:color w:val="auto"/>
          <w:kern w:val="2"/>
          <w:sz w:val="24"/>
          <w:szCs w:val="24"/>
          <w:u w:val="none"/>
          <w:shd w:val="clear" w:color="auto" w:fill="auto"/>
          <w:lang w:val="en-US" w:eastAsia="zh-CN" w:bidi="ar-SA"/>
        </w:rPr>
        <w:t>、当建筑非承重围护墙体采用高精度模板（注：高精度模板指</w:t>
      </w:r>
      <w:r>
        <w:rPr>
          <w:rFonts w:hint="eastAsia" w:ascii="宋体" w:hAnsi="宋体" w:eastAsia="宋体" w:cs="宋体"/>
          <w:color w:val="auto"/>
          <w:sz w:val="24"/>
          <w:szCs w:val="24"/>
          <w:u w:val="none"/>
        </w:rPr>
        <w:t>由工厂生产，具有高平整度、组装便捷</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脱模后混凝土表面平整度可达到免找平抹灰要求</w:t>
      </w:r>
      <w:r>
        <w:rPr>
          <w:rFonts w:hint="eastAsia" w:ascii="宋体" w:hAnsi="宋体" w:eastAsia="宋体" w:cs="宋体"/>
          <w:color w:val="auto"/>
          <w:sz w:val="24"/>
          <w:szCs w:val="24"/>
          <w:u w:val="none"/>
        </w:rPr>
        <w:t>等特点的浇筑混凝土模板，可多次周转使用且回收利用率高的绿色无污染模板。</w:t>
      </w:r>
      <w:r>
        <w:rPr>
          <w:rFonts w:hint="eastAsia" w:ascii="宋体" w:hAnsi="宋体" w:eastAsia="宋体" w:cs="宋体"/>
          <w:i w:val="0"/>
          <w:iCs w:val="0"/>
          <w:color w:val="auto"/>
          <w:kern w:val="2"/>
          <w:sz w:val="24"/>
          <w:szCs w:val="24"/>
          <w:u w:val="none"/>
          <w:shd w:val="clear" w:color="auto" w:fill="auto"/>
          <w:lang w:val="en-US" w:eastAsia="zh-CN" w:bidi="ar-SA"/>
        </w:rPr>
        <w:t>如铝模板、钢模板、塑料模板）现场浇筑的混凝土墙且表面免找平抹灰时，</w:t>
      </w:r>
      <w:r>
        <w:rPr>
          <w:rFonts w:hint="eastAsia" w:ascii="宋体" w:hAnsi="宋体" w:eastAsia="宋体" w:cs="宋体"/>
          <w:color w:val="auto"/>
          <w:sz w:val="24"/>
          <w:szCs w:val="24"/>
          <w:lang w:val="en-US" w:eastAsia="zh-CN"/>
        </w:rPr>
        <w:t>可视作非</w:t>
      </w:r>
      <w:r>
        <w:rPr>
          <w:rFonts w:hint="eastAsia" w:ascii="宋体" w:hAnsi="宋体" w:eastAsia="宋体" w:cs="宋体"/>
          <w:i w:val="0"/>
          <w:iCs w:val="0"/>
          <w:color w:val="auto"/>
          <w:sz w:val="24"/>
          <w:szCs w:val="24"/>
          <w:lang w:val="en-US" w:eastAsia="zh-CN"/>
        </w:rPr>
        <w:t>砌筑类型墙体</w:t>
      </w:r>
      <w:r>
        <w:rPr>
          <w:rFonts w:hint="eastAsia" w:ascii="宋体" w:hAnsi="宋体" w:eastAsia="宋体" w:cs="宋体"/>
          <w:i w:val="0"/>
          <w:iCs w:val="0"/>
          <w:color w:val="auto"/>
          <w:kern w:val="2"/>
          <w:sz w:val="24"/>
          <w:szCs w:val="24"/>
          <w:u w:val="none"/>
          <w:shd w:val="clear" w:color="auto" w:fill="auto"/>
          <w:lang w:val="en-US" w:eastAsia="zh-CN" w:bidi="ar-SA"/>
        </w:rPr>
        <w:t>。</w:t>
      </w:r>
    </w:p>
    <w:p>
      <w:pPr>
        <w:spacing w:line="360" w:lineRule="auto"/>
        <w:ind w:firstLine="480" w:firstLineChars="200"/>
        <w:rPr>
          <w:rFonts w:hint="eastAsia" w:ascii="宋体" w:hAnsi="宋体" w:eastAsia="宋体" w:cs="宋体"/>
          <w:i/>
          <w:iCs w:val="0"/>
          <w:color w:val="auto"/>
          <w:kern w:val="2"/>
          <w:sz w:val="24"/>
          <w:szCs w:val="24"/>
          <w:u w:val="none"/>
          <w:shd w:val="clear" w:color="auto" w:fill="auto"/>
          <w:lang w:val="en-US" w:eastAsia="zh-CN" w:bidi="ar-SA"/>
        </w:rPr>
      </w:pPr>
      <w:r>
        <w:rPr>
          <w:rFonts w:hint="eastAsia" w:ascii="宋体" w:hAnsi="宋体" w:eastAsia="Times New Roman" w:cs="宋体"/>
          <w:i w:val="0"/>
          <w:iCs w:val="0"/>
          <w:color w:val="auto"/>
          <w:sz w:val="24"/>
          <w:szCs w:val="24"/>
          <w:u w:val="none"/>
          <w:lang w:val="en-US" w:eastAsia="zh-CN"/>
        </w:rPr>
        <w:t>4</w:t>
      </w:r>
      <w:r>
        <w:rPr>
          <w:rFonts w:hint="eastAsia" w:ascii="宋体" w:hAnsi="宋体" w:eastAsia="宋体" w:cs="宋体"/>
          <w:i w:val="0"/>
          <w:iCs w:val="0"/>
          <w:color w:val="auto"/>
          <w:kern w:val="2"/>
          <w:sz w:val="24"/>
          <w:szCs w:val="24"/>
          <w:u w:val="none"/>
          <w:shd w:val="clear" w:color="auto" w:fill="auto"/>
          <w:lang w:val="en-US" w:eastAsia="zh-CN" w:bidi="ar-SA"/>
        </w:rPr>
        <w:t>、门窗洞口上部或下部范围如果存在砌筑部分，则门窗洞口按照砌筑计入，如无砌筑则按照非砌筑计入。</w:t>
      </w:r>
    </w:p>
    <w:p>
      <w:pPr>
        <w:pStyle w:val="34"/>
        <w:rPr>
          <w:rFonts w:hint="eastAsia" w:eastAsia="宋体"/>
          <w:u w:val="none"/>
          <w:lang w:eastAsia="zh-CN"/>
        </w:rPr>
      </w:pPr>
      <w:r>
        <w:rPr>
          <w:rFonts w:hint="default" w:ascii="Times New Roman" w:hAnsi="Times New Roman" w:eastAsia="Times New Roman" w:cs="Times New Roman"/>
          <w:b/>
          <w:bCs/>
          <w:u w:val="none"/>
          <w:lang w:val="en-US" w:eastAsia="zh-CN"/>
        </w:rPr>
        <w:t>2</w:t>
      </w:r>
      <w:r>
        <w:rPr>
          <w:rFonts w:hint="default" w:ascii="Times New Roman" w:hAnsi="Times New Roman" w:eastAsia="宋体"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eastAsia" w:ascii="宋体" w:hAnsi="宋体" w:eastAsia="宋体" w:cs="宋体"/>
          <w:u w:val="none"/>
          <w:lang w:val="en-US" w:eastAsia="zh-CN"/>
        </w:rPr>
        <w:t xml:space="preserve"> </w:t>
      </w:r>
      <w:r>
        <w:rPr>
          <w:rFonts w:hint="eastAsia" w:ascii="宋体" w:hAnsi="宋体" w:eastAsia="宋体" w:cs="宋体"/>
          <w:b/>
          <w:bCs/>
          <w:u w:val="none"/>
          <w:lang w:val="en-US" w:eastAsia="zh-CN"/>
        </w:rPr>
        <w:t xml:space="preserve"> Q</w:t>
      </w:r>
      <w:r>
        <w:rPr>
          <w:rFonts w:hint="eastAsia" w:ascii="宋体" w:hAnsi="宋体" w:eastAsia="Times New Roman" w:cs="宋体"/>
          <w:b/>
          <w:bCs/>
          <w:u w:val="none"/>
          <w:vertAlign w:val="subscript"/>
          <w:lang w:val="en-US" w:eastAsia="zh-CN"/>
        </w:rPr>
        <w:t>2</w:t>
      </w:r>
      <w:r>
        <w:rPr>
          <w:rFonts w:hint="eastAsia" w:ascii="宋体" w:hAnsi="宋体" w:eastAsia="宋体" w:cs="宋体"/>
          <w:b/>
          <w:bCs/>
          <w:u w:val="none"/>
          <w:vertAlign w:val="subscript"/>
          <w:lang w:val="en-US" w:eastAsia="zh-CN"/>
        </w:rPr>
        <w:t>b</w:t>
      </w:r>
      <w:r>
        <w:rPr>
          <w:rFonts w:hint="eastAsia" w:ascii="宋体" w:hAnsi="宋体" w:eastAsia="宋体" w:cs="宋体"/>
          <w:b/>
          <w:bCs/>
          <w:u w:val="none"/>
          <w:lang w:val="en-US" w:eastAsia="zh-CN"/>
        </w:rPr>
        <w:t>：</w:t>
      </w:r>
      <w:r>
        <w:rPr>
          <w:rFonts w:hint="eastAsia" w:ascii="宋体" w:hAnsi="宋体" w:eastAsia="宋体" w:cs="宋体"/>
          <w:b/>
          <w:bCs/>
          <w:u w:val="none"/>
        </w:rPr>
        <w:t>围护墙采用墙体、保温、隔热、装饰集成一体化</w:t>
      </w:r>
      <w:r>
        <w:rPr>
          <w:rFonts w:hint="eastAsia" w:ascii="宋体" w:hAnsi="宋体" w:eastAsia="宋体" w:cs="宋体"/>
          <w:sz w:val="21"/>
          <w:szCs w:val="21"/>
          <w:u w:val="none"/>
          <w:lang w:eastAsia="zh-CN"/>
        </w:rPr>
        <w:t>（</w:t>
      </w:r>
      <w:r>
        <w:rPr>
          <w:rFonts w:hint="eastAsia" w:ascii="宋体" w:hAnsi="宋体" w:eastAsia="Times New Roman" w:cs="宋体"/>
          <w:sz w:val="21"/>
          <w:szCs w:val="21"/>
          <w:u w:val="none"/>
          <w:lang w:val="en-US" w:eastAsia="zh-CN"/>
        </w:rPr>
        <w:t>2</w:t>
      </w:r>
      <w:r>
        <w:rPr>
          <w:rFonts w:hint="eastAsia"/>
          <w:u w:val="none"/>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b w:val="0"/>
          <w:bCs/>
          <w:sz w:val="21"/>
          <w:szCs w:val="21"/>
          <w:u w:val="none"/>
          <w:lang w:val="en-US" w:eastAsia="zh-CN"/>
        </w:rPr>
        <w:t>50</w:t>
      </w:r>
      <w:r>
        <w:rPr>
          <w:rFonts w:hint="eastAsia" w:ascii="宋体" w:hAnsi="宋体" w:eastAsia="宋体" w:cs="宋体"/>
          <w:b w:val="0"/>
          <w:bCs/>
          <w:sz w:val="21"/>
          <w:szCs w:val="21"/>
          <w:u w:val="none"/>
          <w:lang w:val="en-US" w:eastAsia="zh-CN"/>
        </w:rPr>
        <w:t>%≤比例≤</w:t>
      </w:r>
      <w:r>
        <w:rPr>
          <w:rFonts w:hint="eastAsia" w:ascii="宋体" w:hAnsi="宋体" w:eastAsia="Times New Roman" w:cs="宋体"/>
          <w:b w:val="0"/>
          <w:bCs/>
          <w:sz w:val="21"/>
          <w:szCs w:val="21"/>
          <w:u w:val="none"/>
          <w:lang w:val="en-US" w:eastAsia="zh-CN"/>
        </w:rPr>
        <w:t>80</w:t>
      </w:r>
      <w:r>
        <w:rPr>
          <w:rFonts w:hint="eastAsia" w:ascii="宋体" w:hAnsi="宋体" w:eastAsia="宋体" w:cs="宋体"/>
          <w:b w:val="0"/>
          <w:bCs/>
          <w:sz w:val="21"/>
          <w:szCs w:val="21"/>
          <w:u w:val="none"/>
          <w:lang w:val="en-US" w:eastAsia="zh-CN"/>
        </w:rPr>
        <w:t>%</w:t>
      </w:r>
      <w:r>
        <w:rPr>
          <w:rFonts w:hint="eastAsia" w:ascii="宋体" w:hAnsi="宋体" w:eastAsia="宋体" w:cs="宋体"/>
          <w:sz w:val="21"/>
          <w:szCs w:val="21"/>
          <w:u w:val="none"/>
          <w:lang w:eastAsia="zh-CN"/>
        </w:rPr>
        <w:t>）</w:t>
      </w:r>
    </w:p>
    <w:p>
      <w:pPr>
        <w:pStyle w:val="34"/>
        <w:rPr>
          <w:u w:val="none"/>
        </w:rPr>
      </w:pP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b/>
          <w:bCs/>
          <w:u w:val="none"/>
          <w:lang w:val="en-US" w:eastAsia="zh-CN"/>
        </w:rPr>
        <w:t xml:space="preserve">  </w:t>
      </w:r>
      <w:r>
        <w:rPr>
          <w:rFonts w:hint="eastAsia"/>
          <w:u w:val="none"/>
        </w:rPr>
        <w:t>围护墙采用墙体、保温、隔热、装饰集成一体化的应用比例应按下列式计算：</w:t>
      </w:r>
    </w:p>
    <w:p>
      <w:pPr>
        <w:pStyle w:val="31"/>
        <w:rPr>
          <w:u w:val="none"/>
        </w:rPr>
      </w:pPr>
      <w:r>
        <w:rPr>
          <w:u w:val="none"/>
        </w:rPr>
        <w:tab/>
      </w:r>
      <w:r>
        <w:rPr>
          <w:position w:val="-34"/>
          <w:u w:val="none"/>
        </w:rPr>
        <w:object>
          <v:shape id="_x0000_i1028" o:spt="75" type="#_x0000_t75" style="height:40.05pt;width:103.3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u w:val="none"/>
        </w:rPr>
        <w:tab/>
      </w:r>
      <w:r>
        <w:rPr>
          <w:rFonts w:hint="eastAsia"/>
          <w:u w:val="none"/>
        </w:rPr>
        <w:t>（</w:t>
      </w:r>
      <w:r>
        <w:rPr>
          <w:rFonts w:hint="eastAsia" w:eastAsia="Times New Roman"/>
          <w:u w:val="none"/>
          <w:lang w:val="en-US" w:eastAsia="zh-CN"/>
        </w:rPr>
        <w:t>2</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式中：q</w:t>
      </w:r>
      <w:r>
        <w:rPr>
          <w:rFonts w:eastAsia="Times New Roman"/>
          <w:u w:val="none"/>
          <w:vertAlign w:val="subscript"/>
        </w:rPr>
        <w:t>2</w:t>
      </w:r>
      <w:r>
        <w:rPr>
          <w:u w:val="none"/>
          <w:vertAlign w:val="subscript"/>
        </w:rPr>
        <w:t>b</w:t>
      </w:r>
      <w:r>
        <w:rPr>
          <w:rFonts w:hint="eastAsia"/>
          <w:u w:val="none"/>
        </w:rPr>
        <w:t>——围护墙采用墙体、保温、隔热、装饰一体化的应用比例；</w:t>
      </w:r>
    </w:p>
    <w:p>
      <w:pPr>
        <w:pStyle w:val="40"/>
        <w:rPr>
          <w:u w:val="none"/>
        </w:rPr>
      </w:pPr>
      <w:r>
        <w:rPr>
          <w:rFonts w:hint="eastAsia"/>
          <w:u w:val="none"/>
        </w:rPr>
        <w:t>A</w:t>
      </w:r>
      <w:r>
        <w:rPr>
          <w:rFonts w:eastAsia="Times New Roman"/>
          <w:u w:val="none"/>
          <w:vertAlign w:val="subscript"/>
        </w:rPr>
        <w:t>2</w:t>
      </w:r>
      <w:r>
        <w:rPr>
          <w:u w:val="none"/>
          <w:vertAlign w:val="subscript"/>
        </w:rPr>
        <w:t>b</w:t>
      </w:r>
      <w:r>
        <w:rPr>
          <w:rFonts w:hint="eastAsia"/>
          <w:u w:val="none"/>
        </w:rPr>
        <w:t>——各楼层围护墙采用墙体、保温、隔热、装饰一体化墙</w:t>
      </w:r>
      <w:r>
        <w:rPr>
          <w:rFonts w:hint="eastAsia"/>
          <w:u w:val="none"/>
          <w:lang w:val="en-US" w:eastAsia="zh-CN"/>
        </w:rPr>
        <w:t>体</w:t>
      </w:r>
      <w:r>
        <w:rPr>
          <w:rFonts w:hint="eastAsia"/>
          <w:u w:val="none"/>
        </w:rPr>
        <w:t>外表面积之和，计算时可不扣除门、窗及预留洞口等的面积，可扣除承重竖向构件的面积；</w:t>
      </w:r>
    </w:p>
    <w:p>
      <w:pPr>
        <w:pStyle w:val="40"/>
        <w:rPr>
          <w:rFonts w:hint="eastAsia"/>
          <w:u w:val="none"/>
        </w:rPr>
      </w:pPr>
      <w:r>
        <w:rPr>
          <w:rFonts w:hint="eastAsia"/>
          <w:u w:val="none"/>
        </w:rPr>
        <w:t>A</w:t>
      </w:r>
      <w:r>
        <w:rPr>
          <w:rFonts w:hint="eastAsia"/>
          <w:u w:val="none"/>
          <w:vertAlign w:val="subscript"/>
        </w:rPr>
        <w:t>w</w:t>
      </w:r>
      <w:r>
        <w:rPr>
          <w:rFonts w:hint="eastAsia" w:eastAsia="Times New Roman"/>
          <w:u w:val="none"/>
          <w:vertAlign w:val="subscript"/>
        </w:rPr>
        <w:t>2</w:t>
      </w:r>
      <w:r>
        <w:rPr>
          <w:rFonts w:hint="eastAsia"/>
          <w:u w:val="none"/>
        </w:rPr>
        <w:t>——各楼层外围护墙外表总面积，计算时可不扣除门、窗、预留洞口等的面积，可扣除承重竖向构件的面积。</w:t>
      </w:r>
    </w:p>
    <w:p>
      <w:pPr>
        <w:pStyle w:val="32"/>
        <w:ind w:left="0" w:leftChars="0" w:firstLine="480" w:firstLineChars="200"/>
        <w:rPr>
          <w:rFonts w:hint="eastAsia" w:ascii="宋体" w:hAnsi="宋体" w:eastAsia="宋体" w:cs="宋体"/>
          <w:b w:val="0"/>
          <w:bCs w:val="0"/>
          <w:i w:val="0"/>
          <w:iCs/>
          <w:kern w:val="2"/>
          <w:sz w:val="24"/>
          <w:szCs w:val="24"/>
          <w:u w:val="none"/>
          <w:shd w:val="clear" w:color="auto" w:fill="FFFFFF"/>
          <w:lang w:val="en-US" w:eastAsia="zh-CN" w:bidi="ar-SA"/>
        </w:rPr>
      </w:pPr>
      <w:r>
        <w:rPr>
          <w:rFonts w:hint="eastAsia" w:ascii="宋体" w:hAnsi="宋体" w:eastAsia="宋体" w:cs="宋体"/>
          <w:b w:val="0"/>
          <w:bCs w:val="0"/>
          <w:i w:val="0"/>
          <w:iCs/>
          <w:kern w:val="2"/>
          <w:sz w:val="24"/>
          <w:szCs w:val="24"/>
          <w:u w:val="none"/>
          <w:shd w:val="clear" w:color="auto" w:fill="FFFFFF"/>
          <w:lang w:val="en-US" w:eastAsia="zh-CN" w:bidi="ar-SA"/>
        </w:rPr>
        <w:t>注：</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b w:val="0"/>
          <w:bCs w:val="0"/>
          <w:i w:val="0"/>
          <w:iCs/>
          <w:kern w:val="2"/>
          <w:sz w:val="24"/>
          <w:szCs w:val="24"/>
          <w:u w:val="none"/>
          <w:shd w:val="clear" w:color="auto" w:fill="FFFFFF"/>
          <w:lang w:val="en-US" w:eastAsia="zh-CN" w:bidi="ar-SA"/>
        </w:rPr>
        <w:t>1、</w:t>
      </w:r>
      <w:r>
        <w:rPr>
          <w:rFonts w:hint="eastAsia" w:ascii="宋体" w:hAnsi="宋体" w:cs="宋体"/>
          <w:b/>
          <w:bCs/>
          <w:i w:val="0"/>
          <w:iCs/>
          <w:kern w:val="2"/>
          <w:sz w:val="24"/>
          <w:szCs w:val="24"/>
          <w:u w:val="none"/>
          <w:shd w:val="clear" w:color="auto" w:fill="FFFFFF"/>
          <w:lang w:val="en-US" w:eastAsia="zh-CN" w:bidi="ar-SA"/>
        </w:rPr>
        <w:t xml:space="preserve"> </w:t>
      </w:r>
      <w:r>
        <w:rPr>
          <w:rFonts w:hint="eastAsia" w:ascii="宋体" w:hAnsi="宋体" w:eastAsia="宋体" w:cs="宋体"/>
          <w:i w:val="0"/>
          <w:iCs/>
          <w:kern w:val="2"/>
          <w:sz w:val="24"/>
          <w:szCs w:val="24"/>
          <w:u w:val="none"/>
          <w:shd w:val="clear" w:color="auto" w:fill="FFFFFF"/>
          <w:lang w:val="en-US" w:eastAsia="zh-CN" w:bidi="ar-SA"/>
        </w:rPr>
        <w:t>围护墙采用墙体、保温、隔热、装饰一体化强调的是“集成性”，通过集成，满足结构、保温、隔热、装饰要求。同时还强调了从设计阶段需进行一体化集成设计，实现多功能一体的“围护墙系统”。一体化的集成过程应采用干式作业方式，既可以在工厂完成一体化的集成，也可以在现场应用干式作业进行集成。当墙体采用免抹灰工艺时，装饰效果应满足建筑使用功能要求。</w:t>
      </w:r>
    </w:p>
    <w:p>
      <w:pPr>
        <w:pStyle w:val="32"/>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2、</w:t>
      </w:r>
      <w:r>
        <w:rPr>
          <w:rFonts w:hint="eastAsia" w:ascii="宋体" w:hAnsi="宋体" w:eastAsia="宋体" w:cs="宋体"/>
          <w:i w:val="0"/>
          <w:iCs/>
          <w:color w:val="auto"/>
          <w:kern w:val="2"/>
          <w:sz w:val="24"/>
          <w:szCs w:val="24"/>
          <w:u w:val="none"/>
          <w:shd w:val="clear" w:color="auto" w:fill="FFFFFF"/>
          <w:lang w:val="en-US" w:eastAsia="zh-CN" w:bidi="ar-SA"/>
        </w:rPr>
        <w:t>典型的采用墙体、保温、隔热、装饰</w:t>
      </w:r>
      <w:r>
        <w:rPr>
          <w:rFonts w:hint="eastAsia" w:ascii="宋体" w:hAnsi="宋体" w:cs="宋体"/>
          <w:i w:val="0"/>
          <w:iCs/>
          <w:color w:val="auto"/>
          <w:kern w:val="2"/>
          <w:sz w:val="24"/>
          <w:szCs w:val="24"/>
          <w:u w:val="none"/>
          <w:shd w:val="clear" w:color="auto" w:fill="FFFFFF"/>
          <w:lang w:val="en-US" w:eastAsia="zh-CN" w:bidi="ar-SA"/>
        </w:rPr>
        <w:t>集成</w:t>
      </w:r>
      <w:r>
        <w:rPr>
          <w:rFonts w:hint="eastAsia" w:ascii="宋体" w:hAnsi="宋体" w:eastAsia="宋体" w:cs="宋体"/>
          <w:i w:val="0"/>
          <w:iCs/>
          <w:color w:val="auto"/>
          <w:kern w:val="2"/>
          <w:sz w:val="24"/>
          <w:szCs w:val="24"/>
          <w:u w:val="none"/>
          <w:shd w:val="clear" w:color="auto" w:fill="FFFFFF"/>
          <w:lang w:val="en-US" w:eastAsia="zh-CN" w:bidi="ar-SA"/>
        </w:rPr>
        <w:t>一体化的围护墙如下：</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1）</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宋体" w:cs="宋体"/>
          <w:i w:val="0"/>
          <w:iCs/>
          <w:color w:val="auto"/>
          <w:kern w:val="2"/>
          <w:sz w:val="24"/>
          <w:szCs w:val="24"/>
          <w:u w:val="none"/>
          <w:shd w:val="clear" w:color="auto" w:fill="FFFFFF"/>
          <w:lang w:val="en-US" w:eastAsia="zh-CN" w:bidi="ar-SA"/>
        </w:rPr>
        <w:t>PC</w:t>
      </w:r>
      <w:r>
        <w:rPr>
          <w:rFonts w:hint="eastAsia" w:ascii="宋体" w:hAnsi="宋体" w:cs="宋体"/>
          <w:i w:val="0"/>
          <w:iCs/>
          <w:color w:val="auto"/>
          <w:kern w:val="2"/>
          <w:sz w:val="24"/>
          <w:szCs w:val="24"/>
          <w:u w:val="none"/>
          <w:shd w:val="clear" w:color="auto" w:fill="FFFFFF"/>
          <w:lang w:val="en-US" w:eastAsia="zh-CN" w:bidi="ar-SA"/>
        </w:rPr>
        <w:t>预制</w:t>
      </w:r>
      <w:r>
        <w:rPr>
          <w:rFonts w:hint="eastAsia" w:ascii="宋体" w:hAnsi="宋体" w:eastAsia="宋体" w:cs="宋体"/>
          <w:i w:val="0"/>
          <w:iCs/>
          <w:color w:val="auto"/>
          <w:kern w:val="2"/>
          <w:sz w:val="24"/>
          <w:szCs w:val="24"/>
          <w:u w:val="none"/>
          <w:shd w:val="clear" w:color="auto" w:fill="FFFFFF"/>
          <w:lang w:val="en-US" w:eastAsia="zh-CN" w:bidi="ar-SA"/>
        </w:rPr>
        <w:t>夹心保温加瓷砖（石材面）外饰面外墙，内表面施工现场采用免抹灰或薄贴面砖等干式作业方法施工。</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宋体" w:cs="宋体"/>
          <w:i w:val="0"/>
          <w:iCs/>
          <w:color w:val="auto"/>
          <w:kern w:val="2"/>
          <w:sz w:val="24"/>
          <w:szCs w:val="24"/>
          <w:u w:val="none"/>
          <w:shd w:val="clear" w:color="auto" w:fill="FFFFFF"/>
          <w:lang w:val="en-US" w:eastAsia="zh-CN" w:bidi="ar-SA"/>
        </w:rPr>
        <w:t>PC预制夹心保温外墙板，施工现场外表面采用直接进行涂料施工（表面平整度达到平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以内）或薄贴面砖或干挂饰面板，内表面</w:t>
      </w:r>
      <w:r>
        <w:rPr>
          <w:rFonts w:hint="eastAsia" w:ascii="宋体" w:hAnsi="宋体" w:cs="宋体"/>
          <w:i w:val="0"/>
          <w:iCs/>
          <w:color w:val="auto"/>
          <w:kern w:val="2"/>
          <w:sz w:val="24"/>
          <w:szCs w:val="24"/>
          <w:u w:val="none"/>
          <w:shd w:val="clear" w:color="auto" w:fill="FFFFFF"/>
          <w:lang w:val="en-US" w:eastAsia="zh-CN" w:bidi="ar-SA"/>
        </w:rPr>
        <w:t>采用</w:t>
      </w:r>
      <w:r>
        <w:rPr>
          <w:rFonts w:hint="eastAsia" w:ascii="宋体" w:hAnsi="宋体" w:eastAsia="宋体" w:cs="宋体"/>
          <w:i w:val="0"/>
          <w:iCs/>
          <w:color w:val="auto"/>
          <w:kern w:val="2"/>
          <w:sz w:val="24"/>
          <w:szCs w:val="24"/>
          <w:u w:val="none"/>
          <w:shd w:val="clear" w:color="auto" w:fill="FFFFFF"/>
          <w:lang w:val="en-US" w:eastAsia="zh-CN" w:bidi="ar-SA"/>
        </w:rPr>
        <w:t>免抹灰或薄贴面砖等干式作业方法施工。</w:t>
      </w:r>
    </w:p>
    <w:p>
      <w:pPr>
        <w:pStyle w:val="32"/>
        <w:numPr>
          <w:ilvl w:val="0"/>
          <w:numId w:val="0"/>
        </w:numPr>
        <w:ind w:left="0" w:leftChars="0" w:firstLine="480" w:firstLineChars="200"/>
        <w:rPr>
          <w:rFonts w:hint="eastAsia" w:ascii="宋体" w:hAnsi="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3）</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宋体" w:cs="宋体"/>
          <w:i w:val="0"/>
          <w:iCs/>
          <w:color w:val="auto"/>
          <w:kern w:val="2"/>
          <w:sz w:val="24"/>
          <w:szCs w:val="24"/>
          <w:u w:val="none"/>
          <w:shd w:val="clear" w:color="auto" w:fill="FFFFFF"/>
          <w:lang w:val="en-US" w:eastAsia="zh-CN" w:bidi="ar-SA"/>
        </w:rPr>
        <w:t>围护墙</w:t>
      </w:r>
      <w:r>
        <w:rPr>
          <w:rFonts w:hint="eastAsia" w:ascii="宋体" w:hAnsi="宋体" w:cs="宋体"/>
          <w:i w:val="0"/>
          <w:iCs/>
          <w:color w:val="auto"/>
          <w:kern w:val="2"/>
          <w:sz w:val="24"/>
          <w:szCs w:val="24"/>
          <w:u w:val="none"/>
          <w:shd w:val="clear" w:color="auto" w:fill="FFFFFF"/>
          <w:lang w:val="en-US" w:eastAsia="zh-CN" w:bidi="ar-SA"/>
        </w:rPr>
        <w:t>采用</w:t>
      </w:r>
      <w:r>
        <w:rPr>
          <w:rFonts w:hint="eastAsia" w:ascii="宋体" w:hAnsi="宋体" w:eastAsia="宋体" w:cs="宋体"/>
          <w:i w:val="0"/>
          <w:iCs/>
          <w:color w:val="auto"/>
          <w:kern w:val="2"/>
          <w:sz w:val="24"/>
          <w:szCs w:val="24"/>
          <w:u w:val="none"/>
          <w:shd w:val="clear" w:color="auto" w:fill="FFFFFF"/>
          <w:lang w:val="en-US" w:eastAsia="zh-CN" w:bidi="ar-SA"/>
        </w:rPr>
        <w:t>现浇混凝土模板内置保温</w:t>
      </w:r>
      <w:r>
        <w:rPr>
          <w:rFonts w:hint="eastAsia" w:ascii="宋体" w:hAnsi="宋体" w:cs="宋体"/>
          <w:i w:val="0"/>
          <w:iCs/>
          <w:color w:val="auto"/>
          <w:kern w:val="2"/>
          <w:sz w:val="24"/>
          <w:szCs w:val="24"/>
          <w:u w:val="none"/>
          <w:shd w:val="clear" w:color="auto" w:fill="FFFFFF"/>
          <w:lang w:val="en-US" w:eastAsia="zh-CN" w:bidi="ar-SA"/>
        </w:rPr>
        <w:t>板做法</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cs="宋体"/>
          <w:i w:val="0"/>
          <w:iCs/>
          <w:color w:val="auto"/>
          <w:kern w:val="2"/>
          <w:sz w:val="24"/>
          <w:szCs w:val="24"/>
          <w:u w:val="none"/>
          <w:shd w:val="clear" w:color="auto" w:fill="FFFFFF"/>
          <w:lang w:val="en-US" w:eastAsia="zh-CN" w:bidi="ar-SA"/>
        </w:rPr>
        <w:t>内外</w:t>
      </w:r>
      <w:r>
        <w:rPr>
          <w:rFonts w:hint="eastAsia" w:ascii="宋体" w:hAnsi="宋体" w:eastAsia="宋体" w:cs="宋体"/>
          <w:i w:val="0"/>
          <w:iCs/>
          <w:color w:val="auto"/>
          <w:kern w:val="2"/>
          <w:sz w:val="24"/>
          <w:szCs w:val="24"/>
          <w:u w:val="none"/>
          <w:shd w:val="clear" w:color="auto" w:fill="FFFFFF"/>
          <w:lang w:val="en-US" w:eastAsia="zh-CN" w:bidi="ar-SA"/>
        </w:rPr>
        <w:t>表面平整度达到免抹灰要求（表面平整度达到平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以内）</w:t>
      </w:r>
      <w:r>
        <w:rPr>
          <w:rFonts w:hint="eastAsia" w:ascii="宋体" w:hAnsi="宋体" w:cs="宋体"/>
          <w:i w:val="0"/>
          <w:iCs/>
          <w:color w:val="auto"/>
          <w:kern w:val="2"/>
          <w:sz w:val="24"/>
          <w:szCs w:val="24"/>
          <w:u w:val="none"/>
          <w:shd w:val="clear" w:color="auto" w:fill="FFFFFF"/>
          <w:lang w:val="en-US" w:eastAsia="zh-CN" w:bidi="ar-SA"/>
        </w:rPr>
        <w:t>，内外表面均免砂浆找平，且内外饰面施工采用干式工法：</w:t>
      </w:r>
    </w:p>
    <w:p>
      <w:pPr>
        <w:pStyle w:val="32"/>
        <w:numPr>
          <w:ilvl w:val="0"/>
          <w:numId w:val="0"/>
        </w:numPr>
        <w:ind w:left="0" w:leftChars="0" w:firstLine="480" w:firstLineChars="200"/>
        <w:rPr>
          <w:rFonts w:hint="eastAsia" w:ascii="宋体" w:hAnsi="宋体" w:cs="宋体"/>
          <w:i w:val="0"/>
          <w:iCs/>
          <w:color w:val="auto"/>
          <w:kern w:val="2"/>
          <w:sz w:val="24"/>
          <w:szCs w:val="24"/>
          <w:u w:val="none"/>
          <w:shd w:val="clear" w:color="auto" w:fill="FFFFFF"/>
          <w:lang w:val="en-US" w:eastAsia="zh-CN" w:bidi="ar-SA"/>
        </w:rPr>
      </w:pPr>
      <w:r>
        <w:rPr>
          <w:rFonts w:hint="eastAsia" w:ascii="Times New Roman" w:hAnsi="Times New Roman" w:cs="Times New Roman"/>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外</w:t>
      </w:r>
      <w:r>
        <w:rPr>
          <w:rFonts w:hint="eastAsia" w:ascii="宋体" w:hAnsi="宋体" w:cs="宋体"/>
          <w:i w:val="0"/>
          <w:iCs/>
          <w:color w:val="auto"/>
          <w:kern w:val="2"/>
          <w:sz w:val="24"/>
          <w:szCs w:val="24"/>
          <w:u w:val="none"/>
          <w:shd w:val="clear" w:color="auto" w:fill="FFFFFF"/>
          <w:lang w:val="en-US" w:eastAsia="zh-CN" w:bidi="ar-SA"/>
        </w:rPr>
        <w:t>饰</w:t>
      </w:r>
      <w:r>
        <w:rPr>
          <w:rFonts w:hint="eastAsia" w:ascii="宋体" w:hAnsi="宋体" w:eastAsia="宋体" w:cs="宋体"/>
          <w:i w:val="0"/>
          <w:iCs/>
          <w:color w:val="auto"/>
          <w:kern w:val="2"/>
          <w:sz w:val="24"/>
          <w:szCs w:val="24"/>
          <w:u w:val="none"/>
          <w:shd w:val="clear" w:color="auto" w:fill="FFFFFF"/>
          <w:lang w:val="en-US" w:eastAsia="zh-CN" w:bidi="ar-SA"/>
        </w:rPr>
        <w:t>面采用</w:t>
      </w:r>
      <w:r>
        <w:rPr>
          <w:rFonts w:hint="eastAsia" w:ascii="宋体" w:hAnsi="宋体" w:cs="宋体"/>
          <w:i w:val="0"/>
          <w:iCs/>
          <w:color w:val="auto"/>
          <w:kern w:val="2"/>
          <w:sz w:val="24"/>
          <w:szCs w:val="24"/>
          <w:u w:val="none"/>
          <w:shd w:val="clear" w:color="auto" w:fill="FFFFFF"/>
          <w:lang w:val="en-US" w:eastAsia="zh-CN" w:bidi="ar-SA"/>
        </w:rPr>
        <w:t>以下其中之一：</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1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①</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涂料</w:t>
      </w:r>
      <w:r>
        <w:rPr>
          <w:rFonts w:hint="eastAsia" w:ascii="宋体" w:hAnsi="宋体" w:cs="宋体"/>
          <w:i w:val="0"/>
          <w:iCs w:val="0"/>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2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②</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薄贴面砖</w:t>
      </w:r>
      <w:r>
        <w:rPr>
          <w:rFonts w:hint="eastAsia" w:ascii="宋体" w:hAnsi="宋体" w:cs="宋体"/>
          <w:i w:val="0"/>
          <w:iCs w:val="0"/>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eastAsia" w:ascii="宋体" w:hAnsi="宋体" w:eastAsia="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3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③</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干挂饰面板</w:t>
      </w:r>
      <w:r>
        <w:rPr>
          <w:rFonts w:hint="eastAsia" w:ascii="宋体" w:hAnsi="宋体" w:cs="宋体"/>
          <w:i w:val="0"/>
          <w:iCs w:val="0"/>
          <w:color w:val="auto"/>
          <w:kern w:val="2"/>
          <w:sz w:val="24"/>
          <w:szCs w:val="24"/>
          <w:u w:val="none"/>
          <w:shd w:val="clear" w:color="auto" w:fill="FFFFFF"/>
          <w:lang w:val="en-US" w:eastAsia="zh-CN" w:bidi="ar-SA"/>
        </w:rPr>
        <w:t>（石材、陶瓷薄板）。</w:t>
      </w:r>
    </w:p>
    <w:p>
      <w:pPr>
        <w:pStyle w:val="32"/>
        <w:numPr>
          <w:ilvl w:val="0"/>
          <w:numId w:val="0"/>
        </w:numPr>
        <w:ind w:firstLine="480" w:firstLineChars="200"/>
        <w:rPr>
          <w:rFonts w:hint="eastAsia" w:ascii="宋体" w:hAnsi="宋体" w:cs="宋体"/>
          <w:i w:val="0"/>
          <w:iCs w:val="0"/>
          <w:color w:val="auto"/>
          <w:kern w:val="2"/>
          <w:sz w:val="24"/>
          <w:szCs w:val="24"/>
          <w:u w:val="none"/>
          <w:shd w:val="clear" w:color="auto" w:fill="FFFFFF"/>
          <w:lang w:val="en-US" w:eastAsia="zh-CN" w:bidi="ar-SA"/>
        </w:rPr>
      </w:pPr>
      <w:r>
        <w:rPr>
          <w:rFonts w:hint="eastAsia" w:ascii="Times New Roman" w:hAnsi="Times New Roman" w:cs="Times New Roman"/>
          <w:i w:val="0"/>
          <w:iCs w:val="0"/>
          <w:color w:val="auto"/>
          <w:kern w:val="2"/>
          <w:sz w:val="24"/>
          <w:szCs w:val="24"/>
          <w:u w:val="none"/>
          <w:shd w:val="clear" w:color="auto" w:fill="FFFFFF"/>
          <w:lang w:val="en-US" w:eastAsia="zh-CN" w:bidi="ar-SA"/>
        </w:rPr>
        <w:t>（2）</w:t>
      </w:r>
      <w:r>
        <w:rPr>
          <w:rFonts w:hint="eastAsia" w:ascii="宋体" w:hAnsi="宋体" w:cs="宋体"/>
          <w:i w:val="0"/>
          <w:iCs w:val="0"/>
          <w:color w:val="auto"/>
          <w:kern w:val="2"/>
          <w:sz w:val="24"/>
          <w:szCs w:val="24"/>
          <w:u w:val="none"/>
          <w:shd w:val="clear" w:color="auto" w:fill="FFFFFF"/>
          <w:lang w:val="en-US" w:eastAsia="zh-CN" w:bidi="ar-SA"/>
        </w:rPr>
        <w:t>内饰面</w:t>
      </w:r>
      <w:r>
        <w:rPr>
          <w:rFonts w:hint="eastAsia" w:ascii="宋体" w:hAnsi="宋体" w:eastAsia="宋体" w:cs="宋体"/>
          <w:i w:val="0"/>
          <w:iCs w:val="0"/>
          <w:color w:val="auto"/>
          <w:kern w:val="2"/>
          <w:sz w:val="24"/>
          <w:szCs w:val="24"/>
          <w:u w:val="none"/>
          <w:shd w:val="clear" w:color="auto" w:fill="FFFFFF"/>
          <w:lang w:val="en-US" w:eastAsia="zh-CN" w:bidi="ar-SA"/>
        </w:rPr>
        <w:t>采用</w:t>
      </w:r>
      <w:r>
        <w:rPr>
          <w:rFonts w:hint="eastAsia" w:ascii="宋体" w:hAnsi="宋体" w:cs="宋体"/>
          <w:i w:val="0"/>
          <w:iCs w:val="0"/>
          <w:color w:val="auto"/>
          <w:kern w:val="2"/>
          <w:sz w:val="24"/>
          <w:szCs w:val="24"/>
          <w:u w:val="none"/>
          <w:shd w:val="clear" w:color="auto" w:fill="FFFFFF"/>
          <w:lang w:val="en-US" w:eastAsia="zh-CN" w:bidi="ar-SA"/>
        </w:rPr>
        <w:t>以下其中之一：</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1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①</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薄贴面砖</w:t>
      </w:r>
      <w:r>
        <w:rPr>
          <w:rFonts w:hint="eastAsia" w:ascii="宋体" w:hAnsi="宋体" w:cs="宋体"/>
          <w:i w:val="0"/>
          <w:iCs w:val="0"/>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2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②</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干挂饰面板</w:t>
      </w:r>
      <w:r>
        <w:rPr>
          <w:rFonts w:hint="eastAsia" w:ascii="宋体" w:hAnsi="宋体" w:cs="宋体"/>
          <w:i w:val="0"/>
          <w:iCs w:val="0"/>
          <w:color w:val="auto"/>
          <w:kern w:val="2"/>
          <w:sz w:val="24"/>
          <w:szCs w:val="24"/>
          <w:u w:val="none"/>
          <w:shd w:val="clear" w:color="auto" w:fill="FFFFFF"/>
          <w:lang w:val="en-US" w:eastAsia="zh-CN" w:bidi="ar-SA"/>
        </w:rPr>
        <w:t>（石材、陶瓷薄板）；</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3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③</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cs="宋体"/>
          <w:i w:val="0"/>
          <w:iCs w:val="0"/>
          <w:color w:val="auto"/>
          <w:kern w:val="2"/>
          <w:sz w:val="24"/>
          <w:szCs w:val="24"/>
          <w:u w:val="none"/>
          <w:shd w:val="clear" w:color="auto" w:fill="FFFFFF"/>
          <w:lang w:val="en-US" w:eastAsia="zh-CN" w:bidi="ar-SA"/>
        </w:rPr>
        <w:t>涂料；</w:t>
      </w:r>
    </w:p>
    <w:p>
      <w:pPr>
        <w:pStyle w:val="32"/>
        <w:numPr>
          <w:ilvl w:val="0"/>
          <w:numId w:val="0"/>
        </w:numPr>
        <w:ind w:left="630" w:leftChars="300" w:firstLine="240" w:firstLineChars="100"/>
        <w:rPr>
          <w:rFonts w:hint="eastAsia" w:ascii="宋体" w:hAnsi="宋体" w:eastAsia="宋体" w:cs="宋体"/>
          <w:i w:val="0"/>
          <w:iCs/>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4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④</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cs="宋体"/>
          <w:i w:val="0"/>
          <w:iCs w:val="0"/>
          <w:color w:val="auto"/>
          <w:kern w:val="2"/>
          <w:sz w:val="24"/>
          <w:szCs w:val="24"/>
          <w:u w:val="none"/>
          <w:shd w:val="clear" w:color="auto" w:fill="FFFFFF"/>
          <w:lang w:val="en-US" w:eastAsia="zh-CN" w:bidi="ar-SA"/>
        </w:rPr>
        <w:t>先锚固（或</w:t>
      </w:r>
      <w:r>
        <w:rPr>
          <w:rFonts w:hint="eastAsia" w:ascii="宋体" w:hAnsi="宋体" w:cs="宋体"/>
          <w:i w:val="0"/>
          <w:iCs/>
          <w:color w:val="auto"/>
          <w:kern w:val="2"/>
          <w:sz w:val="24"/>
          <w:szCs w:val="24"/>
          <w:u w:val="none"/>
          <w:shd w:val="clear" w:color="auto" w:fill="FFFFFF"/>
          <w:lang w:val="en-US" w:eastAsia="zh-CN" w:bidi="ar-SA"/>
        </w:rPr>
        <w:t>粘锚结合）固定硅钙板（或水泥纤维板），后涂料</w:t>
      </w:r>
      <w:r>
        <w:rPr>
          <w:rFonts w:hint="eastAsia" w:ascii="宋体" w:hAnsi="宋体" w:eastAsia="宋体" w:cs="宋体"/>
          <w:i w:val="0"/>
          <w:iCs/>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default" w:ascii="宋体" w:hAnsi="宋体" w:eastAsia="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5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⑤</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cs="宋体"/>
          <w:i w:val="0"/>
          <w:iCs w:val="0"/>
          <w:color w:val="auto"/>
          <w:kern w:val="2"/>
          <w:sz w:val="24"/>
          <w:szCs w:val="24"/>
          <w:u w:val="none"/>
          <w:shd w:val="clear" w:color="auto" w:fill="FFFFFF"/>
          <w:lang w:val="en-US" w:eastAsia="zh-CN" w:bidi="ar-SA"/>
        </w:rPr>
        <w:t xml:space="preserve">采用广东省标准《薄浆干砌及薄层抹灰自保温墙体技术规程》DBJ/T </w:t>
      </w:r>
      <w:r>
        <w:rPr>
          <w:rFonts w:hint="eastAsia" w:ascii="宋体" w:hAnsi="宋体" w:eastAsia="Times New Roman" w:cs="宋体"/>
          <w:i w:val="0"/>
          <w:iCs w:val="0"/>
          <w:color w:val="auto"/>
          <w:kern w:val="2"/>
          <w:sz w:val="24"/>
          <w:szCs w:val="24"/>
          <w:u w:val="none"/>
          <w:shd w:val="clear" w:color="auto" w:fill="FFFFFF"/>
          <w:lang w:val="en-US" w:eastAsia="zh-CN" w:bidi="ar-SA"/>
        </w:rPr>
        <w:t>15</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179</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2020</w:t>
      </w:r>
      <w:r>
        <w:rPr>
          <w:rFonts w:hint="eastAsia" w:ascii="宋体" w:hAnsi="宋体" w:cs="宋体"/>
          <w:i w:val="0"/>
          <w:iCs w:val="0"/>
          <w:color w:val="auto"/>
          <w:kern w:val="2"/>
          <w:sz w:val="24"/>
          <w:szCs w:val="24"/>
          <w:u w:val="none"/>
          <w:shd w:val="clear" w:color="auto" w:fill="FFFFFF"/>
          <w:lang w:val="en-US" w:eastAsia="zh-CN" w:bidi="ar-SA"/>
        </w:rPr>
        <w:t>规定的超薄抹灰+腻子一体化施工工艺。</w:t>
      </w:r>
    </w:p>
    <w:p>
      <w:pPr>
        <w:pStyle w:val="32"/>
        <w:numPr>
          <w:ilvl w:val="0"/>
          <w:numId w:val="0"/>
        </w:numPr>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 xml:space="preserve">4） </w:t>
      </w:r>
      <w:r>
        <w:rPr>
          <w:rFonts w:hint="eastAsia" w:ascii="宋体" w:hAnsi="宋体" w:eastAsia="宋体" w:cs="宋体"/>
          <w:i w:val="0"/>
          <w:iCs/>
          <w:kern w:val="2"/>
          <w:sz w:val="24"/>
          <w:szCs w:val="24"/>
          <w:u w:val="none"/>
          <w:shd w:val="clear" w:color="auto" w:fill="FFFFFF"/>
          <w:lang w:val="en-US" w:eastAsia="zh-CN" w:bidi="ar-SA"/>
        </w:rPr>
        <w:t>满足保温、隔热指标要求的单元式幕墙。</w:t>
      </w:r>
    </w:p>
    <w:p>
      <w:pPr>
        <w:pStyle w:val="32"/>
        <w:numPr>
          <w:ilvl w:val="0"/>
          <w:numId w:val="0"/>
        </w:numPr>
        <w:ind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本指南所指</w:t>
      </w:r>
      <w:r>
        <w:rPr>
          <w:rFonts w:hint="eastAsia" w:ascii="宋体" w:hAnsi="宋体" w:cs="宋体"/>
          <w:i w:val="0"/>
          <w:iCs/>
          <w:color w:val="auto"/>
          <w:kern w:val="2"/>
          <w:sz w:val="24"/>
          <w:szCs w:val="24"/>
          <w:u w:val="none"/>
          <w:shd w:val="clear" w:color="auto" w:fill="FFFFFF"/>
          <w:lang w:val="en-US" w:eastAsia="zh-CN" w:bidi="ar-SA"/>
        </w:rPr>
        <w:t>墙面</w:t>
      </w:r>
      <w:r>
        <w:rPr>
          <w:rFonts w:hint="eastAsia" w:ascii="宋体" w:hAnsi="宋体" w:eastAsia="宋体" w:cs="宋体"/>
          <w:i w:val="0"/>
          <w:iCs/>
          <w:color w:val="auto"/>
          <w:kern w:val="2"/>
          <w:sz w:val="24"/>
          <w:szCs w:val="24"/>
          <w:u w:val="none"/>
          <w:shd w:val="clear" w:color="auto" w:fill="FFFFFF"/>
          <w:lang w:val="en-US" w:eastAsia="zh-CN" w:bidi="ar-SA"/>
        </w:rPr>
        <w:t>薄贴面砖</w:t>
      </w:r>
      <w:r>
        <w:rPr>
          <w:rFonts w:hint="eastAsia" w:ascii="宋体" w:hAnsi="宋体" w:cs="宋体"/>
          <w:i w:val="0"/>
          <w:iCs/>
          <w:color w:val="auto"/>
          <w:kern w:val="2"/>
          <w:sz w:val="24"/>
          <w:szCs w:val="24"/>
          <w:u w:val="none"/>
          <w:shd w:val="clear" w:color="auto" w:fill="FFFFFF"/>
          <w:lang w:val="en-US" w:eastAsia="zh-CN" w:bidi="ar-SA"/>
        </w:rPr>
        <w:t>指</w:t>
      </w:r>
      <w:r>
        <w:rPr>
          <w:rFonts w:hint="eastAsia" w:ascii="宋体" w:hAnsi="宋体" w:eastAsia="宋体" w:cs="宋体"/>
          <w:i w:val="0"/>
          <w:iCs/>
          <w:color w:val="auto"/>
          <w:kern w:val="2"/>
          <w:sz w:val="24"/>
          <w:szCs w:val="24"/>
          <w:u w:val="none"/>
          <w:shd w:val="clear" w:color="auto" w:fill="FFFFFF"/>
          <w:lang w:val="en-US" w:eastAsia="zh-CN" w:bidi="ar-SA"/>
        </w:rPr>
        <w:t>采用以下两种方式之一粘贴面砖：</w:t>
      </w:r>
    </w:p>
    <w:p>
      <w:pPr>
        <w:pStyle w:val="32"/>
        <w:numPr>
          <w:ilvl w:val="0"/>
          <w:numId w:val="0"/>
        </w:numPr>
        <w:ind w:leftChars="20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1）</w:t>
      </w:r>
      <w:r>
        <w:rPr>
          <w:rFonts w:hint="eastAsia" w:ascii="宋体" w:hAnsi="宋体" w:cs="宋体"/>
          <w:i w:val="0"/>
          <w:iCs/>
          <w:color w:val="auto"/>
          <w:kern w:val="2"/>
          <w:sz w:val="24"/>
          <w:szCs w:val="24"/>
          <w:u w:val="none"/>
          <w:shd w:val="clear" w:color="auto" w:fill="FFFFFF"/>
          <w:lang w:val="en-US" w:eastAsia="zh-CN" w:bidi="ar-SA"/>
        </w:rPr>
        <w:t>免抹灰找平情况下</w:t>
      </w:r>
      <w:r>
        <w:rPr>
          <w:rFonts w:hint="eastAsia" w:ascii="宋体" w:hAnsi="宋体" w:eastAsia="宋体" w:cs="宋体"/>
          <w:i w:val="0"/>
          <w:iCs/>
          <w:color w:val="auto"/>
          <w:kern w:val="2"/>
          <w:sz w:val="24"/>
          <w:szCs w:val="24"/>
          <w:u w:val="none"/>
          <w:shd w:val="clear" w:color="auto" w:fill="FFFFFF"/>
          <w:lang w:val="en-US" w:eastAsia="zh-CN" w:bidi="ar-SA"/>
        </w:rPr>
        <w:t>基层表面平整度达到平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sz w:val="24"/>
          <w:szCs w:val="24"/>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i w:val="0"/>
          <w:iCs/>
          <w:color w:val="auto"/>
          <w:kern w:val="2"/>
          <w:sz w:val="24"/>
          <w:szCs w:val="24"/>
          <w:u w:val="none"/>
          <w:shd w:val="clear" w:color="auto" w:fill="FFFFFF"/>
          <w:lang w:val="en-US" w:eastAsia="zh-CN" w:bidi="ar-SA"/>
        </w:rPr>
        <w:t>，基层表面</w:t>
      </w:r>
      <w:r>
        <w:rPr>
          <w:rFonts w:hint="eastAsia" w:ascii="宋体" w:hAnsi="宋体" w:cs="宋体"/>
          <w:i w:val="0"/>
          <w:iCs/>
          <w:color w:val="auto"/>
          <w:kern w:val="2"/>
          <w:sz w:val="24"/>
          <w:szCs w:val="24"/>
          <w:u w:val="none"/>
          <w:shd w:val="clear" w:color="auto" w:fill="FFFFFF"/>
          <w:lang w:val="en-US" w:eastAsia="zh-CN" w:bidi="ar-SA"/>
        </w:rPr>
        <w:t>直接</w:t>
      </w:r>
      <w:r>
        <w:rPr>
          <w:rFonts w:hint="eastAsia" w:ascii="宋体" w:hAnsi="宋体" w:eastAsia="宋体" w:cs="宋体"/>
          <w:i w:val="0"/>
          <w:iCs/>
          <w:color w:val="auto"/>
          <w:kern w:val="2"/>
          <w:sz w:val="24"/>
          <w:szCs w:val="24"/>
          <w:u w:val="none"/>
          <w:shd w:val="clear" w:color="auto" w:fill="FFFFFF"/>
          <w:lang w:val="en-US" w:eastAsia="zh-CN" w:bidi="ar-SA"/>
        </w:rPr>
        <w:t>采用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sz w:val="24"/>
          <w:szCs w:val="24"/>
          <w:u w:val="none"/>
        </w:rPr>
        <w:t>~</w:t>
      </w:r>
      <w:r>
        <w:rPr>
          <w:rFonts w:hint="eastAsia" w:ascii="宋体" w:hAnsi="宋体" w:eastAsia="Times New Roman" w:cs="宋体"/>
          <w:i w:val="0"/>
          <w:iCs/>
          <w:color w:val="auto"/>
          <w:kern w:val="2"/>
          <w:sz w:val="24"/>
          <w:szCs w:val="24"/>
          <w:u w:val="none"/>
          <w:shd w:val="clear" w:color="auto" w:fill="FFFFFF"/>
          <w:lang w:val="en-US" w:eastAsia="zh-CN" w:bidi="ar-SA"/>
        </w:rPr>
        <w:t>5</w:t>
      </w:r>
      <w:r>
        <w:rPr>
          <w:rFonts w:hint="eastAsia" w:ascii="宋体" w:hAnsi="宋体" w:eastAsia="宋体" w:cs="宋体"/>
          <w:i w:val="0"/>
          <w:iCs/>
          <w:color w:val="auto"/>
          <w:kern w:val="2"/>
          <w:sz w:val="24"/>
          <w:szCs w:val="24"/>
          <w:u w:val="none"/>
          <w:shd w:val="clear" w:color="auto" w:fill="FFFFFF"/>
          <w:lang w:val="en-US" w:eastAsia="zh-CN" w:bidi="ar-SA"/>
        </w:rPr>
        <w:t>厚满足《预拌砂浆》GB/T</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Times New Roman" w:cs="宋体"/>
          <w:i w:val="0"/>
          <w:iCs/>
          <w:color w:val="auto"/>
          <w:kern w:val="2"/>
          <w:sz w:val="24"/>
          <w:szCs w:val="24"/>
          <w:u w:val="none"/>
          <w:shd w:val="clear" w:color="auto" w:fill="FFFFFF"/>
          <w:lang w:val="en-US" w:eastAsia="zh-CN" w:bidi="ar-SA"/>
        </w:rPr>
        <w:t>25181</w:t>
      </w:r>
      <w:r>
        <w:rPr>
          <w:rFonts w:hint="eastAsia" w:ascii="宋体" w:hAnsi="宋体" w:eastAsia="宋体" w:cs="宋体"/>
          <w:i w:val="0"/>
          <w:iCs/>
          <w:color w:val="auto"/>
          <w:kern w:val="2"/>
          <w:sz w:val="24"/>
          <w:szCs w:val="24"/>
          <w:u w:val="none"/>
          <w:shd w:val="clear" w:color="auto" w:fill="FFFFFF"/>
          <w:lang w:val="en-US" w:eastAsia="zh-CN" w:bidi="ar-SA"/>
        </w:rPr>
        <w:t>对应要求的干混陶瓷砖粘结砂浆粘贴面砖；</w:t>
      </w:r>
    </w:p>
    <w:p>
      <w:pPr>
        <w:pStyle w:val="32"/>
        <w:numPr>
          <w:ilvl w:val="0"/>
          <w:numId w:val="0"/>
        </w:numPr>
        <w:ind w:leftChars="20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免抹灰找平情况下</w:t>
      </w:r>
      <w:r>
        <w:rPr>
          <w:rFonts w:hint="eastAsia" w:ascii="宋体" w:hAnsi="宋体" w:eastAsia="宋体" w:cs="宋体"/>
          <w:i w:val="0"/>
          <w:iCs/>
          <w:color w:val="auto"/>
          <w:kern w:val="2"/>
          <w:sz w:val="24"/>
          <w:szCs w:val="24"/>
          <w:u w:val="none"/>
          <w:shd w:val="clear" w:color="auto" w:fill="FFFFFF"/>
          <w:lang w:val="en-US" w:eastAsia="zh-CN" w:bidi="ar-SA"/>
        </w:rPr>
        <w:t>基层表面平整度达到平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sz w:val="24"/>
          <w:szCs w:val="24"/>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i w:val="0"/>
          <w:iCs/>
          <w:color w:val="auto"/>
          <w:kern w:val="2"/>
          <w:sz w:val="24"/>
          <w:szCs w:val="24"/>
          <w:u w:val="none"/>
          <w:shd w:val="clear" w:color="auto" w:fill="FFFFFF"/>
          <w:lang w:val="en-US" w:eastAsia="zh-CN" w:bidi="ar-SA"/>
        </w:rPr>
        <w:t>防水（防潮）层选用聚合物水泥防水砂浆时，基层表面</w:t>
      </w:r>
      <w:r>
        <w:rPr>
          <w:rFonts w:hint="eastAsia" w:ascii="宋体" w:hAnsi="宋体" w:cs="宋体"/>
          <w:i w:val="0"/>
          <w:iCs/>
          <w:color w:val="auto"/>
          <w:kern w:val="2"/>
          <w:sz w:val="24"/>
          <w:szCs w:val="24"/>
          <w:u w:val="none"/>
          <w:shd w:val="clear" w:color="auto" w:fill="FFFFFF"/>
          <w:lang w:val="en-US" w:eastAsia="zh-CN" w:bidi="ar-SA"/>
        </w:rPr>
        <w:t>直接</w:t>
      </w:r>
      <w:r>
        <w:rPr>
          <w:rFonts w:hint="eastAsia" w:ascii="宋体" w:hAnsi="宋体" w:eastAsia="宋体" w:cs="宋体"/>
          <w:i w:val="0"/>
          <w:iCs/>
          <w:color w:val="auto"/>
          <w:kern w:val="2"/>
          <w:sz w:val="24"/>
          <w:szCs w:val="24"/>
          <w:u w:val="none"/>
          <w:shd w:val="clear" w:color="auto" w:fill="FFFFFF"/>
          <w:lang w:val="en-US" w:eastAsia="zh-CN" w:bidi="ar-SA"/>
        </w:rPr>
        <w:t>采用</w:t>
      </w:r>
      <w:r>
        <w:rPr>
          <w:rFonts w:hint="eastAsia" w:ascii="宋体" w:hAnsi="宋体" w:eastAsia="Times New Roman" w:cs="宋体"/>
          <w:i w:val="0"/>
          <w:iCs/>
          <w:color w:val="auto"/>
          <w:kern w:val="2"/>
          <w:sz w:val="24"/>
          <w:szCs w:val="24"/>
          <w:u w:val="none"/>
          <w:shd w:val="clear" w:color="auto" w:fill="FFFFFF"/>
          <w:lang w:val="en-US" w:eastAsia="zh-CN" w:bidi="ar-SA"/>
        </w:rPr>
        <w:t>6</w:t>
      </w:r>
      <w:r>
        <w:rPr>
          <w:rFonts w:hint="eastAsia"/>
          <w:sz w:val="24"/>
          <w:szCs w:val="24"/>
          <w:u w:val="none"/>
        </w:rPr>
        <w:t>~</w:t>
      </w:r>
      <w:r>
        <w:rPr>
          <w:rFonts w:hint="eastAsia" w:ascii="宋体" w:hAnsi="宋体" w:eastAsia="Times New Roman" w:cs="宋体"/>
          <w:i w:val="0"/>
          <w:iCs/>
          <w:color w:val="auto"/>
          <w:kern w:val="2"/>
          <w:sz w:val="24"/>
          <w:szCs w:val="24"/>
          <w:u w:val="none"/>
          <w:shd w:val="clear" w:color="auto" w:fill="FFFFFF"/>
          <w:lang w:val="en-US" w:eastAsia="zh-CN" w:bidi="ar-SA"/>
        </w:rPr>
        <w:t>8</w:t>
      </w:r>
      <w:r>
        <w:rPr>
          <w:rFonts w:hint="eastAsia" w:ascii="宋体" w:hAnsi="宋体" w:eastAsia="宋体" w:cs="宋体"/>
          <w:i w:val="0"/>
          <w:iCs/>
          <w:color w:val="auto"/>
          <w:kern w:val="2"/>
          <w:sz w:val="24"/>
          <w:szCs w:val="24"/>
          <w:u w:val="none"/>
          <w:shd w:val="clear" w:color="auto" w:fill="FFFFFF"/>
          <w:lang w:val="en-US" w:eastAsia="zh-CN" w:bidi="ar-SA"/>
        </w:rPr>
        <w:t>厚</w:t>
      </w:r>
      <w:r>
        <w:rPr>
          <w:rFonts w:hint="eastAsia" w:ascii="宋体" w:hAnsi="宋体" w:cs="宋体"/>
          <w:i w:val="0"/>
          <w:iCs/>
          <w:color w:val="auto"/>
          <w:sz w:val="24"/>
          <w:szCs w:val="24"/>
          <w:u w:val="none"/>
          <w:lang w:val="en-US" w:eastAsia="zh-CN"/>
        </w:rPr>
        <w:t>同时符合以下四</w:t>
      </w:r>
      <w:r>
        <w:rPr>
          <w:rFonts w:hint="eastAsia" w:ascii="宋体" w:hAnsi="宋体" w:eastAsia="宋体" w:cs="宋体"/>
          <w:i w:val="0"/>
          <w:iCs/>
          <w:color w:val="auto"/>
          <w:sz w:val="24"/>
          <w:szCs w:val="24"/>
          <w:u w:val="none"/>
          <w:lang w:val="en-US" w:eastAsia="zh-CN"/>
        </w:rPr>
        <w:t>个标准对应指标要求</w:t>
      </w:r>
      <w:r>
        <w:rPr>
          <w:rFonts w:hint="eastAsia" w:ascii="宋体" w:hAnsi="宋体" w:eastAsia="宋体" w:cs="宋体"/>
          <w:i w:val="0"/>
          <w:iCs/>
          <w:color w:val="auto"/>
          <w:kern w:val="2"/>
          <w:sz w:val="24"/>
          <w:szCs w:val="24"/>
          <w:u w:val="none"/>
          <w:shd w:val="clear" w:color="auto" w:fill="FFFFFF"/>
          <w:lang w:val="en-US" w:eastAsia="zh-CN" w:bidi="ar-SA"/>
        </w:rPr>
        <w:t>的集界面、防水、粘贴一体化的防水瓷砖胶粘贴面砖</w:t>
      </w:r>
      <w:r>
        <w:rPr>
          <w:rFonts w:hint="eastAsia" w:ascii="宋体" w:hAnsi="宋体" w:cs="宋体"/>
          <w:i w:val="0"/>
          <w:iCs/>
          <w:color w:val="auto"/>
          <w:kern w:val="2"/>
          <w:sz w:val="24"/>
          <w:szCs w:val="24"/>
          <w:u w:val="none"/>
          <w:shd w:val="clear" w:color="auto" w:fill="FFFFFF"/>
          <w:lang w:val="en-US" w:eastAsia="zh-CN" w:bidi="ar-SA"/>
        </w:rPr>
        <w:t>：</w:t>
      </w:r>
    </w:p>
    <w:p>
      <w:pPr>
        <w:pStyle w:val="32"/>
        <w:numPr>
          <w:ilvl w:val="0"/>
          <w:numId w:val="0"/>
        </w:numPr>
        <w:ind w:left="699" w:leftChars="333" w:firstLine="240" w:firstLineChars="10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sz w:val="24"/>
          <w:szCs w:val="24"/>
          <w:u w:val="none"/>
          <w:lang w:val="en-US" w:eastAsia="zh-CN"/>
        </w:rPr>
        <w:t xml:space="preserve">（1） </w:t>
      </w:r>
      <w:r>
        <w:rPr>
          <w:rFonts w:hint="eastAsia" w:ascii="宋体" w:hAnsi="宋体" w:eastAsia="宋体" w:cs="宋体"/>
          <w:i w:val="0"/>
          <w:iCs/>
          <w:color w:val="auto"/>
          <w:sz w:val="24"/>
          <w:szCs w:val="24"/>
          <w:u w:val="none"/>
          <w:lang w:val="en-US" w:eastAsia="zh-CN"/>
        </w:rPr>
        <w:t>国家标准《预拌砂浆》GB/T 25181-2019中干混陶瓷砖粘结砂浆的DTA-I-Ⅱ型（或行业标准《陶瓷砖胶黏剂》JC/T 547-2017中的C1型）；</w:t>
      </w:r>
    </w:p>
    <w:p>
      <w:pPr>
        <w:pStyle w:val="32"/>
        <w:numPr>
          <w:ilvl w:val="0"/>
          <w:numId w:val="0"/>
        </w:numPr>
        <w:ind w:leftChars="200" w:firstLine="480" w:firstLineChars="20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sz w:val="24"/>
          <w:szCs w:val="24"/>
          <w:u w:val="none"/>
          <w:lang w:val="en-US" w:eastAsia="zh-CN"/>
        </w:rPr>
        <w:t>（2）</w:t>
      </w:r>
      <w:r>
        <w:rPr>
          <w:rFonts w:hint="eastAsia" w:ascii="宋体" w:hAnsi="宋体" w:eastAsia="宋体" w:cs="宋体"/>
          <w:i w:val="0"/>
          <w:iCs/>
          <w:color w:val="auto"/>
          <w:sz w:val="24"/>
          <w:szCs w:val="24"/>
          <w:u w:val="none"/>
          <w:lang w:val="en-US" w:eastAsia="zh-CN"/>
        </w:rPr>
        <w:t>行业标准《聚合物水泥防水砂浆》JC/T 984-2011中的Ⅰ型 ；</w:t>
      </w:r>
    </w:p>
    <w:p>
      <w:pPr>
        <w:pStyle w:val="32"/>
        <w:numPr>
          <w:ilvl w:val="0"/>
          <w:numId w:val="0"/>
        </w:numPr>
        <w:ind w:leftChars="200" w:firstLine="480" w:firstLineChars="20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行业标准《混凝土界面处理剂》JC/T 907-2018中的Ⅰ型 ；</w:t>
      </w:r>
    </w:p>
    <w:p>
      <w:pPr>
        <w:pStyle w:val="32"/>
        <w:numPr>
          <w:ilvl w:val="0"/>
          <w:numId w:val="0"/>
        </w:numPr>
        <w:ind w:firstLine="960" w:firstLineChars="4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广东省标准《薄浆干砌及薄层抹灰自保温墙体技术规程》DBJ/T 15-</w:t>
      </w:r>
      <w:r>
        <w:rPr>
          <w:rFonts w:hint="eastAsia" w:ascii="宋体" w:hAnsi="宋体" w:eastAsia="Times New Roman" w:cs="宋体"/>
          <w:i w:val="0"/>
          <w:iCs/>
          <w:color w:val="auto"/>
          <w:sz w:val="24"/>
          <w:szCs w:val="24"/>
          <w:u w:val="none"/>
          <w:lang w:val="en-US" w:eastAsia="zh-CN"/>
        </w:rPr>
        <w:t>179</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2020</w:t>
      </w:r>
      <w:r>
        <w:rPr>
          <w:rFonts w:hint="eastAsia" w:ascii="宋体" w:hAnsi="宋体" w:eastAsia="宋体" w:cs="宋体"/>
          <w:i w:val="0"/>
          <w:iCs/>
          <w:color w:val="auto"/>
          <w:sz w:val="24"/>
          <w:szCs w:val="24"/>
          <w:u w:val="none"/>
          <w:lang w:val="en-US" w:eastAsia="zh-CN"/>
        </w:rPr>
        <w:t>表</w:t>
      </w:r>
      <w:r>
        <w:rPr>
          <w:rFonts w:hint="eastAsia" w:ascii="宋体" w:hAnsi="宋体" w:eastAsia="Times New Roman"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5</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5</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1</w:t>
      </w:r>
      <w:r>
        <w:rPr>
          <w:rFonts w:hint="eastAsia" w:ascii="宋体" w:hAnsi="宋体" w:eastAsia="宋体" w:cs="宋体"/>
          <w:i w:val="0"/>
          <w:iCs/>
          <w:color w:val="auto"/>
          <w:sz w:val="24"/>
          <w:szCs w:val="24"/>
          <w:u w:val="none"/>
          <w:lang w:val="en-US" w:eastAsia="zh-CN"/>
        </w:rPr>
        <w:t>专用界面砂浆中的防水型（W）</w:t>
      </w:r>
      <w:r>
        <w:rPr>
          <w:rFonts w:hint="eastAsia" w:ascii="宋体" w:hAnsi="宋体" w:cs="宋体"/>
          <w:i w:val="0"/>
          <w:iCs/>
          <w:color w:val="auto"/>
          <w:sz w:val="24"/>
          <w:szCs w:val="24"/>
          <w:u w:val="none"/>
          <w:lang w:val="en-US" w:eastAsia="zh-CN"/>
        </w:rPr>
        <w:t>。</w:t>
      </w:r>
    </w:p>
    <w:p>
      <w:pPr>
        <w:pStyle w:val="34"/>
        <w:rPr>
          <w:u w:val="none"/>
        </w:rPr>
      </w:pPr>
      <w:r>
        <w:rPr>
          <w:rFonts w:hint="default" w:ascii="Times New Roman" w:hAnsi="Times New Roman" w:eastAsia="Times New Roman" w:cs="Times New Roman"/>
          <w:b/>
          <w:u w:val="none"/>
          <w:lang w:val="en-US" w:eastAsia="zh-CN"/>
        </w:rPr>
        <w:t>2</w:t>
      </w:r>
      <w:r>
        <w:rPr>
          <w:rFonts w:hint="default" w:ascii="Times New Roman" w:hAnsi="Times New Roman" w:eastAsia="宋体" w:cs="Times New Roman"/>
          <w:b/>
          <w:u w:val="none"/>
          <w:lang w:val="en-US" w:eastAsia="zh-CN"/>
        </w:rPr>
        <w:t>.</w:t>
      </w:r>
      <w:r>
        <w:rPr>
          <w:rFonts w:hint="default" w:ascii="Times New Roman" w:hAnsi="Times New Roman" w:eastAsia="Times New Roman" w:cs="Times New Roman"/>
          <w:b/>
          <w:u w:val="none"/>
          <w:lang w:val="en-US" w:eastAsia="zh-CN"/>
        </w:rPr>
        <w:t>3</w:t>
      </w:r>
      <w:r>
        <w:rPr>
          <w:rFonts w:hint="default" w:ascii="Times New Roman" w:hAnsi="Times New Roman" w:eastAsia="宋体" w:cs="Times New Roman"/>
          <w:b/>
          <w:u w:val="none"/>
          <w:lang w:val="en-US" w:eastAsia="zh-CN"/>
        </w:rPr>
        <w:t xml:space="preserve"> </w:t>
      </w:r>
      <w:r>
        <w:rPr>
          <w:rFonts w:hint="eastAsia" w:ascii="宋体" w:hAnsi="宋体" w:eastAsia="宋体" w:cs="宋体"/>
          <w:b/>
          <w:u w:val="none"/>
          <w:lang w:val="en-US" w:eastAsia="zh-CN"/>
        </w:rPr>
        <w:t xml:space="preserve"> Q</w:t>
      </w:r>
      <w:r>
        <w:rPr>
          <w:rFonts w:hint="eastAsia" w:ascii="宋体" w:hAnsi="宋体" w:eastAsia="Times New Roman" w:cs="宋体"/>
          <w:b/>
          <w:u w:val="none"/>
          <w:vertAlign w:val="subscript"/>
          <w:lang w:val="en-US" w:eastAsia="zh-CN"/>
        </w:rPr>
        <w:t>2</w:t>
      </w:r>
      <w:r>
        <w:rPr>
          <w:rFonts w:hint="eastAsia" w:ascii="宋体" w:hAnsi="宋体" w:eastAsia="宋体" w:cs="宋体"/>
          <w:b/>
          <w:u w:val="none"/>
          <w:vertAlign w:val="subscript"/>
          <w:lang w:val="en-US" w:eastAsia="zh-CN"/>
        </w:rPr>
        <w:t>c</w:t>
      </w:r>
      <w:r>
        <w:rPr>
          <w:rFonts w:hint="eastAsia" w:ascii="宋体" w:hAnsi="宋体" w:eastAsia="宋体" w:cs="宋体"/>
          <w:b/>
          <w:u w:val="none"/>
          <w:lang w:val="en-US" w:eastAsia="zh-CN"/>
        </w:rPr>
        <w:t>：内隔墙非砌筑</w:t>
      </w:r>
      <w:r>
        <w:rPr>
          <w:rFonts w:hint="eastAsia" w:ascii="宋体" w:hAnsi="宋体" w:eastAsia="宋体" w:cs="宋体"/>
          <w:sz w:val="21"/>
          <w:szCs w:val="21"/>
          <w:u w:val="none"/>
          <w:lang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宋体" w:cs="宋体"/>
          <w:b w:val="0"/>
          <w:bCs/>
          <w:sz w:val="21"/>
          <w:szCs w:val="21"/>
          <w:u w:val="none"/>
          <w:lang w:val="en-US" w:eastAsia="zh-CN"/>
        </w:rPr>
        <w:t>比例</w:t>
      </w:r>
      <w:r>
        <w:rPr>
          <w:rFonts w:hint="eastAsia" w:ascii="宋体" w:hAnsi="宋体" w:eastAsia="宋体" w:cs="宋体"/>
          <w:color w:val="auto"/>
          <w:sz w:val="21"/>
          <w:szCs w:val="21"/>
          <w:u w:val="none"/>
          <w:lang w:val="en-US" w:eastAsia="zh-CN"/>
        </w:rPr>
        <w:t>≥</w:t>
      </w:r>
      <w:r>
        <w:rPr>
          <w:rFonts w:hint="eastAsia" w:ascii="宋体" w:hAnsi="宋体" w:eastAsia="Times New Roman" w:cs="宋体"/>
          <w:color w:val="auto"/>
          <w:sz w:val="21"/>
          <w:szCs w:val="21"/>
          <w:u w:val="none"/>
          <w:lang w:val="en-US" w:eastAsia="zh-CN"/>
        </w:rPr>
        <w:t>50</w:t>
      </w:r>
      <w:r>
        <w:rPr>
          <w:rFonts w:hint="eastAsia" w:ascii="宋体" w:hAnsi="宋体" w:eastAsia="宋体" w:cs="宋体"/>
          <w:color w:val="auto"/>
          <w:sz w:val="21"/>
          <w:szCs w:val="21"/>
          <w:u w:val="none"/>
          <w:lang w:val="en-US" w:eastAsia="zh-CN"/>
        </w:rPr>
        <w:t>%</w:t>
      </w:r>
      <w:r>
        <w:rPr>
          <w:rFonts w:hint="eastAsia" w:ascii="宋体" w:hAnsi="宋体" w:eastAsia="宋体" w:cs="宋体"/>
          <w:sz w:val="21"/>
          <w:szCs w:val="21"/>
          <w:u w:val="none"/>
          <w:lang w:eastAsia="zh-CN"/>
        </w:rPr>
        <w:t>）</w:t>
      </w:r>
    </w:p>
    <w:p>
      <w:pPr>
        <w:pStyle w:val="34"/>
        <w:ind w:firstLine="0" w:firstLineChars="0"/>
        <w:rPr>
          <w:u w:val="none"/>
        </w:rPr>
      </w:pP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ascii="宋体" w:hAnsi="宋体" w:cs="宋体"/>
          <w:b/>
          <w:bCs/>
          <w:u w:val="none"/>
          <w:lang w:val="en-US" w:eastAsia="zh-CN"/>
        </w:rPr>
        <w:t xml:space="preserve"> </w:t>
      </w:r>
      <w:r>
        <w:rPr>
          <w:rFonts w:hint="eastAsia"/>
          <w:b/>
          <w:bCs/>
          <w:u w:val="none"/>
          <w:lang w:val="en-US" w:eastAsia="zh-CN"/>
        </w:rPr>
        <w:t xml:space="preserve"> </w:t>
      </w:r>
      <w:r>
        <w:rPr>
          <w:rFonts w:hint="eastAsia"/>
          <w:u w:val="none"/>
        </w:rPr>
        <w:t>内隔墙中非砌筑墙体的应用比例应按下列式计算：</w:t>
      </w:r>
    </w:p>
    <w:p>
      <w:pPr>
        <w:pStyle w:val="31"/>
        <w:rPr>
          <w:u w:val="none"/>
        </w:rPr>
      </w:pPr>
      <w:r>
        <w:rPr>
          <w:u w:val="none"/>
        </w:rPr>
        <w:tab/>
      </w:r>
      <w:r>
        <w:rPr>
          <w:position w:val="-34"/>
          <w:u w:val="none"/>
        </w:rPr>
        <w:object>
          <v:shape id="_x0000_i1029" o:spt="75" type="#_x0000_t75" style="height:40.05pt;width:100.8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u w:val="none"/>
        </w:rPr>
        <w:tab/>
      </w:r>
      <w:r>
        <w:rPr>
          <w:rFonts w:hint="eastAsia"/>
          <w:u w:val="none"/>
        </w:rPr>
        <w:t>（</w:t>
      </w:r>
      <w:r>
        <w:rPr>
          <w:rFonts w:hint="eastAsia" w:eastAsia="Times New Roman"/>
          <w:u w:val="none"/>
          <w:lang w:val="en-US" w:eastAsia="zh-CN"/>
        </w:rPr>
        <w:t>2</w:t>
      </w:r>
      <w:r>
        <w:rPr>
          <w:u w:val="none"/>
        </w:rPr>
        <w:t>.</w:t>
      </w:r>
      <w:r>
        <w:rPr>
          <w:rFonts w:eastAsia="Times New Roman"/>
          <w:u w:val="none"/>
        </w:rPr>
        <w:t>3</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式中：q</w:t>
      </w:r>
      <w:r>
        <w:rPr>
          <w:rFonts w:hint="eastAsia" w:eastAsia="Times New Roman"/>
          <w:u w:val="none"/>
          <w:vertAlign w:val="subscript"/>
        </w:rPr>
        <w:t>2</w:t>
      </w:r>
      <w:r>
        <w:rPr>
          <w:u w:val="none"/>
          <w:vertAlign w:val="subscript"/>
        </w:rPr>
        <w:t>c</w:t>
      </w:r>
      <w:r>
        <w:rPr>
          <w:rFonts w:hint="eastAsia"/>
          <w:u w:val="none"/>
        </w:rPr>
        <w:t>——内隔墙采用非砌筑做法的应用比例；</w:t>
      </w:r>
    </w:p>
    <w:p>
      <w:pPr>
        <w:pStyle w:val="40"/>
        <w:rPr>
          <w:u w:val="none"/>
        </w:rPr>
      </w:pPr>
      <w:r>
        <w:rPr>
          <w:rFonts w:hint="eastAsia"/>
          <w:u w:val="none"/>
        </w:rPr>
        <w:t>A</w:t>
      </w:r>
      <w:r>
        <w:rPr>
          <w:rFonts w:hint="eastAsia" w:eastAsia="Times New Roman"/>
          <w:u w:val="none"/>
          <w:vertAlign w:val="subscript"/>
        </w:rPr>
        <w:t>2</w:t>
      </w:r>
      <w:r>
        <w:rPr>
          <w:u w:val="none"/>
          <w:vertAlign w:val="subscript"/>
        </w:rPr>
        <w:t>c</w:t>
      </w:r>
      <w:r>
        <w:rPr>
          <w:rFonts w:hint="eastAsia"/>
          <w:u w:val="none"/>
        </w:rPr>
        <w:t>——各楼层内隔墙中非砌筑墙体的墙</w:t>
      </w:r>
      <w:r>
        <w:rPr>
          <w:rFonts w:hint="eastAsia"/>
          <w:u w:val="none"/>
          <w:lang w:val="en-US" w:eastAsia="zh-CN"/>
        </w:rPr>
        <w:t>体表</w:t>
      </w:r>
      <w:r>
        <w:rPr>
          <w:rFonts w:hint="eastAsia"/>
          <w:u w:val="none"/>
        </w:rPr>
        <w:t>面积之和，计算时可不扣除门、窗及预留洞口等的面积；</w:t>
      </w:r>
    </w:p>
    <w:p>
      <w:pPr>
        <w:pStyle w:val="40"/>
        <w:rPr>
          <w:u w:val="none"/>
        </w:rPr>
      </w:pPr>
      <w:r>
        <w:rPr>
          <w:rFonts w:hint="eastAsia"/>
          <w:u w:val="none"/>
        </w:rPr>
        <w:t>A</w:t>
      </w:r>
      <w:r>
        <w:rPr>
          <w:rFonts w:hint="eastAsia"/>
          <w:u w:val="none"/>
          <w:vertAlign w:val="subscript"/>
        </w:rPr>
        <w:t>w</w:t>
      </w:r>
      <w:r>
        <w:rPr>
          <w:rFonts w:hint="eastAsia" w:eastAsia="Times New Roman"/>
          <w:u w:val="none"/>
          <w:vertAlign w:val="subscript"/>
        </w:rPr>
        <w:t>3</w:t>
      </w:r>
      <w:r>
        <w:rPr>
          <w:rFonts w:hint="eastAsia"/>
          <w:u w:val="none"/>
        </w:rPr>
        <w:t>——各楼层内隔墙墙面总面积，计算时可不扣除门、窗、预留洞口等的面积，可扣除承重竖向构件的面积。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注：门窗洞口上部或下部范围如果存在砌筑部分，则门窗洞口按照砌筑计入，如无砌筑则按照非砌筑计入。</w:t>
      </w:r>
    </w:p>
    <w:p>
      <w:pPr>
        <w:pStyle w:val="32"/>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4</w:t>
      </w:r>
      <w:r>
        <w:rPr>
          <w:rFonts w:hint="eastAsia" w:ascii="宋体" w:hAnsi="宋体" w:eastAsia="宋体" w:cs="宋体"/>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2</w:t>
      </w:r>
      <w:r>
        <w:rPr>
          <w:rFonts w:hint="eastAsia" w:ascii="宋体" w:hAnsi="宋体" w:eastAsia="宋体" w:cs="宋体"/>
          <w:b/>
          <w:bCs/>
          <w:i w:val="0"/>
          <w:iCs/>
          <w:kern w:val="2"/>
          <w:sz w:val="28"/>
          <w:szCs w:val="28"/>
          <w:u w:val="none"/>
          <w:shd w:val="clear" w:color="auto" w:fill="FFFFFF"/>
          <w:vertAlign w:val="subscript"/>
          <w:lang w:val="en-US" w:eastAsia="zh-CN" w:bidi="ar-SA"/>
        </w:rPr>
        <w:t>d</w:t>
      </w:r>
      <w:r>
        <w:rPr>
          <w:rFonts w:hint="eastAsia" w:ascii="宋体" w:hAnsi="宋体" w:eastAsia="宋体" w:cs="宋体"/>
          <w:b/>
          <w:bCs/>
          <w:i w:val="0"/>
          <w:iCs/>
          <w:kern w:val="2"/>
          <w:sz w:val="28"/>
          <w:szCs w:val="28"/>
          <w:u w:val="none"/>
          <w:shd w:val="clear" w:color="auto" w:fill="FFFFFF"/>
          <w:lang w:val="en-US" w:eastAsia="zh-CN" w:bidi="ar-SA"/>
        </w:rPr>
        <w:t>：</w:t>
      </w:r>
      <w:r>
        <w:rPr>
          <w:rFonts w:hint="eastAsia" w:ascii="宋体" w:hAnsi="宋体" w:eastAsia="宋体" w:cs="宋体"/>
          <w:b/>
          <w:bCs/>
          <w:i w:val="0"/>
          <w:iCs/>
          <w:sz w:val="28"/>
          <w:szCs w:val="28"/>
          <w:u w:val="none"/>
        </w:rPr>
        <w:t>内隔墙采用墙体、管线、装修集成一体化</w:t>
      </w:r>
      <w:r>
        <w:rPr>
          <w:rFonts w:hint="eastAsia" w:ascii="宋体" w:hAnsi="宋体" w:eastAsia="宋体" w:cs="宋体"/>
          <w:b w:val="0"/>
          <w:bCs w:val="0"/>
          <w:i w:val="0"/>
          <w:iCs/>
          <w:sz w:val="21"/>
          <w:szCs w:val="21"/>
          <w:u w:val="none"/>
          <w:lang w:eastAsia="zh-CN"/>
        </w:rPr>
        <w:t>（</w:t>
      </w:r>
      <w:r>
        <w:rPr>
          <w:rFonts w:hint="eastAsia" w:ascii="宋体" w:hAnsi="宋体" w:eastAsia="Times New Roman" w:cs="宋体"/>
          <w:b w:val="0"/>
          <w:bCs w:val="0"/>
          <w:i w:val="0"/>
          <w:iCs/>
          <w:sz w:val="21"/>
          <w:szCs w:val="21"/>
          <w:u w:val="none"/>
          <w:lang w:val="en-US" w:eastAsia="zh-CN"/>
        </w:rPr>
        <w:t>2</w:t>
      </w:r>
      <w:r>
        <w:rPr>
          <w:rFonts w:hint="eastAsia"/>
          <w:u w:val="none"/>
        </w:rPr>
        <w:t>~</w:t>
      </w:r>
      <w:r>
        <w:rPr>
          <w:rFonts w:hint="eastAsia" w:ascii="宋体" w:hAnsi="宋体" w:eastAsia="Times New Roman" w:cs="宋体"/>
          <w:b w:val="0"/>
          <w:bCs w:val="0"/>
          <w:i w:val="0"/>
          <w:iCs/>
          <w:sz w:val="21"/>
          <w:szCs w:val="21"/>
          <w:u w:val="none"/>
          <w:lang w:val="en-US" w:eastAsia="zh-CN"/>
        </w:rPr>
        <w:t>5</w:t>
      </w:r>
      <w:r>
        <w:rPr>
          <w:rFonts w:hint="eastAsia" w:ascii="宋体" w:hAnsi="宋体" w:eastAsia="宋体" w:cs="宋体"/>
          <w:b w:val="0"/>
          <w:bCs w:val="0"/>
          <w:i w:val="0"/>
          <w:iCs/>
          <w:sz w:val="21"/>
          <w:szCs w:val="21"/>
          <w:u w:val="none"/>
          <w:lang w:val="en-US" w:eastAsia="zh-CN"/>
        </w:rPr>
        <w:t>分</w:t>
      </w:r>
      <w:r>
        <w:rPr>
          <w:rFonts w:hint="eastAsia" w:ascii="宋体" w:hAnsi="宋体" w:cs="宋体"/>
          <w:b w:val="0"/>
          <w:bCs w:val="0"/>
          <w:i w:val="0"/>
          <w:iCs/>
          <w:sz w:val="21"/>
          <w:szCs w:val="21"/>
          <w:u w:val="none"/>
          <w:lang w:val="en-US" w:eastAsia="zh-CN"/>
        </w:rPr>
        <w:t>，</w:t>
      </w:r>
      <w:r>
        <w:rPr>
          <w:rFonts w:hint="eastAsia" w:ascii="宋体" w:hAnsi="宋体" w:cs="宋体"/>
          <w:i w:val="0"/>
          <w:iCs/>
          <w:sz w:val="21"/>
          <w:szCs w:val="21"/>
          <w:u w:val="none"/>
          <w:lang w:val="en-US" w:eastAsia="zh-CN"/>
        </w:rPr>
        <w:t>评价要求：</w:t>
      </w:r>
      <w:r>
        <w:rPr>
          <w:rFonts w:hint="eastAsia" w:ascii="宋体" w:hAnsi="宋体" w:eastAsia="Times New Roman" w:cs="宋体"/>
          <w:b w:val="0"/>
          <w:bCs/>
          <w:i w:val="0"/>
          <w:iCs/>
          <w:sz w:val="21"/>
          <w:szCs w:val="21"/>
          <w:u w:val="none"/>
          <w:lang w:val="en-US" w:eastAsia="zh-CN"/>
        </w:rPr>
        <w:t>50</w:t>
      </w:r>
      <w:r>
        <w:rPr>
          <w:rFonts w:hint="eastAsia" w:ascii="宋体" w:hAnsi="宋体" w:eastAsia="宋体" w:cs="宋体"/>
          <w:b w:val="0"/>
          <w:bCs/>
          <w:i w:val="0"/>
          <w:iCs/>
          <w:sz w:val="21"/>
          <w:szCs w:val="21"/>
          <w:u w:val="none"/>
          <w:lang w:val="en-US" w:eastAsia="zh-CN"/>
        </w:rPr>
        <w:t>%≤比例≤</w:t>
      </w:r>
      <w:r>
        <w:rPr>
          <w:rFonts w:hint="eastAsia" w:ascii="宋体" w:hAnsi="宋体" w:eastAsia="Times New Roman" w:cs="宋体"/>
          <w:b w:val="0"/>
          <w:bCs/>
          <w:i w:val="0"/>
          <w:iCs/>
          <w:sz w:val="21"/>
          <w:szCs w:val="21"/>
          <w:u w:val="none"/>
          <w:lang w:val="en-US" w:eastAsia="zh-CN"/>
        </w:rPr>
        <w:t>80</w:t>
      </w:r>
      <w:r>
        <w:rPr>
          <w:rFonts w:hint="eastAsia" w:ascii="宋体" w:hAnsi="宋体" w:eastAsia="宋体" w:cs="宋体"/>
          <w:b w:val="0"/>
          <w:bCs/>
          <w:i w:val="0"/>
          <w:iCs/>
          <w:sz w:val="21"/>
          <w:szCs w:val="21"/>
          <w:u w:val="none"/>
          <w:lang w:val="en-US" w:eastAsia="zh-CN"/>
        </w:rPr>
        <w:t>%</w:t>
      </w:r>
      <w:r>
        <w:rPr>
          <w:rFonts w:hint="eastAsia" w:ascii="宋体" w:hAnsi="宋体" w:eastAsia="宋体" w:cs="宋体"/>
          <w:b w:val="0"/>
          <w:bCs/>
          <w:i w:val="0"/>
          <w:iCs/>
          <w:sz w:val="21"/>
          <w:szCs w:val="21"/>
          <w:u w:val="none"/>
          <w:lang w:eastAsia="zh-CN"/>
        </w:rPr>
        <w:t>）</w:t>
      </w:r>
    </w:p>
    <w:p>
      <w:pPr>
        <w:pStyle w:val="34"/>
        <w:ind w:firstLine="0" w:firstLineChars="0"/>
        <w:rPr>
          <w:u w:val="none"/>
        </w:rPr>
      </w:pPr>
      <w:r>
        <w:rPr>
          <w:rFonts w:hint="default" w:ascii="Times New Roman" w:hAnsi="Times New Roman" w:eastAsia="Times New Roman" w:cs="Times New Roman"/>
          <w:b/>
          <w:u w:val="none"/>
          <w:lang w:val="en-US" w:eastAsia="zh-CN"/>
        </w:rPr>
        <w:t>2</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4</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eastAsia"/>
          <w:u w:val="none"/>
          <w:lang w:val="en-US" w:eastAsia="zh-CN"/>
        </w:rPr>
        <w:t xml:space="preserve">  </w:t>
      </w:r>
      <w:r>
        <w:rPr>
          <w:rFonts w:hint="eastAsia"/>
          <w:u w:val="none"/>
        </w:rPr>
        <w:t>内隔墙采用墙体、管线、装修集成一体化技术的应用比例应按下式计算：</w:t>
      </w:r>
    </w:p>
    <w:p>
      <w:pPr>
        <w:pStyle w:val="31"/>
        <w:rPr>
          <w:u w:val="none"/>
        </w:rPr>
      </w:pPr>
      <w:r>
        <w:rPr>
          <w:u w:val="none"/>
        </w:rPr>
        <w:tab/>
      </w:r>
      <w:r>
        <w:rPr>
          <w:position w:val="-34"/>
          <w:u w:val="none"/>
        </w:rPr>
        <w:object>
          <v:shape id="_x0000_i1030" o:spt="75" type="#_x0000_t75" style="height:40.05pt;width:102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u w:val="none"/>
        </w:rPr>
        <w:tab/>
      </w:r>
      <w:r>
        <w:rPr>
          <w:rFonts w:hint="eastAsia"/>
          <w:u w:val="none"/>
        </w:rPr>
        <w:t>（</w:t>
      </w:r>
      <w:r>
        <w:rPr>
          <w:rFonts w:hint="eastAsia" w:eastAsia="Times New Roman"/>
          <w:u w:val="none"/>
          <w:lang w:val="en-US" w:eastAsia="zh-CN"/>
        </w:rPr>
        <w:t>2</w:t>
      </w:r>
      <w:r>
        <w:rPr>
          <w:u w:val="none"/>
        </w:rPr>
        <w:t>.</w:t>
      </w:r>
      <w:r>
        <w:rPr>
          <w:rFonts w:hint="eastAsia" w:eastAsia="Times New Roman"/>
          <w:u w:val="none"/>
          <w:lang w:val="en-US" w:eastAsia="zh-CN"/>
        </w:rPr>
        <w:t>4</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w:t>
      </w:r>
      <w:r>
        <w:rPr>
          <w:u w:val="none"/>
        </w:rPr>
        <w:t>q</w:t>
      </w:r>
      <w:r>
        <w:rPr>
          <w:rFonts w:hint="eastAsia" w:eastAsia="Times New Roman"/>
          <w:u w:val="none"/>
          <w:vertAlign w:val="subscript"/>
        </w:rPr>
        <w:t>2</w:t>
      </w:r>
      <w:r>
        <w:rPr>
          <w:u w:val="none"/>
          <w:vertAlign w:val="subscript"/>
        </w:rPr>
        <w:t>d</w:t>
      </w:r>
      <w:r>
        <w:rPr>
          <w:rFonts w:hint="eastAsia"/>
          <w:u w:val="none"/>
        </w:rPr>
        <w:t>——内隔墙采用墙体、管线、装修一体化的应用比例；</w:t>
      </w:r>
    </w:p>
    <w:p>
      <w:pPr>
        <w:pStyle w:val="32"/>
        <w:ind w:left="1874" w:leftChars="399" w:hanging="1036" w:hangingChars="370"/>
        <w:rPr>
          <w:rFonts w:hint="eastAsia" w:ascii="楷体" w:hAnsi="楷体" w:eastAsia="楷体" w:cs="楷体"/>
          <w:i w:val="0"/>
          <w:iCs/>
          <w:kern w:val="2"/>
          <w:sz w:val="24"/>
          <w:szCs w:val="24"/>
          <w:u w:val="none"/>
          <w:shd w:val="clear" w:color="auto" w:fill="FFFFFF"/>
          <w:lang w:val="en-US" w:eastAsia="zh-CN" w:bidi="ar-SA"/>
        </w:rPr>
      </w:pPr>
      <w:r>
        <w:rPr>
          <w:i w:val="0"/>
          <w:iCs/>
          <w:sz w:val="28"/>
          <w:szCs w:val="28"/>
          <w:u w:val="none"/>
        </w:rPr>
        <w:t>A</w:t>
      </w:r>
      <w:r>
        <w:rPr>
          <w:rFonts w:eastAsia="Times New Roman"/>
          <w:i w:val="0"/>
          <w:iCs/>
          <w:sz w:val="28"/>
          <w:szCs w:val="28"/>
          <w:u w:val="none"/>
          <w:vertAlign w:val="subscript"/>
        </w:rPr>
        <w:t>2</w:t>
      </w:r>
      <w:r>
        <w:rPr>
          <w:i w:val="0"/>
          <w:iCs/>
          <w:sz w:val="28"/>
          <w:szCs w:val="28"/>
          <w:u w:val="none"/>
          <w:vertAlign w:val="subscript"/>
        </w:rPr>
        <w:t>d</w:t>
      </w:r>
      <w:r>
        <w:rPr>
          <w:rFonts w:hint="eastAsia"/>
          <w:i w:val="0"/>
          <w:iCs/>
          <w:sz w:val="28"/>
          <w:szCs w:val="28"/>
          <w:u w:val="none"/>
        </w:rPr>
        <w:t>——各楼层内隔墙采用墙体、管线、装修一体化墙</w:t>
      </w:r>
      <w:r>
        <w:rPr>
          <w:rFonts w:hint="eastAsia"/>
          <w:i w:val="0"/>
          <w:iCs/>
          <w:sz w:val="28"/>
          <w:szCs w:val="28"/>
          <w:u w:val="none"/>
          <w:lang w:val="en-US" w:eastAsia="zh-CN"/>
        </w:rPr>
        <w:t>体表</w:t>
      </w:r>
      <w:r>
        <w:rPr>
          <w:rFonts w:hint="eastAsia"/>
          <w:i w:val="0"/>
          <w:iCs/>
          <w:sz w:val="28"/>
          <w:szCs w:val="28"/>
          <w:u w:val="none"/>
        </w:rPr>
        <w:t>面积之和，计算时可不扣除门、窗及预留洞口等的面积。</w:t>
      </w:r>
    </w:p>
    <w:p>
      <w:pPr>
        <w:pStyle w:val="32"/>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4</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cs="Times New Roman"/>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i w:val="0"/>
          <w:iCs/>
          <w:kern w:val="2"/>
          <w:sz w:val="28"/>
          <w:szCs w:val="28"/>
          <w:u w:val="none"/>
          <w:shd w:val="clear" w:color="auto" w:fill="FFFFFF"/>
          <w:lang w:val="en-US" w:eastAsia="zh-CN" w:bidi="ar-SA"/>
        </w:rPr>
        <w:t>内隔墙采用墙体、管线、装修一体化强调的是“集成性”。内隔墙从设计阶段就需进行一体化集成设计，在管线综合设计的基础上，实现墙体与管线的集成以及土建与装修的一体化，从而形成“内隔墙系统”。一体化的集成过程应采用干式作业方式，既可以在工厂完成一体化的集成，也可以在现场应用干式作业进行集成。当墙体采用免抹灰工艺时，装修效果应满足建筑使用功能要求。</w:t>
      </w:r>
    </w:p>
    <w:p>
      <w:pPr>
        <w:pStyle w:val="32"/>
        <w:numPr>
          <w:ilvl w:val="0"/>
          <w:numId w:val="0"/>
        </w:numPr>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30"/>
          <w:szCs w:val="30"/>
          <w:u w:val="none"/>
          <w:shd w:val="clear" w:color="auto" w:fill="FFFFFF"/>
          <w:lang w:val="en-US" w:eastAsia="zh-CN" w:bidi="ar-SA"/>
        </w:rPr>
        <w:t>3</w:t>
      </w:r>
      <w:r>
        <w:rPr>
          <w:rFonts w:hint="eastAsia" w:ascii="宋体" w:hAnsi="宋体" w:cs="宋体"/>
          <w:b/>
          <w:bCs/>
          <w:i w:val="0"/>
          <w:iCs/>
          <w:kern w:val="2"/>
          <w:sz w:val="30"/>
          <w:szCs w:val="30"/>
          <w:u w:val="none"/>
          <w:shd w:val="clear" w:color="auto" w:fill="FFFFFF"/>
          <w:lang w:val="en-US" w:eastAsia="zh-CN" w:bidi="ar-SA"/>
        </w:rPr>
        <w:t xml:space="preserve"> </w:t>
      </w:r>
      <w:r>
        <w:rPr>
          <w:rFonts w:hint="eastAsia" w:ascii="宋体" w:hAnsi="宋体" w:eastAsia="宋体" w:cs="宋体"/>
          <w:b/>
          <w:bCs/>
          <w:i w:val="0"/>
          <w:iCs/>
          <w:kern w:val="2"/>
          <w:sz w:val="30"/>
          <w:szCs w:val="30"/>
          <w:u w:val="none"/>
          <w:shd w:val="clear" w:color="auto" w:fill="FFFFFF"/>
          <w:lang w:val="en-US" w:eastAsia="zh-CN" w:bidi="ar-SA"/>
        </w:rPr>
        <w:t xml:space="preserve"> Q</w:t>
      </w:r>
      <w:r>
        <w:rPr>
          <w:rFonts w:hint="eastAsia" w:ascii="宋体" w:hAnsi="宋体" w:eastAsia="Times New Roman" w:cs="宋体"/>
          <w:b/>
          <w:bCs/>
          <w:i w:val="0"/>
          <w:iCs/>
          <w:kern w:val="2"/>
          <w:sz w:val="30"/>
          <w:szCs w:val="30"/>
          <w:u w:val="none"/>
          <w:shd w:val="clear" w:color="auto" w:fill="FFFFFF"/>
          <w:vertAlign w:val="subscript"/>
          <w:lang w:val="en-US" w:eastAsia="zh-CN" w:bidi="ar-SA"/>
        </w:rPr>
        <w:t>3</w:t>
      </w:r>
      <w:r>
        <w:rPr>
          <w:rFonts w:hint="eastAsia" w:ascii="宋体" w:hAnsi="宋体" w:eastAsia="宋体" w:cs="宋体"/>
          <w:b/>
          <w:bCs/>
          <w:i w:val="0"/>
          <w:iCs/>
          <w:sz w:val="30"/>
          <w:szCs w:val="30"/>
          <w:u w:val="none"/>
          <w:lang w:val="en-US" w:eastAsia="zh-CN"/>
        </w:rPr>
        <w:t>：</w:t>
      </w:r>
      <w:r>
        <w:rPr>
          <w:rFonts w:hint="eastAsia" w:ascii="宋体" w:hAnsi="宋体" w:eastAsia="宋体" w:cs="宋体"/>
          <w:b/>
          <w:bCs/>
          <w:i w:val="0"/>
          <w:iCs/>
          <w:kern w:val="2"/>
          <w:sz w:val="30"/>
          <w:szCs w:val="30"/>
          <w:u w:val="none"/>
          <w:shd w:val="clear" w:color="auto" w:fill="FFFFFF"/>
          <w:lang w:val="en-US" w:eastAsia="zh-CN" w:bidi="ar-SA"/>
        </w:rPr>
        <w:t>装修和设备管线</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30</w:t>
      </w:r>
      <w:r>
        <w:rPr>
          <w:rFonts w:hint="eastAsia" w:ascii="宋体" w:hAnsi="宋体" w:eastAsia="宋体" w:cs="宋体"/>
          <w:i w:val="0"/>
          <w:iCs/>
          <w:kern w:val="2"/>
          <w:sz w:val="21"/>
          <w:szCs w:val="21"/>
          <w:u w:val="none"/>
          <w:shd w:val="clear" w:color="auto" w:fill="FFFFFF"/>
          <w:lang w:val="en-US" w:eastAsia="zh-CN" w:bidi="ar-SA"/>
        </w:rPr>
        <w:t>分，</w:t>
      </w:r>
      <w:r>
        <w:rPr>
          <w:rFonts w:hint="eastAsia" w:ascii="宋体" w:hAnsi="宋体" w:cs="宋体"/>
          <w:i w:val="0"/>
          <w:iCs/>
          <w:kern w:val="2"/>
          <w:sz w:val="21"/>
          <w:szCs w:val="21"/>
          <w:u w:val="none"/>
          <w:shd w:val="clear" w:color="auto" w:fill="FFFFFF"/>
          <w:lang w:val="en-US" w:eastAsia="zh-CN" w:bidi="ar-SA"/>
        </w:rPr>
        <w:t>最低分</w:t>
      </w:r>
      <w:r>
        <w:rPr>
          <w:rFonts w:hint="eastAsia" w:ascii="宋体" w:hAnsi="宋体" w:eastAsia="Times New Roman" w:cs="宋体"/>
          <w:i w:val="0"/>
          <w:iCs/>
          <w:kern w:val="2"/>
          <w:sz w:val="21"/>
          <w:szCs w:val="21"/>
          <w:u w:val="none"/>
          <w:shd w:val="clear" w:color="auto" w:fill="FFFFFF"/>
          <w:lang w:val="en-US" w:eastAsia="zh-CN" w:bidi="ar-SA"/>
        </w:rPr>
        <w:t>6</w:t>
      </w:r>
      <w:r>
        <w:rPr>
          <w:rFonts w:hint="eastAsia" w:ascii="宋体" w:hAnsi="宋体" w:cs="宋体"/>
          <w:i w:val="0"/>
          <w:iCs/>
          <w:kern w:val="2"/>
          <w:sz w:val="21"/>
          <w:szCs w:val="21"/>
          <w:u w:val="none"/>
          <w:shd w:val="clear" w:color="auto" w:fill="FFFFFF"/>
          <w:lang w:val="en-US" w:eastAsia="zh-CN" w:bidi="ar-SA"/>
        </w:rPr>
        <w:t>分，</w:t>
      </w:r>
      <w:r>
        <w:rPr>
          <w:rFonts w:hint="eastAsia" w:ascii="宋体" w:hAnsi="宋体" w:eastAsia="宋体" w:cs="宋体"/>
          <w:i w:val="0"/>
          <w:iCs/>
          <w:kern w:val="2"/>
          <w:sz w:val="21"/>
          <w:szCs w:val="21"/>
          <w:u w:val="none"/>
          <w:shd w:val="clear" w:color="auto" w:fill="FFFFFF"/>
          <w:lang w:val="en-US" w:eastAsia="zh-CN" w:bidi="ar-SA"/>
        </w:rPr>
        <w:t>其中Q</w:t>
      </w:r>
      <w:r>
        <w:rPr>
          <w:rFonts w:hint="eastAsia" w:ascii="宋体" w:hAnsi="宋体" w:eastAsia="Times New Roman" w:cs="宋体"/>
          <w:i w:val="0"/>
          <w:iCs/>
          <w:kern w:val="2"/>
          <w:sz w:val="21"/>
          <w:szCs w:val="21"/>
          <w:u w:val="none"/>
          <w:shd w:val="clear" w:color="auto" w:fill="FFFFFF"/>
          <w:vertAlign w:val="subscript"/>
          <w:lang w:val="en-US" w:eastAsia="zh-CN" w:bidi="ar-SA"/>
        </w:rPr>
        <w:t>3</w:t>
      </w:r>
      <w:r>
        <w:rPr>
          <w:rFonts w:hint="eastAsia" w:ascii="宋体" w:hAnsi="宋体" w:eastAsia="宋体" w:cs="宋体"/>
          <w:i w:val="0"/>
          <w:iCs/>
          <w:kern w:val="2"/>
          <w:sz w:val="21"/>
          <w:szCs w:val="21"/>
          <w:u w:val="none"/>
          <w:shd w:val="clear" w:color="auto" w:fill="FFFFFF"/>
          <w:vertAlign w:val="subscript"/>
          <w:lang w:val="en-US" w:eastAsia="zh-CN" w:bidi="ar-SA"/>
        </w:rPr>
        <w:t>a</w:t>
      </w:r>
      <w:r>
        <w:rPr>
          <w:rFonts w:hint="eastAsia" w:ascii="宋体" w:hAnsi="宋体" w:eastAsia="宋体" w:cs="宋体"/>
          <w:i w:val="0"/>
          <w:iCs/>
          <w:kern w:val="2"/>
          <w:sz w:val="21"/>
          <w:szCs w:val="21"/>
          <w:u w:val="none"/>
          <w:shd w:val="clear" w:color="auto" w:fill="FFFFFF"/>
          <w:lang w:val="en-US" w:eastAsia="zh-CN" w:bidi="ar-SA"/>
        </w:rPr>
        <w:t>为必须得分项）</w:t>
      </w:r>
    </w:p>
    <w:p>
      <w:pPr>
        <w:pStyle w:val="32"/>
        <w:numPr>
          <w:ilvl w:val="0"/>
          <w:numId w:val="0"/>
        </w:numPr>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eastAsia" w:ascii="宋体" w:hAnsi="宋体" w:eastAsia="宋体" w:cs="宋体"/>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3</w:t>
      </w:r>
      <w:r>
        <w:rPr>
          <w:rFonts w:hint="eastAsia" w:ascii="宋体" w:hAnsi="宋体" w:eastAsia="宋体" w:cs="宋体"/>
          <w:b/>
          <w:bCs/>
          <w:i w:val="0"/>
          <w:iCs/>
          <w:kern w:val="2"/>
          <w:sz w:val="28"/>
          <w:szCs w:val="28"/>
          <w:u w:val="none"/>
          <w:shd w:val="clear" w:color="auto" w:fill="FFFFFF"/>
          <w:vertAlign w:val="subscript"/>
          <w:lang w:val="en-US" w:eastAsia="zh-CN" w:bidi="ar-SA"/>
        </w:rPr>
        <w:t>a</w:t>
      </w:r>
      <w:r>
        <w:rPr>
          <w:rFonts w:hint="eastAsia" w:ascii="宋体" w:hAnsi="宋体" w:eastAsia="宋体" w:cs="宋体"/>
          <w:b/>
          <w:bCs/>
          <w:i w:val="0"/>
          <w:iCs/>
          <w:kern w:val="2"/>
          <w:sz w:val="28"/>
          <w:szCs w:val="28"/>
          <w:u w:val="none"/>
          <w:shd w:val="clear" w:color="auto" w:fill="FFFFFF"/>
          <w:lang w:val="en-US" w:eastAsia="zh-CN" w:bidi="ar-SA"/>
        </w:rPr>
        <w:t>：全装修</w:t>
      </w:r>
      <w:r>
        <w:rPr>
          <w:rFonts w:hint="eastAsia" w:ascii="宋体" w:hAnsi="宋体" w:eastAsia="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6</w:t>
      </w:r>
      <w:r>
        <w:rPr>
          <w:rFonts w:hint="eastAsia" w:ascii="宋体" w:hAnsi="宋体" w:eastAsia="宋体" w:cs="宋体"/>
          <w:b w:val="0"/>
          <w:bCs w:val="0"/>
          <w:i w:val="0"/>
          <w:iCs/>
          <w:kern w:val="2"/>
          <w:sz w:val="21"/>
          <w:szCs w:val="21"/>
          <w:u w:val="none"/>
          <w:shd w:val="clear" w:color="auto" w:fill="FFFFFF"/>
          <w:lang w:val="en-US" w:eastAsia="zh-CN" w:bidi="ar-SA"/>
        </w:rPr>
        <w:t>分</w:t>
      </w:r>
      <w:r>
        <w:rPr>
          <w:rFonts w:hint="eastAsia" w:ascii="宋体" w:hAnsi="宋体" w:cs="宋体"/>
          <w:b w:val="0"/>
          <w:bCs w:val="0"/>
          <w:i w:val="0"/>
          <w:iCs/>
          <w:kern w:val="2"/>
          <w:sz w:val="21"/>
          <w:szCs w:val="21"/>
          <w:u w:val="none"/>
          <w:shd w:val="clear" w:color="auto" w:fill="FFFFFF"/>
          <w:lang w:val="en-US" w:eastAsia="zh-CN" w:bidi="ar-SA"/>
        </w:rPr>
        <w:t>，评价要求：必须满足</w:t>
      </w:r>
      <w:r>
        <w:rPr>
          <w:rFonts w:hint="eastAsia" w:ascii="宋体" w:hAnsi="宋体" w:eastAsia="Times New Roman" w:cs="宋体"/>
          <w:b w:val="0"/>
          <w:bCs w:val="0"/>
          <w:i w:val="0"/>
          <w:iCs/>
          <w:kern w:val="2"/>
          <w:sz w:val="21"/>
          <w:szCs w:val="21"/>
          <w:u w:val="none"/>
          <w:shd w:val="clear" w:color="auto" w:fill="FFFFFF"/>
          <w:lang w:val="en-US" w:eastAsia="zh-CN" w:bidi="ar-SA"/>
        </w:rPr>
        <w:t>3</w:t>
      </w:r>
      <w:r>
        <w:rPr>
          <w:rFonts w:hint="eastAsia" w:ascii="宋体" w:hAnsi="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1</w:t>
      </w:r>
      <w:r>
        <w:rPr>
          <w:rFonts w:hint="eastAsia" w:ascii="宋体" w:hAnsi="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1</w:t>
      </w:r>
      <w:r>
        <w:rPr>
          <w:rFonts w:hint="eastAsia" w:ascii="宋体" w:hAnsi="宋体" w:cs="宋体"/>
          <w:b w:val="0"/>
          <w:bCs w:val="0"/>
          <w:i w:val="0"/>
          <w:iCs/>
          <w:kern w:val="2"/>
          <w:sz w:val="21"/>
          <w:szCs w:val="21"/>
          <w:u w:val="none"/>
          <w:shd w:val="clear" w:color="auto" w:fill="FFFFFF"/>
          <w:lang w:val="en-US" w:eastAsia="zh-CN" w:bidi="ar-SA"/>
        </w:rPr>
        <w:t>要求</w:t>
      </w:r>
      <w:r>
        <w:rPr>
          <w:rFonts w:hint="eastAsia" w:ascii="宋体" w:hAnsi="宋体" w:eastAsia="宋体" w:cs="宋体"/>
          <w:b w:val="0"/>
          <w:bCs w:val="0"/>
          <w:i w:val="0"/>
          <w:iCs/>
          <w:kern w:val="2"/>
          <w:sz w:val="21"/>
          <w:szCs w:val="21"/>
          <w:u w:val="none"/>
          <w:shd w:val="clear" w:color="auto" w:fill="FFFFFF"/>
          <w:lang w:val="en-US" w:eastAsia="zh-CN" w:bidi="ar-SA"/>
        </w:rPr>
        <w:t>）</w:t>
      </w:r>
    </w:p>
    <w:p>
      <w:pPr>
        <w:pStyle w:val="34"/>
        <w:rPr>
          <w:rFonts w:hAnsi="宋体"/>
          <w:u w:val="none"/>
        </w:rPr>
      </w:pPr>
      <w:r>
        <w:rPr>
          <w:rFonts w:hint="default" w:ascii="Times New Roman" w:hAnsi="Times New Roman" w:eastAsia="Times New Roman" w:cs="Times New Roman"/>
          <w:b/>
          <w:u w:val="none"/>
          <w:lang w:val="en-US" w:eastAsia="zh-CN"/>
        </w:rPr>
        <w:t>3</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eastAsia" w:ascii="宋体" w:hAnsi="宋体" w:cs="宋体"/>
          <w:b/>
          <w:u w:val="none"/>
          <w:lang w:val="en-US" w:eastAsia="zh-CN"/>
        </w:rPr>
        <w:t xml:space="preserve"> </w:t>
      </w:r>
      <w:r>
        <w:rPr>
          <w:u w:val="none"/>
        </w:rPr>
        <w:tab/>
      </w:r>
      <w:r>
        <w:rPr>
          <w:rFonts w:hint="eastAsia"/>
          <w:u w:val="none"/>
        </w:rPr>
        <w:t>全装修宜满足以下要求：</w:t>
      </w:r>
    </w:p>
    <w:p>
      <w:pPr>
        <w:pStyle w:val="46"/>
        <w:ind w:firstLine="560"/>
        <w:rPr>
          <w:u w:val="none"/>
        </w:rPr>
      </w:pPr>
      <w:r>
        <w:rPr>
          <w:rFonts w:hint="eastAsia" w:eastAsia="Times New Roman"/>
          <w:u w:val="none"/>
        </w:rPr>
        <w:t>1</w:t>
      </w:r>
      <w:r>
        <w:rPr>
          <w:u w:val="none"/>
        </w:rPr>
        <w:t xml:space="preserve"> </w:t>
      </w:r>
      <w:r>
        <w:rPr>
          <w:rFonts w:hint="eastAsia"/>
          <w:u w:val="none"/>
          <w:lang w:val="en-US" w:eastAsia="zh-CN"/>
        </w:rPr>
        <w:t xml:space="preserve"> </w:t>
      </w:r>
      <w:r>
        <w:rPr>
          <w:rFonts w:hint="eastAsia"/>
          <w:u w:val="none"/>
        </w:rPr>
        <w:t>居住建筑全装修范围包括建筑的公共区域、户内各功能空间</w:t>
      </w:r>
      <w:r>
        <w:rPr>
          <w:rFonts w:hint="eastAsia"/>
          <w:u w:val="none"/>
          <w:lang w:eastAsia="zh-CN"/>
        </w:rPr>
        <w:t>，</w:t>
      </w:r>
      <w:r>
        <w:rPr>
          <w:rFonts w:hint="eastAsia" w:ascii="宋体" w:hAnsi="宋体" w:eastAsia="宋体" w:cs="宋体"/>
          <w:i w:val="0"/>
          <w:iCs/>
          <w:kern w:val="2"/>
          <w:sz w:val="28"/>
          <w:szCs w:val="28"/>
          <w:u w:val="none"/>
          <w:shd w:val="clear" w:color="auto" w:fill="FFFFFF"/>
          <w:lang w:val="en-US" w:eastAsia="zh-CN" w:bidi="ar-SA"/>
        </w:rPr>
        <w:t>当建筑为回迁房时，全装修范围可只包括建筑的公共区域</w:t>
      </w:r>
      <w:r>
        <w:rPr>
          <w:rFonts w:hint="eastAsia" w:ascii="宋体" w:hAnsi="宋体" w:eastAsia="宋体" w:cs="宋体"/>
          <w:u w:val="none"/>
        </w:rPr>
        <w:t>；</w:t>
      </w:r>
    </w:p>
    <w:p>
      <w:pPr>
        <w:pStyle w:val="46"/>
        <w:ind w:firstLine="560"/>
        <w:rPr>
          <w:u w:val="none"/>
        </w:rPr>
      </w:pPr>
      <w:r>
        <w:rPr>
          <w:rFonts w:eastAsia="Times New Roman"/>
          <w:u w:val="none"/>
        </w:rPr>
        <w:t>2</w:t>
      </w:r>
      <w:r>
        <w:rPr>
          <w:u w:val="none"/>
        </w:rPr>
        <w:t xml:space="preserve"> </w:t>
      </w:r>
      <w:r>
        <w:rPr>
          <w:rFonts w:hint="eastAsia"/>
          <w:u w:val="none"/>
          <w:lang w:val="en-US" w:eastAsia="zh-CN"/>
        </w:rPr>
        <w:t xml:space="preserve"> </w:t>
      </w:r>
      <w:r>
        <w:rPr>
          <w:rFonts w:hint="eastAsia"/>
          <w:u w:val="none"/>
        </w:rPr>
        <w:t>公共建筑全装修范围包括公共区域和已确定使用功能的室内区域；</w:t>
      </w:r>
    </w:p>
    <w:p>
      <w:pPr>
        <w:pStyle w:val="46"/>
        <w:ind w:firstLine="560"/>
        <w:rPr>
          <w:u w:val="none"/>
        </w:rPr>
      </w:pPr>
      <w:r>
        <w:rPr>
          <w:rFonts w:eastAsia="Times New Roman"/>
          <w:u w:val="none"/>
        </w:rPr>
        <w:t>3</w:t>
      </w:r>
      <w:r>
        <w:rPr>
          <w:u w:val="none"/>
        </w:rPr>
        <w:t xml:space="preserve"> </w:t>
      </w:r>
      <w:r>
        <w:rPr>
          <w:rFonts w:hint="eastAsia"/>
          <w:u w:val="none"/>
          <w:lang w:val="en-US" w:eastAsia="zh-CN"/>
        </w:rPr>
        <w:t xml:space="preserve"> </w:t>
      </w:r>
      <w:r>
        <w:rPr>
          <w:rFonts w:hint="eastAsia"/>
          <w:u w:val="none"/>
        </w:rPr>
        <w:t>装配式建筑主体设计应与内、外装修设计同步协同设计。</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注：全装修标准：</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1</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公共区域墙面完成干挂、粉刷、铺贴等饰面，地面完成干铺、铺贴、打磨等，</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2</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厨房墙面、地面完成铺贴等饰面，</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完成吊顶、粉刷等，开关、插座、灯、房门等安装到位，给水排水点位、燃气点位预留到位；</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3</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卫生间墙面、地面完成铺贴等饰面，</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完成吊顶、粉刷等，地漏、开关、插座、灯、房门安装到位，燃气、给水</w:t>
      </w:r>
      <w:r>
        <w:rPr>
          <w:rFonts w:hint="eastAsia" w:ascii="宋体" w:hAnsi="宋体" w:cs="宋体"/>
          <w:i w:val="0"/>
          <w:iCs/>
          <w:kern w:val="2"/>
          <w:sz w:val="24"/>
          <w:szCs w:val="24"/>
          <w:u w:val="none"/>
          <w:shd w:val="clear" w:color="auto" w:fill="FFFFFF"/>
          <w:lang w:val="en-US" w:eastAsia="zh-CN" w:bidi="ar-SA"/>
        </w:rPr>
        <w:t>排水</w:t>
      </w:r>
      <w:r>
        <w:rPr>
          <w:rFonts w:hint="eastAsia" w:ascii="宋体" w:hAnsi="宋体" w:eastAsia="宋体" w:cs="宋体"/>
          <w:i w:val="0"/>
          <w:iCs/>
          <w:kern w:val="2"/>
          <w:sz w:val="24"/>
          <w:szCs w:val="24"/>
          <w:u w:val="none"/>
          <w:shd w:val="clear" w:color="auto" w:fill="FFFFFF"/>
          <w:lang w:val="en-US" w:eastAsia="zh-CN" w:bidi="ar-SA"/>
        </w:rPr>
        <w:t>点位预留到位；</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4</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阳台墙面、地面完成铺贴等饰面，</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完成吊顶、粉刷等，地漏、开关、灯、插座安装到位，给水排水点位预留到位；</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5</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其他功能房间墙面完成粉刷、铺贴等饰面，地面完成干铺、铺贴、打磨等，</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完成吊顶、粉刷等，房门、开关、插座等安装完成，空调空洞预留到位。</w:t>
      </w:r>
    </w:p>
    <w:p>
      <w:pPr>
        <w:pStyle w:val="34"/>
        <w:rPr>
          <w:rFonts w:hint="eastAsia" w:ascii="宋体" w:hAnsi="宋体" w:eastAsia="宋体" w:cs="宋体"/>
          <w:b w:val="0"/>
          <w:bCs w:val="0"/>
          <w:sz w:val="21"/>
          <w:szCs w:val="21"/>
          <w:u w:val="none"/>
          <w:lang w:eastAsia="zh-CN"/>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3</w:t>
      </w:r>
      <w:r>
        <w:rPr>
          <w:rFonts w:hint="eastAsia" w:ascii="宋体" w:hAnsi="宋体" w:eastAsia="宋体" w:cs="宋体"/>
          <w:b/>
          <w:bCs/>
          <w:i w:val="0"/>
          <w:iCs/>
          <w:kern w:val="2"/>
          <w:sz w:val="28"/>
          <w:szCs w:val="28"/>
          <w:u w:val="none"/>
          <w:shd w:val="clear" w:color="auto" w:fill="FFFFFF"/>
          <w:vertAlign w:val="subscript"/>
          <w:lang w:val="en-US" w:eastAsia="zh-CN" w:bidi="ar-SA"/>
        </w:rPr>
        <w:t>b</w:t>
      </w:r>
      <w:r>
        <w:rPr>
          <w:rFonts w:hint="eastAsia" w:ascii="宋体" w:hAnsi="宋体" w:eastAsia="宋体" w:cs="宋体"/>
          <w:b/>
          <w:bCs/>
          <w:sz w:val="28"/>
          <w:szCs w:val="28"/>
          <w:u w:val="none"/>
          <w:lang w:val="en-US" w:eastAsia="zh-CN"/>
        </w:rPr>
        <w:t>：</w:t>
      </w:r>
      <w:r>
        <w:rPr>
          <w:rFonts w:hint="eastAsia" w:ascii="宋体" w:hAnsi="宋体" w:eastAsia="宋体" w:cs="宋体"/>
          <w:b/>
          <w:bCs/>
          <w:u w:val="none"/>
        </w:rPr>
        <w:t>干式工法楼面、地</w:t>
      </w:r>
      <w:r>
        <w:rPr>
          <w:rFonts w:hint="eastAsia"/>
          <w:b/>
          <w:bCs/>
          <w:u w:val="none"/>
        </w:rPr>
        <w:t>面</w:t>
      </w:r>
      <w:r>
        <w:rPr>
          <w:rFonts w:hint="eastAsia" w:ascii="宋体" w:hAnsi="宋体" w:eastAsia="宋体" w:cs="宋体"/>
          <w:b w:val="0"/>
          <w:bCs w:val="0"/>
          <w:sz w:val="21"/>
          <w:szCs w:val="21"/>
          <w:u w:val="none"/>
          <w:lang w:eastAsia="zh-CN"/>
        </w:rPr>
        <w:t>（</w:t>
      </w:r>
      <w:r>
        <w:rPr>
          <w:rFonts w:hint="eastAsia" w:ascii="宋体" w:hAnsi="宋体" w:eastAsia="Times New Roman" w:cs="宋体"/>
          <w:b w:val="0"/>
          <w:bCs w:val="0"/>
          <w:sz w:val="21"/>
          <w:szCs w:val="21"/>
          <w:u w:val="none"/>
          <w:lang w:val="en-US" w:eastAsia="zh-CN"/>
        </w:rPr>
        <w:t>6</w:t>
      </w:r>
      <w:r>
        <w:rPr>
          <w:rFonts w:hint="eastAsia" w:ascii="宋体" w:hAnsi="宋体" w:eastAsia="宋体" w:cs="宋体"/>
          <w:b w:val="0"/>
          <w:bCs w:val="0"/>
          <w:sz w:val="21"/>
          <w:szCs w:val="21"/>
          <w:u w:val="none"/>
          <w:lang w:val="en-US" w:eastAsia="zh-CN"/>
        </w:rPr>
        <w:t>分，评价要求：</w:t>
      </w:r>
      <w:r>
        <w:rPr>
          <w:rFonts w:hint="eastAsia" w:ascii="宋体" w:hAnsi="宋体" w:eastAsia="宋体" w:cs="宋体"/>
          <w:b w:val="0"/>
          <w:bCs w:val="0"/>
          <w:i w:val="0"/>
          <w:iCs/>
          <w:sz w:val="21"/>
          <w:szCs w:val="21"/>
          <w:u w:val="none"/>
          <w:lang w:val="en-US" w:eastAsia="zh-CN"/>
        </w:rPr>
        <w:t>比例</w:t>
      </w:r>
      <w:r>
        <w:rPr>
          <w:rFonts w:hint="eastAsia" w:ascii="宋体" w:hAnsi="宋体" w:eastAsia="宋体" w:cs="宋体"/>
          <w:b w:val="0"/>
          <w:bCs w:val="0"/>
          <w:color w:val="auto"/>
          <w:sz w:val="21"/>
          <w:szCs w:val="21"/>
          <w:u w:val="none"/>
          <w:lang w:val="en-US" w:eastAsia="zh-CN"/>
        </w:rPr>
        <w:t>≥</w:t>
      </w:r>
      <w:r>
        <w:rPr>
          <w:rFonts w:hint="eastAsia" w:ascii="宋体" w:hAnsi="宋体" w:eastAsia="Times New Roman" w:cs="宋体"/>
          <w:b w:val="0"/>
          <w:bCs w:val="0"/>
          <w:color w:val="auto"/>
          <w:sz w:val="21"/>
          <w:szCs w:val="21"/>
          <w:u w:val="none"/>
          <w:lang w:val="en-US" w:eastAsia="zh-CN"/>
        </w:rPr>
        <w:t>70</w:t>
      </w:r>
      <w:r>
        <w:rPr>
          <w:rFonts w:hint="eastAsia" w:ascii="宋体" w:hAnsi="宋体" w:eastAsia="宋体" w:cs="宋体"/>
          <w:b w:val="0"/>
          <w:bCs w:val="0"/>
          <w:color w:val="auto"/>
          <w:sz w:val="21"/>
          <w:szCs w:val="21"/>
          <w:u w:val="none"/>
          <w:lang w:val="en-US" w:eastAsia="zh-CN"/>
        </w:rPr>
        <w:t>%</w:t>
      </w:r>
      <w:r>
        <w:rPr>
          <w:rFonts w:hint="eastAsia" w:ascii="宋体" w:hAnsi="宋体" w:eastAsia="宋体" w:cs="宋体"/>
          <w:b w:val="0"/>
          <w:bCs w:val="0"/>
          <w:sz w:val="21"/>
          <w:szCs w:val="21"/>
          <w:u w:val="none"/>
          <w:lang w:eastAsia="zh-CN"/>
        </w:rPr>
        <w:t>）</w:t>
      </w:r>
    </w:p>
    <w:p>
      <w:pPr>
        <w:pStyle w:val="34"/>
        <w:rPr>
          <w:u w:val="none"/>
        </w:rPr>
      </w:pP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u w:val="none"/>
          <w:lang w:val="en-US" w:eastAsia="zh-CN"/>
        </w:rPr>
        <w:t xml:space="preserve">  </w:t>
      </w:r>
      <w:r>
        <w:rPr>
          <w:rFonts w:hint="eastAsia"/>
          <w:u w:val="none"/>
        </w:rPr>
        <w:t>干式工法</w:t>
      </w:r>
      <w:r>
        <w:rPr>
          <w:rFonts w:hint="eastAsia"/>
          <w:u w:val="none"/>
          <w:lang w:val="en-US" w:eastAsia="zh-CN"/>
        </w:rPr>
        <w:t>施工的</w:t>
      </w:r>
      <w:r>
        <w:rPr>
          <w:rFonts w:hint="eastAsia"/>
          <w:u w:val="none"/>
        </w:rPr>
        <w:t>楼面、地面的应用比例应按下式计算：</w:t>
      </w:r>
    </w:p>
    <w:p>
      <w:pPr>
        <w:pStyle w:val="31"/>
        <w:rPr>
          <w:u w:val="none"/>
        </w:rPr>
      </w:pPr>
      <w:r>
        <w:rPr>
          <w:u w:val="none"/>
        </w:rPr>
        <w:tab/>
      </w:r>
      <w:r>
        <w:rPr>
          <w:position w:val="-34"/>
          <w:u w:val="none"/>
        </w:rPr>
        <w:object>
          <v:shape id="_x0000_i1031" o:spt="75" type="#_x0000_t75" style="height:39.45pt;width:100.8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u w:val="none"/>
        </w:rPr>
        <w:tab/>
      </w:r>
      <w:r>
        <w:rPr>
          <w:rFonts w:hint="eastAsia"/>
          <w:u w:val="none"/>
        </w:rPr>
        <w:t>（</w:t>
      </w:r>
      <w:r>
        <w:rPr>
          <w:rFonts w:hint="eastAsia" w:eastAsia="Times New Roman"/>
          <w:u w:val="none"/>
          <w:lang w:val="en-US" w:eastAsia="zh-CN"/>
        </w:rPr>
        <w:t>3</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w:t>
      </w:r>
      <w:r>
        <w:rPr>
          <w:u w:val="none"/>
        </w:rPr>
        <w:t>q</w:t>
      </w:r>
      <w:r>
        <w:rPr>
          <w:rFonts w:hint="eastAsia" w:eastAsia="Times New Roman"/>
          <w:u w:val="none"/>
          <w:vertAlign w:val="subscript"/>
        </w:rPr>
        <w:t>3</w:t>
      </w:r>
      <w:r>
        <w:rPr>
          <w:u w:val="none"/>
          <w:vertAlign w:val="subscript"/>
        </w:rPr>
        <w:t>b</w:t>
      </w:r>
      <w:r>
        <w:rPr>
          <w:rFonts w:hint="eastAsia"/>
          <w:u w:val="none"/>
        </w:rPr>
        <w:t>——干式工法</w:t>
      </w:r>
      <w:r>
        <w:rPr>
          <w:rFonts w:hint="eastAsia"/>
          <w:u w:val="none"/>
          <w:lang w:val="en-US" w:eastAsia="zh-CN"/>
        </w:rPr>
        <w:t>施工的</w:t>
      </w:r>
      <w:r>
        <w:rPr>
          <w:rFonts w:hint="eastAsia"/>
          <w:u w:val="none"/>
        </w:rPr>
        <w:t>楼面、地面的应用比例；</w:t>
      </w:r>
    </w:p>
    <w:p>
      <w:pPr>
        <w:pStyle w:val="40"/>
        <w:rPr>
          <w:u w:val="none"/>
        </w:rPr>
      </w:pPr>
      <w:r>
        <w:rPr>
          <w:rFonts w:hint="eastAsia"/>
          <w:u w:val="none"/>
        </w:rPr>
        <w:t>A</w:t>
      </w:r>
      <w:r>
        <w:rPr>
          <w:rFonts w:hint="eastAsia" w:eastAsia="Times New Roman"/>
          <w:u w:val="none"/>
          <w:vertAlign w:val="subscript"/>
        </w:rPr>
        <w:t>3</w:t>
      </w:r>
      <w:r>
        <w:rPr>
          <w:u w:val="none"/>
          <w:vertAlign w:val="subscript"/>
        </w:rPr>
        <w:t>b</w:t>
      </w:r>
      <w:r>
        <w:rPr>
          <w:rFonts w:hint="eastAsia"/>
          <w:u w:val="none"/>
        </w:rPr>
        <w:t>——各楼层采用干式工法</w:t>
      </w:r>
      <w:r>
        <w:rPr>
          <w:rFonts w:hint="eastAsia"/>
          <w:u w:val="none"/>
          <w:lang w:val="en-US" w:eastAsia="zh-CN"/>
        </w:rPr>
        <w:t>施工</w:t>
      </w:r>
      <w:r>
        <w:rPr>
          <w:rFonts w:hint="eastAsia"/>
          <w:u w:val="none"/>
        </w:rPr>
        <w:t>的楼面、地面的水平投影面积之和；</w:t>
      </w:r>
    </w:p>
    <w:p>
      <w:pPr>
        <w:pStyle w:val="40"/>
        <w:ind w:left="1698" w:leftChars="398" w:hanging="862" w:hangingChars="308"/>
        <w:rPr>
          <w:rFonts w:hint="default" w:ascii="楷体" w:hAnsi="楷体" w:eastAsia="宋体" w:cs="楷体"/>
          <w:i w:val="0"/>
          <w:iCs/>
          <w:kern w:val="2"/>
          <w:sz w:val="24"/>
          <w:szCs w:val="24"/>
          <w:u w:val="none"/>
          <w:shd w:val="clear" w:color="auto" w:fill="FFFFFF"/>
          <w:lang w:val="en-US" w:eastAsia="zh-CN" w:bidi="ar-SA"/>
        </w:rPr>
      </w:pPr>
      <w:r>
        <w:rPr>
          <w:rFonts w:hint="eastAsia"/>
          <w:u w:val="none"/>
        </w:rPr>
        <w:t>A</w:t>
      </w:r>
      <w:r>
        <w:rPr>
          <w:u w:val="none"/>
          <w:vertAlign w:val="subscript"/>
        </w:rPr>
        <w:t>L</w:t>
      </w:r>
      <w:r>
        <w:rPr>
          <w:rFonts w:hint="eastAsia"/>
          <w:u w:val="none"/>
        </w:rPr>
        <w:t>——各楼层建筑平面总面积扣除洞口面积、墙和柱的水平投影面积</w:t>
      </w:r>
      <w:r>
        <w:rPr>
          <w:rFonts w:hint="eastAsia"/>
          <w:u w:val="none"/>
          <w:lang w:eastAsia="zh-CN"/>
        </w:rPr>
        <w:t>；</w:t>
      </w:r>
      <w:r>
        <w:rPr>
          <w:rFonts w:hint="eastAsia"/>
          <w:u w:val="none"/>
          <w:lang w:val="en-US" w:eastAsia="zh-CN"/>
        </w:rPr>
        <w:t>当设备房、阳台未采用干式工法时，可不计此部分面积。</w:t>
      </w:r>
    </w:p>
    <w:p>
      <w:pPr>
        <w:pStyle w:val="32"/>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宋体" w:cs="宋体"/>
          <w:i w:val="0"/>
          <w:iCs/>
          <w:color w:val="auto"/>
          <w:kern w:val="2"/>
          <w:sz w:val="24"/>
          <w:szCs w:val="24"/>
          <w:u w:val="none"/>
          <w:shd w:val="clear" w:color="auto" w:fill="FFFFFF"/>
          <w:lang w:val="en-US" w:eastAsia="zh-CN" w:bidi="ar-SA"/>
        </w:rPr>
        <w:t>注：</w:t>
      </w:r>
    </w:p>
    <w:p>
      <w:pPr>
        <w:pStyle w:val="32"/>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、干式工法楼面：楼面混凝土一次性成型，施工精度符合表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指标要求，可以免砂浆找平即可进行饰面层施工；</w:t>
      </w:r>
    </w:p>
    <w:p>
      <w:pPr>
        <w:pStyle w:val="32"/>
        <w:ind w:left="0" w:leftChars="0" w:firstLine="480" w:firstLineChars="200"/>
        <w:rPr>
          <w:rFonts w:hint="default"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eastAsia="宋体" w:cs="宋体"/>
          <w:i w:val="0"/>
          <w:iCs/>
          <w:color w:val="auto"/>
          <w:kern w:val="2"/>
          <w:sz w:val="24"/>
          <w:szCs w:val="24"/>
          <w:u w:val="none"/>
          <w:shd w:val="clear" w:color="auto" w:fill="FFFFFF"/>
          <w:lang w:val="en-US" w:eastAsia="zh-CN" w:bidi="ar-SA"/>
        </w:rPr>
        <w:t>、干式工法地面：混凝土上表面施工精度符合表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指标要求，在楼面混凝表面直接进行地毯、架空地板、木（胶、竹）地板、采用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u w:val="none"/>
        </w:rPr>
        <w:t>~</w:t>
      </w:r>
      <w:r>
        <w:rPr>
          <w:rFonts w:hint="eastAsia" w:ascii="宋体" w:hAnsi="宋体" w:eastAsia="Times New Roman" w:cs="宋体"/>
          <w:i w:val="0"/>
          <w:iCs/>
          <w:color w:val="auto"/>
          <w:kern w:val="2"/>
          <w:sz w:val="24"/>
          <w:szCs w:val="24"/>
          <w:u w:val="none"/>
          <w:shd w:val="clear" w:color="auto" w:fill="FFFFFF"/>
          <w:lang w:val="en-US" w:eastAsia="zh-CN" w:bidi="ar-SA"/>
        </w:rPr>
        <w:t>5</w:t>
      </w:r>
      <w:r>
        <w:rPr>
          <w:rFonts w:hint="eastAsia" w:ascii="宋体" w:hAnsi="宋体" w:eastAsia="宋体" w:cs="宋体"/>
          <w:i w:val="0"/>
          <w:iCs/>
          <w:color w:val="auto"/>
          <w:kern w:val="2"/>
          <w:sz w:val="24"/>
          <w:szCs w:val="24"/>
          <w:u w:val="none"/>
          <w:shd w:val="clear" w:color="auto" w:fill="FFFFFF"/>
          <w:lang w:val="en-US" w:eastAsia="zh-CN" w:bidi="ar-SA"/>
        </w:rPr>
        <w:t>mm厚度干混陶瓷砖粘结砂浆铺贴面砖（石材）、采用</w:t>
      </w:r>
      <w:r>
        <w:rPr>
          <w:rFonts w:hint="eastAsia" w:ascii="宋体" w:hAnsi="宋体" w:eastAsia="Times New Roman" w:cs="宋体"/>
          <w:i w:val="0"/>
          <w:iCs/>
          <w:color w:val="auto"/>
          <w:kern w:val="2"/>
          <w:sz w:val="24"/>
          <w:szCs w:val="24"/>
          <w:u w:val="none"/>
          <w:shd w:val="clear" w:color="auto" w:fill="FFFFFF"/>
          <w:lang w:val="en-US" w:eastAsia="zh-CN" w:bidi="ar-SA"/>
        </w:rPr>
        <w:t>30</w:t>
      </w:r>
      <w:r>
        <w:rPr>
          <w:rFonts w:hint="eastAsia"/>
          <w:u w:val="none"/>
        </w:rPr>
        <w:t>~</w:t>
      </w:r>
      <w:r>
        <w:rPr>
          <w:rFonts w:hint="eastAsia" w:ascii="宋体" w:hAnsi="宋体" w:eastAsia="Times New Roman" w:cs="宋体"/>
          <w:i w:val="0"/>
          <w:iCs/>
          <w:color w:val="auto"/>
          <w:kern w:val="2"/>
          <w:sz w:val="24"/>
          <w:szCs w:val="24"/>
          <w:u w:val="none"/>
          <w:shd w:val="clear" w:color="auto" w:fill="FFFFFF"/>
          <w:lang w:val="en-US" w:eastAsia="zh-CN" w:bidi="ar-SA"/>
        </w:rPr>
        <w:t>40</w:t>
      </w:r>
      <w:r>
        <w:rPr>
          <w:rFonts w:hint="eastAsia" w:ascii="宋体" w:hAnsi="宋体" w:cs="宋体"/>
          <w:i w:val="0"/>
          <w:iCs/>
          <w:color w:val="auto"/>
          <w:kern w:val="2"/>
          <w:sz w:val="24"/>
          <w:szCs w:val="24"/>
          <w:u w:val="none"/>
          <w:shd w:val="clear" w:color="auto" w:fill="FFFFFF"/>
          <w:lang w:val="en-US" w:eastAsia="zh-CN" w:bidi="ar-SA"/>
        </w:rPr>
        <w:t>mm厚</w:t>
      </w:r>
      <w:r>
        <w:rPr>
          <w:rFonts w:hint="eastAsia" w:ascii="宋体" w:hAnsi="宋体" w:eastAsia="宋体" w:cs="宋体"/>
          <w:i w:val="0"/>
          <w:iCs/>
          <w:color w:val="auto"/>
          <w:kern w:val="2"/>
          <w:sz w:val="24"/>
          <w:szCs w:val="24"/>
          <w:u w:val="none"/>
          <w:shd w:val="clear" w:color="auto" w:fill="FFFFFF"/>
          <w:lang w:val="en-US" w:eastAsia="zh-CN" w:bidi="ar-SA"/>
        </w:rPr>
        <w:t>半</w:t>
      </w:r>
      <w:r>
        <w:rPr>
          <w:rFonts w:hint="eastAsia" w:ascii="宋体" w:hAnsi="宋体" w:eastAsia="宋体" w:cs="宋体"/>
          <w:i w:val="0"/>
          <w:iCs/>
          <w:color w:val="auto"/>
          <w:sz w:val="24"/>
          <w:szCs w:val="24"/>
          <w:u w:val="none"/>
          <w:vertAlign w:val="baseline"/>
          <w:lang w:val="en-US" w:eastAsia="zh-CN"/>
        </w:rPr>
        <w:t>干硬性干混砂浆铺贴地砖或石材（地砖或石材底面抹</w:t>
      </w:r>
      <w:r>
        <w:rPr>
          <w:rFonts w:hint="eastAsia" w:ascii="宋体" w:hAnsi="宋体" w:eastAsia="Times New Roman" w:cs="宋体"/>
          <w:i w:val="0"/>
          <w:iCs/>
          <w:color w:val="auto"/>
          <w:sz w:val="24"/>
          <w:szCs w:val="24"/>
          <w:u w:val="none"/>
          <w:vertAlign w:val="baseline"/>
          <w:lang w:val="en-US" w:eastAsia="zh-CN"/>
        </w:rPr>
        <w:t>3</w:t>
      </w:r>
      <w:r>
        <w:rPr>
          <w:rFonts w:hint="eastAsia"/>
          <w:u w:val="none"/>
        </w:rPr>
        <w:t>~</w:t>
      </w:r>
      <w:r>
        <w:rPr>
          <w:rFonts w:hint="eastAsia" w:ascii="宋体" w:hAnsi="宋体" w:eastAsia="Times New Roman" w:cs="宋体"/>
          <w:i w:val="0"/>
          <w:iCs/>
          <w:color w:val="auto"/>
          <w:sz w:val="24"/>
          <w:szCs w:val="24"/>
          <w:u w:val="none"/>
          <w:vertAlign w:val="baseline"/>
          <w:lang w:val="en-US" w:eastAsia="zh-CN"/>
        </w:rPr>
        <w:t>5</w:t>
      </w:r>
      <w:r>
        <w:rPr>
          <w:rFonts w:hint="eastAsia" w:ascii="宋体" w:hAnsi="宋体" w:eastAsia="宋体" w:cs="宋体"/>
          <w:i w:val="0"/>
          <w:iCs/>
          <w:color w:val="auto"/>
          <w:sz w:val="24"/>
          <w:szCs w:val="24"/>
          <w:u w:val="none"/>
          <w:vertAlign w:val="baseline"/>
          <w:lang w:val="en-US" w:eastAsia="zh-CN"/>
        </w:rPr>
        <w:t>mm厚</w:t>
      </w:r>
      <w:r>
        <w:rPr>
          <w:rFonts w:hint="eastAsia" w:ascii="宋体" w:hAnsi="宋体" w:cs="宋体"/>
          <w:i w:val="0"/>
          <w:iCs/>
          <w:color w:val="auto"/>
          <w:sz w:val="24"/>
          <w:szCs w:val="24"/>
          <w:u w:val="none"/>
          <w:vertAlign w:val="baseline"/>
          <w:lang w:val="en-US" w:eastAsia="zh-CN"/>
        </w:rPr>
        <w:t>干混</w:t>
      </w:r>
      <w:r>
        <w:rPr>
          <w:rFonts w:hint="eastAsia" w:ascii="宋体" w:hAnsi="宋体" w:eastAsia="宋体" w:cs="宋体"/>
          <w:i w:val="0"/>
          <w:iCs/>
          <w:color w:val="auto"/>
          <w:sz w:val="24"/>
          <w:szCs w:val="24"/>
          <w:u w:val="none"/>
          <w:vertAlign w:val="baseline"/>
          <w:lang w:val="en-US" w:eastAsia="zh-CN"/>
        </w:rPr>
        <w:t>陶瓷砖粘结砂浆）</w:t>
      </w:r>
      <w:r>
        <w:rPr>
          <w:rFonts w:hint="eastAsia" w:ascii="宋体" w:hAnsi="宋体" w:eastAsia="宋体" w:cs="宋体"/>
          <w:i w:val="0"/>
          <w:iCs/>
          <w:color w:val="auto"/>
          <w:kern w:val="2"/>
          <w:sz w:val="24"/>
          <w:szCs w:val="24"/>
          <w:u w:val="none"/>
          <w:shd w:val="clear" w:color="auto" w:fill="FFFFFF"/>
          <w:lang w:val="en-US" w:eastAsia="zh-CN" w:bidi="ar-SA"/>
        </w:rPr>
        <w:t>等饰面层施工；</w:t>
      </w:r>
    </w:p>
    <w:p>
      <w:pPr>
        <w:pStyle w:val="32"/>
        <w:ind w:left="0" w:leftChars="0" w:firstLine="480" w:firstLineChars="200"/>
        <w:rPr>
          <w:rFonts w:hint="eastAsia" w:ascii="宋体" w:hAnsi="宋体" w:eastAsia="宋体" w:cs="宋体"/>
          <w:b/>
          <w:bCs/>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、统计不包括厨房、卫生间的楼面、地面。</w:t>
      </w:r>
    </w:p>
    <w:p>
      <w:pPr>
        <w:pStyle w:val="40"/>
        <w:ind w:left="0" w:leftChars="0" w:firstLine="0" w:firstLineChars="0"/>
        <w:jc w:val="center"/>
        <w:rPr>
          <w:rFonts w:hint="eastAsia" w:ascii="宋体" w:hAnsi="宋体" w:eastAsia="宋体" w:cs="宋体"/>
          <w:b/>
          <w:bCs/>
          <w:color w:val="auto"/>
          <w:sz w:val="21"/>
          <w:szCs w:val="21"/>
          <w:u w:val="none"/>
          <w:lang w:val="en-US" w:eastAsia="zh-CN"/>
        </w:rPr>
      </w:pPr>
      <w:r>
        <w:rPr>
          <w:rFonts w:hint="eastAsia" w:ascii="宋体" w:hAnsi="宋体" w:eastAsia="宋体" w:cs="宋体"/>
          <w:b/>
          <w:bCs/>
          <w:i w:val="0"/>
          <w:iCs/>
          <w:color w:val="auto"/>
          <w:kern w:val="2"/>
          <w:sz w:val="24"/>
          <w:szCs w:val="24"/>
          <w:u w:val="none"/>
          <w:shd w:val="clear" w:color="auto" w:fill="FFFFFF"/>
          <w:lang w:val="en-US" w:eastAsia="zh-CN" w:bidi="ar-SA"/>
        </w:rPr>
        <w:t>表</w:t>
      </w:r>
      <w:r>
        <w:rPr>
          <w:rFonts w:hint="eastAsia" w:ascii="宋体" w:hAnsi="宋体" w:eastAsia="Times New Roman" w:cs="宋体"/>
          <w:b/>
          <w:bCs/>
          <w:i w:val="0"/>
          <w:iCs/>
          <w:color w:val="auto"/>
          <w:kern w:val="2"/>
          <w:sz w:val="24"/>
          <w:szCs w:val="24"/>
          <w:u w:val="none"/>
          <w:shd w:val="clear" w:color="auto" w:fill="FFFFFF"/>
          <w:lang w:val="en-US" w:eastAsia="zh-CN" w:bidi="ar-SA"/>
        </w:rPr>
        <w:t>3</w:t>
      </w:r>
      <w:r>
        <w:rPr>
          <w:rFonts w:hint="eastAsia" w:ascii="宋体" w:hAnsi="宋体" w:cs="宋体"/>
          <w:b/>
          <w:bCs/>
          <w:i w:val="0"/>
          <w:iCs/>
          <w:color w:val="auto"/>
          <w:kern w:val="2"/>
          <w:sz w:val="24"/>
          <w:szCs w:val="24"/>
          <w:u w:val="none"/>
          <w:shd w:val="clear" w:color="auto" w:fill="FFFFFF"/>
          <w:lang w:val="en-US" w:eastAsia="zh-CN" w:bidi="ar-SA"/>
        </w:rPr>
        <w:t>.</w:t>
      </w:r>
      <w:r>
        <w:rPr>
          <w:rFonts w:hint="eastAsia" w:ascii="宋体" w:hAnsi="宋体" w:eastAsia="Times New Roman" w:cs="宋体"/>
          <w:b/>
          <w:bCs/>
          <w:i w:val="0"/>
          <w:iCs/>
          <w:color w:val="auto"/>
          <w:kern w:val="2"/>
          <w:sz w:val="24"/>
          <w:szCs w:val="24"/>
          <w:u w:val="none"/>
          <w:shd w:val="clear" w:color="auto" w:fill="FFFFFF"/>
          <w:lang w:val="en-US" w:eastAsia="zh-CN" w:bidi="ar-SA"/>
        </w:rPr>
        <w:t>2</w:t>
      </w:r>
      <w:r>
        <w:rPr>
          <w:rFonts w:hint="eastAsia" w:ascii="宋体" w:hAnsi="宋体" w:cs="宋体"/>
          <w:b/>
          <w:bCs/>
          <w:i w:val="0"/>
          <w:iCs/>
          <w:color w:val="auto"/>
          <w:kern w:val="2"/>
          <w:sz w:val="24"/>
          <w:szCs w:val="24"/>
          <w:u w:val="none"/>
          <w:shd w:val="clear" w:color="auto" w:fill="FFFFFF"/>
          <w:lang w:val="en-US" w:eastAsia="zh-CN" w:bidi="ar-SA"/>
        </w:rPr>
        <w:t>.</w:t>
      </w:r>
      <w:r>
        <w:rPr>
          <w:rFonts w:hint="eastAsia" w:ascii="宋体" w:hAnsi="宋体" w:eastAsia="Times New Roman" w:cs="宋体"/>
          <w:b/>
          <w:bCs/>
          <w:i w:val="0"/>
          <w:iCs/>
          <w:color w:val="auto"/>
          <w:kern w:val="2"/>
          <w:sz w:val="24"/>
          <w:szCs w:val="24"/>
          <w:u w:val="none"/>
          <w:shd w:val="clear" w:color="auto" w:fill="FFFFFF"/>
          <w:lang w:val="en-US" w:eastAsia="zh-CN" w:bidi="ar-SA"/>
        </w:rPr>
        <w:t>1</w:t>
      </w:r>
      <w:r>
        <w:rPr>
          <w:rFonts w:hint="eastAsia" w:ascii="宋体" w:hAnsi="宋体" w:eastAsia="宋体" w:cs="宋体"/>
          <w:b/>
          <w:bCs/>
          <w:i w:val="0"/>
          <w:iCs/>
          <w:color w:val="auto"/>
          <w:kern w:val="2"/>
          <w:sz w:val="24"/>
          <w:szCs w:val="24"/>
          <w:u w:val="none"/>
          <w:shd w:val="clear" w:color="auto" w:fill="FFFFFF"/>
          <w:lang w:val="en-US" w:eastAsia="zh-CN" w:bidi="ar-SA"/>
        </w:rPr>
        <w:t xml:space="preserve"> </w:t>
      </w:r>
      <w:r>
        <w:rPr>
          <w:rFonts w:hint="eastAsia" w:ascii="宋体" w:hAnsi="宋体" w:eastAsia="宋体" w:cs="宋体"/>
          <w:b/>
          <w:bCs/>
          <w:i w:val="0"/>
          <w:iCs/>
          <w:color w:val="auto"/>
          <w:kern w:val="2"/>
          <w:sz w:val="21"/>
          <w:szCs w:val="21"/>
          <w:u w:val="none"/>
          <w:shd w:val="clear" w:color="auto" w:fill="FFFFFF"/>
          <w:lang w:val="en-US" w:eastAsia="zh-CN" w:bidi="ar-SA"/>
        </w:rPr>
        <w:t>混凝土表面</w:t>
      </w:r>
      <w:r>
        <w:rPr>
          <w:rFonts w:hint="eastAsia" w:ascii="宋体" w:hAnsi="宋体" w:eastAsia="宋体" w:cs="宋体"/>
          <w:b/>
          <w:bCs/>
          <w:color w:val="auto"/>
          <w:sz w:val="21"/>
          <w:szCs w:val="21"/>
          <w:u w:val="none"/>
          <w:lang w:val="en-US" w:eastAsia="zh-CN"/>
        </w:rPr>
        <w:t>的允许偏差和检验方法</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22"/>
        <w:gridCol w:w="1654"/>
        <w:gridCol w:w="1475"/>
        <w:gridCol w:w="614"/>
        <w:gridCol w:w="1446"/>
        <w:gridCol w:w="801"/>
        <w:gridCol w:w="1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0" w:type="dxa"/>
            <w:vMerge w:val="restart"/>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项次</w:t>
            </w:r>
          </w:p>
        </w:tc>
        <w:tc>
          <w:tcPr>
            <w:tcW w:w="722" w:type="dxa"/>
            <w:vMerge w:val="restart"/>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项目</w:t>
            </w:r>
          </w:p>
        </w:tc>
        <w:tc>
          <w:tcPr>
            <w:tcW w:w="5990" w:type="dxa"/>
            <w:gridSpan w:val="5"/>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允许偏差（mm）</w:t>
            </w:r>
          </w:p>
        </w:tc>
        <w:tc>
          <w:tcPr>
            <w:tcW w:w="1474" w:type="dxa"/>
            <w:vMerge w:val="restart"/>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dxa"/>
            <w:vMerge w:val="continue"/>
            <w:tcBorders>
              <w:tl2br w:val="nil"/>
              <w:tr2bl w:val="nil"/>
            </w:tcBorders>
            <w:noWrap w:val="0"/>
            <w:vAlign w:val="center"/>
          </w:tcPr>
          <w:p>
            <w:pPr>
              <w:pStyle w:val="46"/>
              <w:ind w:firstLine="0" w:firstLineChars="0"/>
              <w:jc w:val="center"/>
              <w:rPr>
                <w:color w:val="auto"/>
              </w:rPr>
            </w:pPr>
          </w:p>
        </w:tc>
        <w:tc>
          <w:tcPr>
            <w:tcW w:w="722" w:type="dxa"/>
            <w:vMerge w:val="continue"/>
            <w:tcBorders>
              <w:tl2br w:val="nil"/>
              <w:tr2bl w:val="nil"/>
            </w:tcBorders>
            <w:noWrap w:val="0"/>
            <w:vAlign w:val="center"/>
          </w:tcPr>
          <w:p>
            <w:pPr>
              <w:pStyle w:val="46"/>
              <w:ind w:firstLine="0" w:firstLineChars="0"/>
              <w:jc w:val="center"/>
              <w:rPr>
                <w:color w:val="auto"/>
              </w:rPr>
            </w:pPr>
          </w:p>
        </w:tc>
        <w:tc>
          <w:tcPr>
            <w:tcW w:w="3743" w:type="dxa"/>
            <w:gridSpan w:val="3"/>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铺贴地板</w:t>
            </w:r>
          </w:p>
        </w:tc>
        <w:tc>
          <w:tcPr>
            <w:tcW w:w="1446" w:type="dxa"/>
            <w:vMerge w:val="restart"/>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b w:val="0"/>
                <w:bCs w:val="0"/>
                <w:color w:val="auto"/>
                <w:sz w:val="18"/>
                <w:szCs w:val="18"/>
                <w:u w:val="none"/>
                <w:vertAlign w:val="baseline"/>
                <w:lang w:val="en-US" w:eastAsia="zh-CN"/>
              </w:rPr>
              <w:t>地毯、</w:t>
            </w:r>
            <w:r>
              <w:rPr>
                <w:rFonts w:hint="eastAsia"/>
                <w:color w:val="auto"/>
                <w:sz w:val="18"/>
                <w:szCs w:val="18"/>
                <w:u w:val="none"/>
                <w:vertAlign w:val="baseline"/>
                <w:lang w:val="en-US" w:eastAsia="zh-CN"/>
              </w:rPr>
              <w:t>架空地板、干硬性干混砂浆铺贴面砖（面砖底面抹</w:t>
            </w:r>
            <w:r>
              <w:rPr>
                <w:rFonts w:hint="eastAsia" w:eastAsia="Times New Roman"/>
                <w:color w:val="auto"/>
                <w:sz w:val="18"/>
                <w:szCs w:val="18"/>
                <w:u w:val="none"/>
                <w:vertAlign w:val="baseline"/>
                <w:lang w:val="en-US" w:eastAsia="zh-CN"/>
              </w:rPr>
              <w:t>3</w:t>
            </w:r>
            <w:r>
              <w:rPr>
                <w:rFonts w:hint="eastAsia"/>
                <w:color w:val="auto"/>
                <w:sz w:val="18"/>
                <w:szCs w:val="18"/>
                <w:u w:val="none"/>
                <w:vertAlign w:val="baseline"/>
                <w:lang w:val="en-US" w:eastAsia="zh-CN"/>
              </w:rPr>
              <w:t>~</w:t>
            </w:r>
            <w:r>
              <w:rPr>
                <w:rFonts w:hint="eastAsia" w:eastAsia="Times New Roman"/>
                <w:color w:val="auto"/>
                <w:sz w:val="18"/>
                <w:szCs w:val="18"/>
                <w:u w:val="none"/>
                <w:vertAlign w:val="baseline"/>
                <w:lang w:val="en-US" w:eastAsia="zh-CN"/>
              </w:rPr>
              <w:t>5</w:t>
            </w:r>
            <w:r>
              <w:rPr>
                <w:rFonts w:hint="eastAsia"/>
                <w:color w:val="auto"/>
                <w:sz w:val="18"/>
                <w:szCs w:val="18"/>
                <w:u w:val="none"/>
                <w:vertAlign w:val="baseline"/>
                <w:lang w:val="en-US" w:eastAsia="zh-CN"/>
              </w:rPr>
              <w:t>mm厚陶瓷砖粘结砂浆）</w:t>
            </w:r>
          </w:p>
        </w:tc>
        <w:tc>
          <w:tcPr>
            <w:tcW w:w="801" w:type="dxa"/>
            <w:vMerge w:val="restart"/>
            <w:tcBorders>
              <w:tl2br w:val="nil"/>
              <w:tr2bl w:val="nil"/>
            </w:tcBorders>
            <w:noWrap w:val="0"/>
            <w:vAlign w:val="center"/>
          </w:tcPr>
          <w:p>
            <w:pPr>
              <w:pStyle w:val="46"/>
              <w:ind w:firstLine="0" w:firstLineChars="0"/>
              <w:jc w:val="center"/>
              <w:rPr>
                <w:rFonts w:hint="eastAsia"/>
                <w:color w:val="auto"/>
                <w:kern w:val="2"/>
                <w:sz w:val="18"/>
                <w:szCs w:val="18"/>
                <w:u w:val="none"/>
                <w:vertAlign w:val="baseline"/>
                <w:lang w:val="en-US" w:eastAsia="zh-CN" w:bidi="ar-SA"/>
              </w:rPr>
            </w:pPr>
            <w:r>
              <w:rPr>
                <w:rFonts w:hint="eastAsia"/>
                <w:color w:val="auto"/>
                <w:sz w:val="18"/>
                <w:szCs w:val="18"/>
                <w:u w:val="none"/>
                <w:vertAlign w:val="baseline"/>
                <w:lang w:val="en-US" w:eastAsia="zh-CN"/>
              </w:rPr>
              <w:t>采用陶瓷砖粘结砂浆薄贴地砖（石材）</w:t>
            </w:r>
          </w:p>
        </w:tc>
        <w:tc>
          <w:tcPr>
            <w:tcW w:w="1474" w:type="dxa"/>
            <w:vMerge w:val="continue"/>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0" w:type="dxa"/>
            <w:vMerge w:val="continue"/>
            <w:tcBorders>
              <w:tl2br w:val="nil"/>
              <w:tr2bl w:val="nil"/>
            </w:tcBorders>
            <w:noWrap w:val="0"/>
            <w:vAlign w:val="center"/>
          </w:tcPr>
          <w:p>
            <w:pPr>
              <w:pStyle w:val="46"/>
              <w:ind w:firstLine="0" w:firstLineChars="0"/>
              <w:jc w:val="center"/>
              <w:rPr>
                <w:color w:val="auto"/>
              </w:rPr>
            </w:pPr>
          </w:p>
        </w:tc>
        <w:tc>
          <w:tcPr>
            <w:tcW w:w="722" w:type="dxa"/>
            <w:vMerge w:val="continue"/>
            <w:tcBorders>
              <w:tl2br w:val="nil"/>
              <w:tr2bl w:val="nil"/>
            </w:tcBorders>
            <w:noWrap w:val="0"/>
            <w:vAlign w:val="center"/>
          </w:tcPr>
          <w:p>
            <w:pPr>
              <w:pStyle w:val="46"/>
              <w:ind w:firstLine="0" w:firstLineChars="0"/>
              <w:jc w:val="center"/>
              <w:rPr>
                <w:color w:val="auto"/>
              </w:rPr>
            </w:pPr>
          </w:p>
        </w:tc>
        <w:tc>
          <w:tcPr>
            <w:tcW w:w="165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拼花实木地板、拼花实木复合地板、软木类地板（不含用胶粘剂做结合层铺设）</w:t>
            </w:r>
          </w:p>
        </w:tc>
        <w:tc>
          <w:tcPr>
            <w:tcW w:w="1475"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用胶粘剂做结合层铺设拼花地板、浸渍纸层压木质地板、竹地板、软木地板</w:t>
            </w:r>
          </w:p>
        </w:tc>
        <w:tc>
          <w:tcPr>
            <w:tcW w:w="61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其它种类地板</w:t>
            </w:r>
          </w:p>
        </w:tc>
        <w:tc>
          <w:tcPr>
            <w:tcW w:w="1446" w:type="dxa"/>
            <w:vMerge w:val="continue"/>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p>
        </w:tc>
        <w:tc>
          <w:tcPr>
            <w:tcW w:w="801" w:type="dxa"/>
            <w:vMerge w:val="continue"/>
            <w:tcBorders>
              <w:tl2br w:val="nil"/>
              <w:tr2bl w:val="nil"/>
            </w:tcBorders>
            <w:noWrap w:val="0"/>
            <w:vAlign w:val="center"/>
          </w:tcPr>
          <w:p>
            <w:pPr>
              <w:pStyle w:val="46"/>
              <w:ind w:firstLine="0" w:firstLineChars="0"/>
              <w:jc w:val="center"/>
              <w:rPr>
                <w:rFonts w:hint="eastAsia"/>
                <w:color w:val="auto"/>
                <w:kern w:val="2"/>
                <w:sz w:val="18"/>
                <w:szCs w:val="18"/>
                <w:u w:val="none"/>
                <w:vertAlign w:val="baseline"/>
                <w:lang w:val="en-US" w:eastAsia="zh-CN" w:bidi="ar-SA"/>
              </w:rPr>
            </w:pPr>
          </w:p>
        </w:tc>
        <w:tc>
          <w:tcPr>
            <w:tcW w:w="1474" w:type="dxa"/>
            <w:vMerge w:val="continue"/>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0" w:type="dxa"/>
            <w:tcBorders>
              <w:tl2br w:val="nil"/>
              <w:tr2bl w:val="nil"/>
            </w:tcBorders>
            <w:noWrap w:val="0"/>
            <w:vAlign w:val="center"/>
          </w:tcPr>
          <w:p>
            <w:pPr>
              <w:pStyle w:val="46"/>
              <w:ind w:firstLine="0" w:firstLineChars="0"/>
              <w:jc w:val="center"/>
              <w:rPr>
                <w:color w:val="auto"/>
              </w:rPr>
            </w:pPr>
            <w:r>
              <w:rPr>
                <w:rFonts w:hint="eastAsia" w:eastAsia="Times New Roman"/>
                <w:color w:val="auto"/>
                <w:sz w:val="18"/>
                <w:szCs w:val="18"/>
                <w:u w:val="none"/>
                <w:vertAlign w:val="baseline"/>
                <w:lang w:val="en-US" w:eastAsia="zh-CN"/>
              </w:rPr>
              <w:t>1</w:t>
            </w:r>
          </w:p>
        </w:tc>
        <w:tc>
          <w:tcPr>
            <w:tcW w:w="722" w:type="dxa"/>
            <w:tcBorders>
              <w:tl2br w:val="nil"/>
              <w:tr2bl w:val="nil"/>
            </w:tcBorders>
            <w:noWrap w:val="0"/>
            <w:vAlign w:val="center"/>
          </w:tcPr>
          <w:p>
            <w:pPr>
              <w:pStyle w:val="46"/>
              <w:ind w:firstLine="0" w:firstLineChars="0"/>
              <w:jc w:val="center"/>
              <w:rPr>
                <w:color w:val="auto"/>
              </w:rPr>
            </w:pPr>
            <w:r>
              <w:rPr>
                <w:rFonts w:hint="eastAsia"/>
                <w:color w:val="auto"/>
                <w:sz w:val="18"/>
                <w:szCs w:val="18"/>
                <w:u w:val="none"/>
                <w:vertAlign w:val="baseline"/>
                <w:lang w:val="en-US" w:eastAsia="zh-CN"/>
              </w:rPr>
              <w:t>表面平整度</w:t>
            </w:r>
          </w:p>
        </w:tc>
        <w:tc>
          <w:tcPr>
            <w:tcW w:w="165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3</w:t>
            </w:r>
          </w:p>
        </w:tc>
        <w:tc>
          <w:tcPr>
            <w:tcW w:w="1475"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2</w:t>
            </w:r>
          </w:p>
        </w:tc>
        <w:tc>
          <w:tcPr>
            <w:tcW w:w="61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5</w:t>
            </w:r>
          </w:p>
        </w:tc>
        <w:tc>
          <w:tcPr>
            <w:tcW w:w="1446"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5</w:t>
            </w:r>
          </w:p>
        </w:tc>
        <w:tc>
          <w:tcPr>
            <w:tcW w:w="801" w:type="dxa"/>
            <w:tcBorders>
              <w:tl2br w:val="nil"/>
              <w:tr2bl w:val="nil"/>
            </w:tcBorders>
            <w:noWrap w:val="0"/>
            <w:vAlign w:val="center"/>
          </w:tcPr>
          <w:p>
            <w:pPr>
              <w:pStyle w:val="46"/>
              <w:ind w:left="0" w:leftChars="0" w:firstLine="0" w:firstLineChars="0"/>
              <w:jc w:val="center"/>
              <w:rPr>
                <w:rFonts w:hint="eastAsia"/>
                <w:color w:val="auto"/>
                <w:kern w:val="2"/>
                <w:sz w:val="18"/>
                <w:szCs w:val="18"/>
                <w:u w:val="none"/>
                <w:vertAlign w:val="baseline"/>
                <w:lang w:val="en-US" w:eastAsia="zh-CN" w:bidi="ar-SA"/>
              </w:rPr>
            </w:pPr>
            <w:r>
              <w:rPr>
                <w:rFonts w:hint="eastAsia" w:eastAsia="Times New Roman"/>
                <w:color w:val="auto"/>
                <w:sz w:val="18"/>
                <w:szCs w:val="18"/>
                <w:u w:val="none"/>
                <w:vertAlign w:val="baseline"/>
                <w:lang w:val="en-US" w:eastAsia="zh-CN"/>
              </w:rPr>
              <w:t>3</w:t>
            </w:r>
          </w:p>
        </w:tc>
        <w:tc>
          <w:tcPr>
            <w:tcW w:w="1474" w:type="dxa"/>
            <w:tcBorders>
              <w:tl2br w:val="nil"/>
              <w:tr2bl w:val="nil"/>
            </w:tcBorders>
            <w:noWrap w:val="0"/>
            <w:vAlign w:val="center"/>
          </w:tcPr>
          <w:p>
            <w:pPr>
              <w:pStyle w:val="46"/>
              <w:ind w:firstLine="0" w:firstLineChars="0"/>
              <w:jc w:val="both"/>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用</w:t>
            </w:r>
            <w:r>
              <w:rPr>
                <w:rFonts w:hint="eastAsia" w:eastAsia="Times New Roman"/>
                <w:color w:val="auto"/>
                <w:sz w:val="18"/>
                <w:szCs w:val="18"/>
                <w:u w:val="none"/>
                <w:vertAlign w:val="baseline"/>
                <w:lang w:val="en-US" w:eastAsia="zh-CN"/>
              </w:rPr>
              <w:t>2</w:t>
            </w:r>
            <w:r>
              <w:rPr>
                <w:rFonts w:hint="eastAsia"/>
                <w:color w:val="auto"/>
                <w:sz w:val="18"/>
                <w:szCs w:val="18"/>
                <w:u w:val="none"/>
                <w:vertAlign w:val="baseline"/>
                <w:lang w:val="en-US" w:eastAsia="zh-CN"/>
              </w:rPr>
              <w:t>m靠尺和楔形塞尺检查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0" w:type="dxa"/>
            <w:tcBorders>
              <w:tl2br w:val="nil"/>
              <w:tr2bl w:val="nil"/>
            </w:tcBorders>
            <w:noWrap w:val="0"/>
            <w:vAlign w:val="center"/>
          </w:tcPr>
          <w:p>
            <w:pPr>
              <w:pStyle w:val="46"/>
              <w:jc w:val="center"/>
              <w:rPr>
                <w:rFonts w:hint="default"/>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22</w:t>
            </w:r>
          </w:p>
        </w:tc>
        <w:tc>
          <w:tcPr>
            <w:tcW w:w="722"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标高</w:t>
            </w:r>
          </w:p>
        </w:tc>
        <w:tc>
          <w:tcPr>
            <w:tcW w:w="1654"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5</w:t>
            </w:r>
          </w:p>
        </w:tc>
        <w:tc>
          <w:tcPr>
            <w:tcW w:w="1475"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4</w:t>
            </w:r>
          </w:p>
        </w:tc>
        <w:tc>
          <w:tcPr>
            <w:tcW w:w="614"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8</w:t>
            </w:r>
          </w:p>
        </w:tc>
        <w:tc>
          <w:tcPr>
            <w:tcW w:w="1446"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8</w:t>
            </w:r>
          </w:p>
        </w:tc>
        <w:tc>
          <w:tcPr>
            <w:tcW w:w="801" w:type="dxa"/>
            <w:tcBorders>
              <w:tl2br w:val="nil"/>
              <w:tr2bl w:val="nil"/>
            </w:tcBorders>
            <w:noWrap w:val="0"/>
            <w:vAlign w:val="center"/>
          </w:tcPr>
          <w:p>
            <w:pPr>
              <w:pStyle w:val="46"/>
              <w:ind w:firstLine="0" w:firstLineChars="0"/>
              <w:jc w:val="center"/>
              <w:rPr>
                <w:rFonts w:hint="default" w:ascii="宋体" w:hAnsi="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5</w:t>
            </w:r>
          </w:p>
        </w:tc>
        <w:tc>
          <w:tcPr>
            <w:tcW w:w="1474" w:type="dxa"/>
            <w:tcBorders>
              <w:tl2br w:val="nil"/>
              <w:tr2bl w:val="nil"/>
            </w:tcBorders>
            <w:noWrap w:val="0"/>
            <w:vAlign w:val="center"/>
          </w:tcPr>
          <w:p>
            <w:pPr>
              <w:pStyle w:val="46"/>
              <w:ind w:firstLine="0" w:firstLineChars="0"/>
              <w:jc w:val="both"/>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用水准仪检查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tcBorders>
              <w:tl2br w:val="nil"/>
              <w:tr2bl w:val="nil"/>
            </w:tcBorders>
            <w:noWrap w:val="0"/>
            <w:vAlign w:val="center"/>
          </w:tcPr>
          <w:p>
            <w:pPr>
              <w:pStyle w:val="46"/>
              <w:jc w:val="center"/>
              <w:rPr>
                <w:rFonts w:hint="default"/>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33</w:t>
            </w:r>
          </w:p>
        </w:tc>
        <w:tc>
          <w:tcPr>
            <w:tcW w:w="722"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坡度</w:t>
            </w:r>
          </w:p>
        </w:tc>
        <w:tc>
          <w:tcPr>
            <w:tcW w:w="5990" w:type="dxa"/>
            <w:gridSpan w:val="5"/>
            <w:tcBorders>
              <w:tl2br w:val="nil"/>
              <w:tr2bl w:val="nil"/>
            </w:tcBorders>
            <w:noWrap w:val="0"/>
            <w:vAlign w:val="center"/>
          </w:tcPr>
          <w:p>
            <w:pPr>
              <w:pStyle w:val="46"/>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不大于房间相应尺寸的</w:t>
            </w:r>
            <w:r>
              <w:rPr>
                <w:rFonts w:hint="eastAsia" w:eastAsia="Times New Roman"/>
                <w:color w:val="auto"/>
                <w:sz w:val="18"/>
                <w:szCs w:val="18"/>
                <w:u w:val="none"/>
                <w:vertAlign w:val="baseline"/>
                <w:lang w:val="en-US" w:eastAsia="zh-CN"/>
              </w:rPr>
              <w:t>2</w:t>
            </w:r>
            <w:r>
              <w:rPr>
                <w:rFonts w:hint="eastAsia"/>
                <w:color w:val="auto"/>
                <w:sz w:val="18"/>
                <w:szCs w:val="18"/>
                <w:u w:val="none"/>
                <w:vertAlign w:val="baseline"/>
                <w:lang w:val="en-US" w:eastAsia="zh-CN"/>
              </w:rPr>
              <w:t>/</w:t>
            </w:r>
            <w:r>
              <w:rPr>
                <w:rFonts w:hint="eastAsia" w:eastAsia="Times New Roman"/>
                <w:color w:val="auto"/>
                <w:sz w:val="18"/>
                <w:szCs w:val="18"/>
                <w:u w:val="none"/>
                <w:vertAlign w:val="baseline"/>
                <w:lang w:val="en-US" w:eastAsia="zh-CN"/>
              </w:rPr>
              <w:t>1000</w:t>
            </w:r>
            <w:r>
              <w:rPr>
                <w:rFonts w:hint="eastAsia"/>
                <w:color w:val="auto"/>
                <w:sz w:val="18"/>
                <w:szCs w:val="18"/>
                <w:u w:val="none"/>
                <w:vertAlign w:val="baseline"/>
                <w:lang w:val="en-US" w:eastAsia="zh-CN"/>
              </w:rPr>
              <w:t>，且不大于</w:t>
            </w:r>
            <w:r>
              <w:rPr>
                <w:rFonts w:hint="eastAsia" w:eastAsia="Times New Roman"/>
                <w:color w:val="auto"/>
                <w:sz w:val="18"/>
                <w:szCs w:val="18"/>
                <w:u w:val="none"/>
                <w:vertAlign w:val="baseline"/>
                <w:lang w:val="en-US" w:eastAsia="zh-CN"/>
              </w:rPr>
              <w:t>30</w:t>
            </w:r>
          </w:p>
        </w:tc>
        <w:tc>
          <w:tcPr>
            <w:tcW w:w="1474" w:type="dxa"/>
            <w:tcBorders>
              <w:tl2br w:val="nil"/>
              <w:tr2bl w:val="nil"/>
            </w:tcBorders>
            <w:noWrap w:val="0"/>
            <w:vAlign w:val="center"/>
          </w:tcPr>
          <w:p>
            <w:pPr>
              <w:pStyle w:val="46"/>
              <w:ind w:firstLine="0" w:firstLineChars="0"/>
              <w:jc w:val="both"/>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用钢尺检查</w:t>
            </w:r>
          </w:p>
        </w:tc>
      </w:tr>
    </w:tbl>
    <w:p>
      <w:pPr>
        <w:pStyle w:val="32"/>
        <w:ind w:left="0" w:leftChars="0" w:firstLine="0" w:firstLineChars="0"/>
        <w:rPr>
          <w:rFonts w:hint="eastAsia" w:eastAsia="宋体"/>
          <w:color w:val="auto"/>
          <w:u w:val="none"/>
          <w:lang w:eastAsia="zh-CN"/>
        </w:rPr>
      </w:pPr>
      <w:r>
        <w:rPr>
          <w:rFonts w:hint="default" w:ascii="Times New Roman" w:hAnsi="Times New Roman" w:eastAsia="Times New Roman" w:cs="Times New Roman"/>
          <w:b/>
          <w:bCs w:val="0"/>
          <w:i w:val="0"/>
          <w:iCs/>
          <w:color w:val="auto"/>
          <w:sz w:val="28"/>
          <w:szCs w:val="28"/>
          <w:u w:val="none"/>
          <w:lang w:val="en-US" w:eastAsia="zh-CN"/>
        </w:rPr>
        <w:t>3</w:t>
      </w:r>
      <w:r>
        <w:rPr>
          <w:rFonts w:hint="default" w:ascii="Times New Roman" w:hAnsi="Times New Roman" w:eastAsia="宋体" w:cs="Times New Roman"/>
          <w:b/>
          <w:bCs w:val="0"/>
          <w:i w:val="0"/>
          <w:iCs/>
          <w:color w:val="auto"/>
          <w:sz w:val="28"/>
          <w:szCs w:val="28"/>
          <w:u w:val="none"/>
          <w:lang w:val="en-US" w:eastAsia="zh-CN"/>
        </w:rPr>
        <w:t>.</w:t>
      </w:r>
      <w:r>
        <w:rPr>
          <w:rFonts w:hint="eastAsia" w:ascii="Times New Roman" w:hAnsi="Times New Roman" w:eastAsia="Times New Roman" w:cs="Times New Roman"/>
          <w:b/>
          <w:bCs w:val="0"/>
          <w:i w:val="0"/>
          <w:iCs/>
          <w:color w:val="auto"/>
          <w:sz w:val="28"/>
          <w:szCs w:val="28"/>
          <w:u w:val="none"/>
          <w:lang w:val="en-US" w:eastAsia="zh-CN"/>
        </w:rPr>
        <w:t xml:space="preserve">3  </w:t>
      </w:r>
      <w:r>
        <w:rPr>
          <w:rFonts w:hint="eastAsia" w:ascii="宋体" w:hAnsi="宋体" w:eastAsia="宋体" w:cs="宋体"/>
          <w:b/>
          <w:bCs w:val="0"/>
          <w:i w:val="0"/>
          <w:iCs/>
          <w:color w:val="auto"/>
          <w:sz w:val="28"/>
          <w:szCs w:val="28"/>
          <w:u w:val="none"/>
          <w:lang w:val="en-US" w:eastAsia="zh-CN"/>
        </w:rPr>
        <w:t>Q</w:t>
      </w:r>
      <w:r>
        <w:rPr>
          <w:rFonts w:hint="eastAsia" w:ascii="宋体" w:hAnsi="宋体" w:eastAsia="Times New Roman" w:cs="宋体"/>
          <w:b/>
          <w:bCs w:val="0"/>
          <w:i w:val="0"/>
          <w:iCs/>
          <w:color w:val="auto"/>
          <w:sz w:val="28"/>
          <w:szCs w:val="28"/>
          <w:u w:val="none"/>
          <w:vertAlign w:val="subscript"/>
          <w:lang w:val="en-US" w:eastAsia="zh-CN"/>
        </w:rPr>
        <w:t>3</w:t>
      </w:r>
      <w:r>
        <w:rPr>
          <w:rFonts w:hint="eastAsia" w:ascii="宋体" w:hAnsi="宋体" w:eastAsia="宋体" w:cs="宋体"/>
          <w:b/>
          <w:bCs w:val="0"/>
          <w:i w:val="0"/>
          <w:iCs/>
          <w:color w:val="auto"/>
          <w:sz w:val="28"/>
          <w:szCs w:val="28"/>
          <w:u w:val="none"/>
          <w:vertAlign w:val="subscript"/>
          <w:lang w:val="en-US" w:eastAsia="zh-CN"/>
        </w:rPr>
        <w:t>C</w:t>
      </w:r>
      <w:r>
        <w:rPr>
          <w:rFonts w:hint="eastAsia" w:ascii="宋体" w:hAnsi="宋体" w:eastAsia="宋体" w:cs="宋体"/>
          <w:b/>
          <w:bCs w:val="0"/>
          <w:i w:val="0"/>
          <w:iCs/>
          <w:color w:val="auto"/>
          <w:sz w:val="28"/>
          <w:szCs w:val="28"/>
          <w:u w:val="none"/>
          <w:vertAlign w:val="baseline"/>
          <w:lang w:val="en-US" w:eastAsia="zh-CN"/>
        </w:rPr>
        <w:t>：</w:t>
      </w:r>
      <w:r>
        <w:rPr>
          <w:rFonts w:hint="eastAsia" w:ascii="宋体" w:hAnsi="宋体" w:eastAsia="宋体" w:cs="宋体"/>
          <w:b/>
          <w:bCs w:val="0"/>
          <w:i w:val="0"/>
          <w:iCs/>
          <w:color w:val="auto"/>
          <w:sz w:val="28"/>
          <w:szCs w:val="28"/>
          <w:u w:val="none"/>
        </w:rPr>
        <w:t>集成厨房</w:t>
      </w:r>
      <w:r>
        <w:rPr>
          <w:rFonts w:hint="eastAsia" w:ascii="宋体" w:hAnsi="宋体" w:eastAsia="宋体" w:cs="宋体"/>
          <w:b w:val="0"/>
          <w:bCs w:val="0"/>
          <w:i w:val="0"/>
          <w:iCs/>
          <w:color w:val="auto"/>
          <w:sz w:val="21"/>
          <w:szCs w:val="21"/>
          <w:u w:val="none"/>
          <w:lang w:eastAsia="zh-CN"/>
        </w:rPr>
        <w:t>（</w:t>
      </w:r>
      <w:r>
        <w:rPr>
          <w:rFonts w:hint="eastAsia" w:ascii="宋体" w:hAnsi="宋体" w:eastAsia="Times New Roman" w:cs="宋体"/>
          <w:b w:val="0"/>
          <w:bCs w:val="0"/>
          <w:i w:val="0"/>
          <w:iCs/>
          <w:color w:val="auto"/>
          <w:sz w:val="21"/>
          <w:szCs w:val="21"/>
          <w:u w:val="none"/>
          <w:lang w:val="en-US" w:eastAsia="zh-CN"/>
        </w:rPr>
        <w:t>6</w:t>
      </w:r>
      <w:r>
        <w:rPr>
          <w:rFonts w:hint="eastAsia" w:ascii="宋体" w:hAnsi="宋体" w:eastAsia="宋体" w:cs="宋体"/>
          <w:b w:val="0"/>
          <w:bCs w:val="0"/>
          <w:i w:val="0"/>
          <w:iCs/>
          <w:color w:val="auto"/>
          <w:sz w:val="21"/>
          <w:szCs w:val="21"/>
          <w:u w:val="none"/>
          <w:lang w:val="en-US" w:eastAsia="zh-CN"/>
        </w:rPr>
        <w:t>分</w:t>
      </w:r>
      <w:r>
        <w:rPr>
          <w:rFonts w:hint="eastAsia" w:ascii="宋体" w:hAnsi="宋体" w:cs="宋体"/>
          <w:b w:val="0"/>
          <w:bCs w:val="0"/>
          <w:i w:val="0"/>
          <w:iCs/>
          <w:color w:val="auto"/>
          <w:sz w:val="21"/>
          <w:szCs w:val="21"/>
          <w:u w:val="none"/>
          <w:lang w:val="en-US" w:eastAsia="zh-CN"/>
        </w:rPr>
        <w:t>，</w:t>
      </w:r>
      <w:r>
        <w:rPr>
          <w:rFonts w:hint="eastAsia" w:ascii="宋体" w:hAnsi="宋体" w:cs="宋体"/>
          <w:i w:val="0"/>
          <w:iCs/>
          <w:color w:val="auto"/>
          <w:sz w:val="21"/>
          <w:szCs w:val="21"/>
          <w:u w:val="none"/>
          <w:lang w:val="en-US" w:eastAsia="zh-CN"/>
        </w:rPr>
        <w:t>评价要求：</w:t>
      </w:r>
      <w:r>
        <w:rPr>
          <w:rFonts w:hint="eastAsia" w:ascii="宋体" w:hAnsi="宋体" w:eastAsia="Times New Roman" w:cs="宋体"/>
          <w:b w:val="0"/>
          <w:bCs/>
          <w:i w:val="0"/>
          <w:iCs/>
          <w:color w:val="auto"/>
          <w:sz w:val="21"/>
          <w:szCs w:val="21"/>
          <w:u w:val="none"/>
          <w:lang w:val="en-US" w:eastAsia="zh-CN"/>
        </w:rPr>
        <w:t>70</w:t>
      </w:r>
      <w:r>
        <w:rPr>
          <w:rFonts w:hint="eastAsia" w:ascii="宋体" w:hAnsi="宋体" w:eastAsia="宋体" w:cs="宋体"/>
          <w:b w:val="0"/>
          <w:bCs/>
          <w:i w:val="0"/>
          <w:iCs/>
          <w:color w:val="auto"/>
          <w:sz w:val="21"/>
          <w:szCs w:val="21"/>
          <w:u w:val="none"/>
          <w:lang w:val="en-US" w:eastAsia="zh-CN"/>
        </w:rPr>
        <w:t>%≤比例≤</w:t>
      </w:r>
      <w:r>
        <w:rPr>
          <w:rFonts w:hint="eastAsia" w:ascii="宋体" w:hAnsi="宋体" w:eastAsia="Times New Roman" w:cs="宋体"/>
          <w:b w:val="0"/>
          <w:bCs/>
          <w:i w:val="0"/>
          <w:iCs/>
          <w:color w:val="auto"/>
          <w:sz w:val="21"/>
          <w:szCs w:val="21"/>
          <w:u w:val="none"/>
          <w:lang w:val="en-US" w:eastAsia="zh-CN"/>
        </w:rPr>
        <w:t>90</w:t>
      </w:r>
      <w:r>
        <w:rPr>
          <w:rFonts w:hint="eastAsia" w:ascii="宋体" w:hAnsi="宋体" w:eastAsia="宋体" w:cs="宋体"/>
          <w:b w:val="0"/>
          <w:bCs/>
          <w:i w:val="0"/>
          <w:iCs/>
          <w:color w:val="auto"/>
          <w:sz w:val="21"/>
          <w:szCs w:val="21"/>
          <w:u w:val="none"/>
          <w:lang w:val="en-US" w:eastAsia="zh-CN"/>
        </w:rPr>
        <w:t>%</w:t>
      </w:r>
      <w:r>
        <w:rPr>
          <w:rFonts w:hint="eastAsia" w:ascii="宋体" w:hAnsi="宋体" w:eastAsia="宋体" w:cs="宋体"/>
          <w:b w:val="0"/>
          <w:bCs/>
          <w:i w:val="0"/>
          <w:iCs/>
          <w:color w:val="auto"/>
          <w:sz w:val="21"/>
          <w:szCs w:val="21"/>
          <w:u w:val="none"/>
          <w:lang w:eastAsia="zh-CN"/>
        </w:rPr>
        <w:t>）</w:t>
      </w:r>
    </w:p>
    <w:p>
      <w:pPr>
        <w:pStyle w:val="34"/>
        <w:rPr>
          <w:color w:val="auto"/>
          <w:u w:val="none"/>
        </w:rPr>
      </w:pPr>
      <w:r>
        <w:rPr>
          <w:rFonts w:hint="default" w:ascii="Times New Roman" w:hAnsi="Times New Roman" w:eastAsia="Times New Roman" w:cs="Times New Roman"/>
          <w:color w:val="auto"/>
          <w:u w:val="none"/>
          <w:lang w:val="en-US" w:eastAsia="zh-CN"/>
        </w:rPr>
        <w:t>3</w:t>
      </w:r>
      <w:r>
        <w:rPr>
          <w:rFonts w:hint="default" w:ascii="Times New Roman" w:hAnsi="Times New Roman" w:cs="Times New Roman"/>
          <w:color w:val="auto"/>
          <w:u w:val="none"/>
          <w:lang w:val="en-US" w:eastAsia="zh-CN"/>
        </w:rPr>
        <w:t>.</w:t>
      </w:r>
      <w:r>
        <w:rPr>
          <w:rFonts w:hint="default" w:ascii="Times New Roman" w:hAnsi="Times New Roman" w:eastAsia="Times New Roman" w:cs="Times New Roman"/>
          <w:color w:val="auto"/>
          <w:u w:val="none"/>
          <w:lang w:val="en-US" w:eastAsia="zh-CN"/>
        </w:rPr>
        <w:t>3</w:t>
      </w:r>
      <w:r>
        <w:rPr>
          <w:rFonts w:hint="default" w:ascii="Times New Roman" w:hAnsi="Times New Roman" w:cs="Times New Roman"/>
          <w:color w:val="auto"/>
          <w:u w:val="none"/>
          <w:lang w:val="en-US" w:eastAsia="zh-CN"/>
        </w:rPr>
        <w:t>.</w:t>
      </w:r>
      <w:r>
        <w:rPr>
          <w:rFonts w:hint="default" w:ascii="Times New Roman" w:hAnsi="Times New Roman" w:eastAsia="Times New Roman" w:cs="Times New Roman"/>
          <w:color w:val="auto"/>
          <w:u w:val="none"/>
          <w:lang w:val="en-US" w:eastAsia="zh-CN"/>
        </w:rPr>
        <w:t>1</w:t>
      </w:r>
      <w:r>
        <w:rPr>
          <w:rFonts w:hint="eastAsia" w:ascii="Times New Roman" w:hAnsi="Times New Roman" w:eastAsia="Times New Roman" w:cs="Times New Roman"/>
          <w:color w:val="auto"/>
          <w:u w:val="none"/>
          <w:lang w:val="en-US" w:eastAsia="zh-CN"/>
        </w:rPr>
        <w:t xml:space="preserve">  </w:t>
      </w:r>
      <w:r>
        <w:rPr>
          <w:rFonts w:hint="eastAsia"/>
          <w:color w:val="auto"/>
          <w:u w:val="none"/>
        </w:rPr>
        <w:t>集成厨房的橱柜和厨房设备等应全部安装到位，墙面、顶面和地面中干式工法</w:t>
      </w:r>
      <w:r>
        <w:rPr>
          <w:rFonts w:hint="eastAsia"/>
          <w:color w:val="auto"/>
          <w:u w:val="none"/>
          <w:lang w:val="en-US" w:eastAsia="zh-CN"/>
        </w:rPr>
        <w:t>施工</w:t>
      </w:r>
      <w:r>
        <w:rPr>
          <w:rFonts w:hint="eastAsia"/>
          <w:color w:val="auto"/>
          <w:u w:val="none"/>
        </w:rPr>
        <w:t>的应用比例应按下式计算：</w:t>
      </w:r>
    </w:p>
    <w:p>
      <w:pPr>
        <w:pStyle w:val="31"/>
        <w:rPr>
          <w:color w:val="auto"/>
          <w:u w:val="none"/>
        </w:rPr>
      </w:pPr>
      <w:r>
        <w:rPr>
          <w:color w:val="auto"/>
          <w:u w:val="none"/>
        </w:rPr>
        <w:tab/>
      </w:r>
      <w:r>
        <w:rPr>
          <w:color w:val="auto"/>
          <w:position w:val="-34"/>
          <w:u w:val="none"/>
        </w:rPr>
        <w:object>
          <v:shape id="_x0000_i1032" o:spt="75" type="#_x0000_t75" style="height:40.05pt;width:98.9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color w:val="auto"/>
          <w:u w:val="none"/>
        </w:rPr>
        <w:tab/>
      </w:r>
      <w:r>
        <w:rPr>
          <w:rFonts w:hint="eastAsia"/>
          <w:color w:val="auto"/>
          <w:u w:val="none"/>
        </w:rPr>
        <w:t>（</w:t>
      </w:r>
      <w:r>
        <w:rPr>
          <w:rFonts w:hint="eastAsia" w:eastAsia="Times New Roman"/>
          <w:color w:val="auto"/>
          <w:u w:val="none"/>
          <w:lang w:val="en-US" w:eastAsia="zh-CN"/>
        </w:rPr>
        <w:t>3</w:t>
      </w:r>
      <w:r>
        <w:rPr>
          <w:color w:val="auto"/>
          <w:u w:val="none"/>
        </w:rPr>
        <w:t>.</w:t>
      </w:r>
      <w:r>
        <w:rPr>
          <w:rFonts w:hint="eastAsia" w:eastAsia="Times New Roman"/>
          <w:color w:val="auto"/>
          <w:u w:val="none"/>
          <w:lang w:val="en-US" w:eastAsia="zh-CN"/>
        </w:rPr>
        <w:t>3</w:t>
      </w:r>
      <w:r>
        <w:rPr>
          <w:color w:val="auto"/>
          <w:u w:val="none"/>
        </w:rPr>
        <w:t>.</w:t>
      </w:r>
      <w:r>
        <w:rPr>
          <w:rFonts w:hint="eastAsia" w:eastAsia="Times New Roman"/>
          <w:color w:val="auto"/>
          <w:u w:val="none"/>
          <w:lang w:val="en-US" w:eastAsia="zh-CN"/>
        </w:rPr>
        <w:t>1</w:t>
      </w:r>
      <w:r>
        <w:rPr>
          <w:rFonts w:hint="eastAsia"/>
          <w:color w:val="auto"/>
          <w:u w:val="none"/>
        </w:rPr>
        <w:t>）</w:t>
      </w:r>
    </w:p>
    <w:p>
      <w:pPr>
        <w:pStyle w:val="34"/>
        <w:rPr>
          <w:color w:val="auto"/>
          <w:u w:val="none"/>
        </w:rPr>
      </w:pPr>
      <w:r>
        <w:rPr>
          <w:rFonts w:hint="eastAsia"/>
          <w:color w:val="auto"/>
          <w:u w:val="none"/>
        </w:rPr>
        <w:t>式中：q</w:t>
      </w:r>
      <w:r>
        <w:rPr>
          <w:rFonts w:hint="eastAsia" w:eastAsia="Times New Roman"/>
          <w:color w:val="auto"/>
          <w:u w:val="none"/>
          <w:vertAlign w:val="subscript"/>
        </w:rPr>
        <w:t>3</w:t>
      </w:r>
      <w:r>
        <w:rPr>
          <w:color w:val="auto"/>
          <w:u w:val="none"/>
          <w:vertAlign w:val="subscript"/>
        </w:rPr>
        <w:t>c</w:t>
      </w:r>
      <w:r>
        <w:rPr>
          <w:rFonts w:hint="eastAsia"/>
          <w:color w:val="auto"/>
          <w:u w:val="none"/>
        </w:rPr>
        <w:t>——集成厨房中干式工法</w:t>
      </w:r>
      <w:r>
        <w:rPr>
          <w:rFonts w:hint="eastAsia"/>
          <w:color w:val="auto"/>
          <w:u w:val="none"/>
          <w:lang w:val="en-US" w:eastAsia="zh-CN"/>
        </w:rPr>
        <w:t>施工</w:t>
      </w:r>
      <w:r>
        <w:rPr>
          <w:rFonts w:hint="eastAsia"/>
          <w:color w:val="auto"/>
          <w:u w:val="none"/>
        </w:rPr>
        <w:t>的应用比例；</w:t>
      </w:r>
    </w:p>
    <w:p>
      <w:pPr>
        <w:pStyle w:val="40"/>
        <w:rPr>
          <w:color w:val="auto"/>
          <w:u w:val="none"/>
        </w:rPr>
      </w:pPr>
      <w:r>
        <w:rPr>
          <w:rFonts w:hint="eastAsia"/>
          <w:color w:val="auto"/>
          <w:u w:val="none"/>
        </w:rPr>
        <w:t>A</w:t>
      </w:r>
      <w:r>
        <w:rPr>
          <w:rFonts w:hint="eastAsia" w:eastAsia="Times New Roman"/>
          <w:color w:val="auto"/>
          <w:u w:val="none"/>
          <w:vertAlign w:val="subscript"/>
        </w:rPr>
        <w:t>3</w:t>
      </w:r>
      <w:r>
        <w:rPr>
          <w:color w:val="auto"/>
          <w:u w:val="none"/>
          <w:vertAlign w:val="subscript"/>
        </w:rPr>
        <w:t>c</w:t>
      </w:r>
      <w:r>
        <w:rPr>
          <w:rFonts w:hint="eastAsia"/>
          <w:color w:val="auto"/>
          <w:u w:val="none"/>
        </w:rPr>
        <w:t>——各楼层厨房墙面、顶面和地面采用干式工法</w:t>
      </w:r>
      <w:r>
        <w:rPr>
          <w:rFonts w:hint="eastAsia"/>
          <w:color w:val="auto"/>
          <w:u w:val="none"/>
          <w:lang w:val="en-US" w:eastAsia="zh-CN"/>
        </w:rPr>
        <w:t>施工</w:t>
      </w:r>
      <w:r>
        <w:rPr>
          <w:rFonts w:hint="eastAsia"/>
          <w:color w:val="auto"/>
          <w:u w:val="none"/>
        </w:rPr>
        <w:t>的面积之和；</w:t>
      </w:r>
    </w:p>
    <w:p>
      <w:pPr>
        <w:pStyle w:val="40"/>
        <w:rPr>
          <w:color w:val="auto"/>
          <w:u w:val="none"/>
        </w:rPr>
      </w:pPr>
      <w:r>
        <w:rPr>
          <w:rFonts w:hint="eastAsia"/>
          <w:color w:val="auto"/>
          <w:u w:val="none"/>
        </w:rPr>
        <w:t>A</w:t>
      </w:r>
      <w:r>
        <w:rPr>
          <w:color w:val="auto"/>
          <w:u w:val="none"/>
          <w:vertAlign w:val="subscript"/>
        </w:rPr>
        <w:t>k</w:t>
      </w:r>
      <w:r>
        <w:rPr>
          <w:rFonts w:hint="eastAsia"/>
          <w:color w:val="auto"/>
          <w:u w:val="none"/>
        </w:rPr>
        <w:t>——各楼层厨房墙面、顶面和地面的总面积。</w:t>
      </w:r>
    </w:p>
    <w:p>
      <w:pPr>
        <w:pStyle w:val="32"/>
        <w:ind w:left="420" w:leftChars="0" w:firstLine="0" w:firstLineChars="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宋体" w:cs="宋体"/>
          <w:i w:val="0"/>
          <w:iCs/>
          <w:color w:val="auto"/>
          <w:kern w:val="2"/>
          <w:sz w:val="24"/>
          <w:szCs w:val="24"/>
          <w:u w:val="none"/>
          <w:shd w:val="clear" w:color="auto" w:fill="FFFFFF"/>
          <w:lang w:val="en-US" w:eastAsia="zh-CN" w:bidi="ar-SA"/>
        </w:rPr>
        <w:t>注：</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当评价项目各楼层厨房中的橱柜、厨房设备等全部安装到位，且墙面、顶面和地面采用干式工法的应用比例大于</w:t>
      </w:r>
      <w:r>
        <w:rPr>
          <w:rFonts w:hint="eastAsia" w:ascii="宋体" w:hAnsi="宋体" w:eastAsia="Times New Roman" w:cs="宋体"/>
          <w:i w:val="0"/>
          <w:iCs/>
          <w:color w:val="auto"/>
          <w:kern w:val="2"/>
          <w:sz w:val="24"/>
          <w:szCs w:val="24"/>
          <w:u w:val="none"/>
          <w:shd w:val="clear" w:color="auto" w:fill="FFFFFF"/>
          <w:lang w:val="en-US" w:eastAsia="zh-CN" w:bidi="ar-SA"/>
        </w:rPr>
        <w:t>70</w:t>
      </w:r>
      <w:r>
        <w:rPr>
          <w:rFonts w:hint="eastAsia" w:ascii="宋体" w:hAnsi="宋体" w:eastAsia="宋体" w:cs="宋体"/>
          <w:i w:val="0"/>
          <w:iCs/>
          <w:color w:val="auto"/>
          <w:kern w:val="2"/>
          <w:sz w:val="24"/>
          <w:szCs w:val="24"/>
          <w:u w:val="none"/>
          <w:shd w:val="clear" w:color="auto" w:fill="FFFFFF"/>
          <w:lang w:val="en-US" w:eastAsia="zh-CN" w:bidi="ar-SA"/>
        </w:rPr>
        <w:t>％时，应认定为采用了集成厨房；当比例大于</w:t>
      </w:r>
      <w:r>
        <w:rPr>
          <w:rFonts w:hint="eastAsia" w:ascii="宋体" w:hAnsi="宋体" w:eastAsia="Times New Roman" w:cs="宋体"/>
          <w:i w:val="0"/>
          <w:iCs/>
          <w:color w:val="auto"/>
          <w:kern w:val="2"/>
          <w:sz w:val="24"/>
          <w:szCs w:val="24"/>
          <w:u w:val="none"/>
          <w:shd w:val="clear" w:color="auto" w:fill="FFFFFF"/>
          <w:lang w:val="en-US" w:eastAsia="zh-CN" w:bidi="ar-SA"/>
        </w:rPr>
        <w:t>90</w:t>
      </w:r>
      <w:r>
        <w:rPr>
          <w:rFonts w:hint="eastAsia" w:ascii="宋体" w:hAnsi="宋体" w:eastAsia="宋体" w:cs="宋体"/>
          <w:i w:val="0"/>
          <w:iCs/>
          <w:color w:val="auto"/>
          <w:kern w:val="2"/>
          <w:sz w:val="24"/>
          <w:szCs w:val="24"/>
          <w:u w:val="none"/>
          <w:shd w:val="clear" w:color="auto" w:fill="FFFFFF"/>
          <w:lang w:val="en-US" w:eastAsia="zh-CN" w:bidi="ar-SA"/>
        </w:rPr>
        <w:t>％时，可认定为集成式厨房。</w:t>
      </w:r>
    </w:p>
    <w:p>
      <w:pPr>
        <w:pStyle w:val="32"/>
        <w:numPr>
          <w:ilvl w:val="0"/>
          <w:numId w:val="0"/>
        </w:numPr>
        <w:ind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、分子分母计算过程中不含墙上门、窗和预留洞口等的面积。</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eastAsia="宋体" w:cs="宋体"/>
          <w:color w:val="auto"/>
          <w:sz w:val="24"/>
          <w:szCs w:val="24"/>
          <w:u w:val="none"/>
          <w:lang w:val="en-US" w:eastAsia="zh-CN"/>
        </w:rPr>
        <w:t>、干式工法</w:t>
      </w:r>
      <w:r>
        <w:rPr>
          <w:rFonts w:hint="eastAsia" w:ascii="宋体" w:hAnsi="宋体" w:cs="宋体"/>
          <w:color w:val="auto"/>
          <w:sz w:val="24"/>
          <w:szCs w:val="24"/>
          <w:u w:val="none"/>
          <w:lang w:val="en-US" w:eastAsia="zh-CN"/>
        </w:rPr>
        <w:t>施工</w:t>
      </w:r>
      <w:r>
        <w:rPr>
          <w:rFonts w:hint="eastAsia" w:ascii="宋体" w:hAnsi="宋体" w:eastAsia="宋体" w:cs="宋体"/>
          <w:color w:val="auto"/>
          <w:sz w:val="24"/>
          <w:szCs w:val="24"/>
          <w:u w:val="none"/>
          <w:lang w:val="en-US" w:eastAsia="zh-CN"/>
        </w:rPr>
        <w:t>主要有以下技术：</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eastAsia="宋体" w:cs="宋体"/>
          <w:color w:val="auto"/>
          <w:sz w:val="24"/>
          <w:szCs w:val="24"/>
          <w:u w:val="none"/>
          <w:lang w:val="en-US" w:eastAsia="zh-CN"/>
        </w:rPr>
        <w:t>）整体预制厨房；</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eastAsia="宋体" w:cs="宋体"/>
          <w:color w:val="auto"/>
          <w:sz w:val="24"/>
          <w:szCs w:val="24"/>
          <w:u w:val="none"/>
          <w:lang w:val="en-US" w:eastAsia="zh-CN"/>
        </w:rPr>
        <w:t>）厨房顶面免抹灰找平，刮腻子或吊天花；</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eastAsia="宋体" w:cs="宋体"/>
          <w:color w:val="auto"/>
          <w:sz w:val="24"/>
          <w:szCs w:val="24"/>
          <w:u w:val="none"/>
          <w:lang w:val="en-US" w:eastAsia="zh-CN"/>
        </w:rPr>
        <w:t>）厨房基层墙体平整度达到平</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垂</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要求，</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color w:val="auto"/>
          <w:sz w:val="24"/>
          <w:szCs w:val="24"/>
          <w:u w:val="none"/>
          <w:lang w:val="en-US" w:eastAsia="zh-CN"/>
        </w:rPr>
        <w:t>在基层墙体上采用</w:t>
      </w:r>
      <w:r>
        <w:rPr>
          <w:rFonts w:hint="eastAsia" w:ascii="宋体" w:hAnsi="宋体" w:eastAsia="Times New Roman" w:cs="宋体"/>
          <w:color w:val="auto"/>
          <w:sz w:val="24"/>
          <w:szCs w:val="24"/>
          <w:u w:val="none"/>
          <w:lang w:val="en-US" w:eastAsia="zh-CN"/>
        </w:rPr>
        <w:t>6</w:t>
      </w:r>
      <w:r>
        <w:rPr>
          <w:rFonts w:hint="eastAsia"/>
          <w:u w:val="none"/>
        </w:rPr>
        <w:t>~</w:t>
      </w:r>
      <w:r>
        <w:rPr>
          <w:rFonts w:hint="eastAsia" w:ascii="宋体" w:hAnsi="宋体" w:eastAsia="Times New Roman" w:cs="宋体"/>
          <w:color w:val="auto"/>
          <w:sz w:val="24"/>
          <w:szCs w:val="24"/>
          <w:u w:val="none"/>
          <w:lang w:val="en-US" w:eastAsia="zh-CN"/>
        </w:rPr>
        <w:t>8</w:t>
      </w:r>
      <w:r>
        <w:rPr>
          <w:rFonts w:hint="eastAsia" w:ascii="宋体" w:hAnsi="宋体" w:eastAsia="宋体" w:cs="宋体"/>
          <w:color w:val="auto"/>
          <w:sz w:val="24"/>
          <w:szCs w:val="24"/>
          <w:u w:val="none"/>
          <w:lang w:val="en-US" w:eastAsia="zh-CN"/>
        </w:rPr>
        <w:t>厚界面、防水、粘贴一体化的防水瓷砖胶</w:t>
      </w:r>
      <w:r>
        <w:rPr>
          <w:rFonts w:hint="eastAsia" w:ascii="宋体" w:hAnsi="宋体" w:cs="宋体"/>
          <w:color w:val="auto"/>
          <w:sz w:val="24"/>
          <w:szCs w:val="24"/>
          <w:u w:val="none"/>
          <w:lang w:val="en-US" w:eastAsia="zh-CN"/>
        </w:rPr>
        <w:t>（注：同</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条所述</w:t>
      </w:r>
      <w:r>
        <w:rPr>
          <w:rFonts w:hint="eastAsia" w:ascii="宋体" w:hAnsi="宋体" w:eastAsia="宋体" w:cs="宋体"/>
          <w:color w:val="auto"/>
          <w:sz w:val="24"/>
          <w:szCs w:val="24"/>
          <w:u w:val="none"/>
          <w:lang w:val="en-US" w:eastAsia="zh-CN"/>
        </w:rPr>
        <w:t>防水瓷砖胶</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薄贴面砖或涂刷防水涂料后干挂饰面板</w:t>
      </w:r>
      <w:r>
        <w:rPr>
          <w:rFonts w:hint="eastAsia" w:ascii="宋体" w:hAnsi="宋体" w:cs="宋体"/>
          <w:color w:val="auto"/>
          <w:sz w:val="24"/>
          <w:szCs w:val="24"/>
          <w:u w:val="none"/>
          <w:lang w:val="en-US" w:eastAsia="zh-CN"/>
        </w:rPr>
        <w:t>（瓷砖）</w:t>
      </w:r>
      <w:r>
        <w:rPr>
          <w:rFonts w:hint="eastAsia" w:ascii="宋体" w:hAnsi="宋体" w:eastAsia="宋体" w:cs="宋体"/>
          <w:color w:val="auto"/>
          <w:sz w:val="24"/>
          <w:szCs w:val="24"/>
          <w:u w:val="none"/>
          <w:lang w:val="en-US" w:eastAsia="zh-CN"/>
        </w:rPr>
        <w:t>的墙面；</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i w:val="0"/>
          <w:iCs w:val="0"/>
          <w:color w:val="auto"/>
          <w:kern w:val="2"/>
          <w:sz w:val="24"/>
          <w:szCs w:val="24"/>
          <w:u w:val="none"/>
          <w:shd w:val="clear" w:color="auto" w:fill="FFFFFF"/>
          <w:lang w:val="en-US" w:eastAsia="zh-CN" w:bidi="ar-SA"/>
        </w:rPr>
        <w:t>4</w:t>
      </w:r>
      <w:r>
        <w:rPr>
          <w:rFonts w:hint="eastAsia" w:ascii="宋体" w:hAnsi="宋体" w:cs="宋体"/>
          <w:i w:val="0"/>
          <w:iCs w:val="0"/>
          <w:color w:val="auto"/>
          <w:kern w:val="2"/>
          <w:sz w:val="24"/>
          <w:szCs w:val="24"/>
          <w:u w:val="none"/>
          <w:shd w:val="clear" w:color="auto" w:fill="FFFFFF"/>
          <w:lang w:val="en-US" w:eastAsia="zh-CN" w:bidi="ar-SA"/>
        </w:rPr>
        <w:t>）厨房地面采用</w:t>
      </w:r>
      <w:r>
        <w:rPr>
          <w:rFonts w:hint="eastAsia" w:ascii="宋体" w:hAnsi="宋体" w:eastAsia="Times New Roman" w:cs="宋体"/>
          <w:i w:val="0"/>
          <w:iCs w:val="0"/>
          <w:color w:val="auto"/>
          <w:kern w:val="2"/>
          <w:sz w:val="24"/>
          <w:szCs w:val="24"/>
          <w:u w:val="none"/>
          <w:shd w:val="clear" w:color="auto" w:fill="FFFFFF"/>
          <w:lang w:val="en-US" w:eastAsia="zh-CN" w:bidi="ar-SA"/>
        </w:rPr>
        <w:t>3</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2</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1</w:t>
      </w:r>
      <w:r>
        <w:rPr>
          <w:rFonts w:hint="eastAsia" w:ascii="宋体" w:hAnsi="宋体" w:cs="宋体"/>
          <w:i w:val="0"/>
          <w:iCs w:val="0"/>
          <w:color w:val="auto"/>
          <w:kern w:val="2"/>
          <w:sz w:val="24"/>
          <w:szCs w:val="24"/>
          <w:u w:val="none"/>
          <w:shd w:val="clear" w:color="auto" w:fill="FFFFFF"/>
          <w:lang w:val="en-US" w:eastAsia="zh-CN" w:bidi="ar-SA"/>
        </w:rPr>
        <w:t>条备注所述的</w:t>
      </w:r>
      <w:r>
        <w:rPr>
          <w:rFonts w:hint="eastAsia" w:ascii="宋体" w:hAnsi="宋体" w:eastAsia="宋体" w:cs="宋体"/>
          <w:i w:val="0"/>
          <w:iCs w:val="0"/>
          <w:color w:val="auto"/>
          <w:kern w:val="2"/>
          <w:sz w:val="24"/>
          <w:szCs w:val="24"/>
          <w:u w:val="none"/>
          <w:shd w:val="clear" w:color="auto" w:fill="FFFFFF"/>
          <w:lang w:val="en-US" w:eastAsia="zh-CN" w:bidi="ar-SA"/>
        </w:rPr>
        <w:t>干式工法</w:t>
      </w:r>
      <w:r>
        <w:rPr>
          <w:rFonts w:hint="eastAsia" w:ascii="宋体" w:hAnsi="宋体" w:cs="宋体"/>
          <w:i w:val="0"/>
          <w:iCs w:val="0"/>
          <w:color w:val="auto"/>
          <w:kern w:val="2"/>
          <w:sz w:val="24"/>
          <w:szCs w:val="24"/>
          <w:u w:val="none"/>
          <w:shd w:val="clear" w:color="auto" w:fill="FFFFFF"/>
          <w:lang w:val="en-US" w:eastAsia="zh-CN" w:bidi="ar-SA"/>
        </w:rPr>
        <w:t>楼面、</w:t>
      </w:r>
      <w:r>
        <w:rPr>
          <w:rFonts w:hint="eastAsia" w:ascii="宋体" w:hAnsi="宋体" w:eastAsia="宋体" w:cs="宋体"/>
          <w:i w:val="0"/>
          <w:iCs w:val="0"/>
          <w:color w:val="auto"/>
          <w:kern w:val="2"/>
          <w:sz w:val="24"/>
          <w:szCs w:val="24"/>
          <w:u w:val="none"/>
          <w:shd w:val="clear" w:color="auto" w:fill="FFFFFF"/>
          <w:lang w:val="en-US" w:eastAsia="zh-CN" w:bidi="ar-SA"/>
        </w:rPr>
        <w:t>地面</w:t>
      </w:r>
      <w:r>
        <w:rPr>
          <w:rFonts w:hint="eastAsia" w:ascii="宋体" w:hAnsi="宋体" w:eastAsia="宋体" w:cs="宋体"/>
          <w:i w:val="0"/>
          <w:iCs w:val="0"/>
          <w:color w:val="auto"/>
          <w:sz w:val="24"/>
          <w:szCs w:val="24"/>
          <w:u w:val="none"/>
          <w:lang w:val="en-US" w:eastAsia="zh-CN"/>
        </w:rPr>
        <w:t>。</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4</w:t>
      </w:r>
      <w:r>
        <w:rPr>
          <w:rFonts w:hint="eastAsia" w:ascii="宋体" w:hAnsi="宋体" w:cs="宋体"/>
          <w:color w:val="auto"/>
          <w:sz w:val="24"/>
          <w:szCs w:val="24"/>
          <w:u w:val="none"/>
          <w:lang w:val="en-US" w:eastAsia="zh-CN"/>
        </w:rPr>
        <w:t>、下列情况视作湿作业施工，不属干式工法施工：</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cs="宋体"/>
          <w:color w:val="auto"/>
          <w:sz w:val="24"/>
          <w:szCs w:val="24"/>
          <w:u w:val="none"/>
          <w:lang w:val="en-US" w:eastAsia="zh-CN"/>
        </w:rPr>
        <w:t>）基层墙体上施工保温砂浆、保温腻子或保温涂料等浆体类保温材料（或采用粘结砂浆粘贴保温板）后再薄贴瓷砖；</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）基层墙体上施工防水层后再薄贴瓷砖；</w:t>
      </w:r>
    </w:p>
    <w:p>
      <w:pPr>
        <w:spacing w:line="600" w:lineRule="exact"/>
        <w:ind w:firstLine="480" w:firstLineChars="200"/>
        <w:rPr>
          <w:rFonts w:hint="default"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cs="宋体"/>
          <w:color w:val="auto"/>
          <w:sz w:val="24"/>
          <w:szCs w:val="24"/>
          <w:u w:val="none"/>
          <w:lang w:val="en-US" w:eastAsia="zh-CN"/>
        </w:rPr>
        <w:t>）地面施工防水层后再薄贴瓷砖。</w:t>
      </w:r>
    </w:p>
    <w:p>
      <w:pPr>
        <w:pStyle w:val="32"/>
        <w:ind w:left="0" w:leftChars="0" w:firstLine="0" w:firstLineChars="0"/>
        <w:rPr>
          <w:rFonts w:hint="eastAsia" w:ascii="宋体" w:hAnsi="宋体" w:eastAsia="宋体" w:cs="宋体"/>
          <w:i w:val="0"/>
          <w:iCs w:val="0"/>
          <w:color w:val="auto"/>
          <w:sz w:val="28"/>
          <w:szCs w:val="28"/>
          <w:u w:val="none"/>
          <w:lang w:eastAsia="zh-CN"/>
        </w:rPr>
      </w:pPr>
      <w:r>
        <w:rPr>
          <w:rFonts w:hint="default" w:ascii="Times New Roman" w:hAnsi="Times New Roman" w:eastAsia="Times New Roman" w:cs="Times New Roman"/>
          <w:b/>
          <w:i w:val="0"/>
          <w:iCs w:val="0"/>
          <w:color w:val="auto"/>
          <w:sz w:val="28"/>
          <w:szCs w:val="28"/>
          <w:u w:val="none"/>
          <w:lang w:val="en-US" w:eastAsia="zh-CN"/>
        </w:rPr>
        <w:t>3</w:t>
      </w:r>
      <w:r>
        <w:rPr>
          <w:rFonts w:hint="default" w:ascii="Times New Roman" w:hAnsi="Times New Roman" w:eastAsia="宋体" w:cs="Times New Roman"/>
          <w:b/>
          <w:i w:val="0"/>
          <w:iCs w:val="0"/>
          <w:color w:val="auto"/>
          <w:sz w:val="28"/>
          <w:szCs w:val="28"/>
          <w:u w:val="none"/>
          <w:lang w:val="en-US" w:eastAsia="zh-CN"/>
        </w:rPr>
        <w:t>.</w:t>
      </w:r>
      <w:r>
        <w:rPr>
          <w:rFonts w:hint="default" w:ascii="Times New Roman" w:hAnsi="Times New Roman" w:eastAsia="Times New Roman" w:cs="Times New Roman"/>
          <w:b/>
          <w:i w:val="0"/>
          <w:iCs w:val="0"/>
          <w:color w:val="auto"/>
          <w:sz w:val="28"/>
          <w:szCs w:val="28"/>
          <w:u w:val="none"/>
          <w:lang w:val="en-US" w:eastAsia="zh-CN"/>
        </w:rPr>
        <w:t>4</w:t>
      </w:r>
      <w:r>
        <w:rPr>
          <w:rFonts w:hint="eastAsia" w:ascii="宋体" w:hAnsi="宋体" w:eastAsia="宋体" w:cs="宋体"/>
          <w:b/>
          <w:i w:val="0"/>
          <w:iCs w:val="0"/>
          <w:color w:val="auto"/>
          <w:sz w:val="28"/>
          <w:szCs w:val="28"/>
          <w:u w:val="none"/>
          <w:lang w:val="en-US" w:eastAsia="zh-CN"/>
        </w:rPr>
        <w:t xml:space="preserve">  Q</w:t>
      </w:r>
      <w:r>
        <w:rPr>
          <w:rFonts w:hint="eastAsia" w:ascii="宋体" w:hAnsi="宋体" w:eastAsia="Times New Roman" w:cs="宋体"/>
          <w:b/>
          <w:i w:val="0"/>
          <w:iCs w:val="0"/>
          <w:color w:val="auto"/>
          <w:sz w:val="28"/>
          <w:szCs w:val="28"/>
          <w:u w:val="none"/>
          <w:vertAlign w:val="subscript"/>
          <w:lang w:val="en-US" w:eastAsia="zh-CN"/>
        </w:rPr>
        <w:t>3</w:t>
      </w:r>
      <w:r>
        <w:rPr>
          <w:rFonts w:hint="eastAsia" w:ascii="宋体" w:hAnsi="宋体" w:eastAsia="宋体" w:cs="宋体"/>
          <w:b/>
          <w:i w:val="0"/>
          <w:iCs w:val="0"/>
          <w:color w:val="auto"/>
          <w:sz w:val="28"/>
          <w:szCs w:val="28"/>
          <w:u w:val="none"/>
          <w:vertAlign w:val="subscript"/>
          <w:lang w:val="en-US" w:eastAsia="zh-CN"/>
        </w:rPr>
        <w:t>d</w:t>
      </w:r>
      <w:r>
        <w:rPr>
          <w:rFonts w:hint="eastAsia" w:ascii="宋体" w:hAnsi="宋体" w:eastAsia="宋体" w:cs="宋体"/>
          <w:b/>
          <w:i w:val="0"/>
          <w:iCs w:val="0"/>
          <w:color w:val="auto"/>
          <w:sz w:val="28"/>
          <w:szCs w:val="28"/>
          <w:u w:val="none"/>
          <w:lang w:val="en-US" w:eastAsia="zh-CN"/>
        </w:rPr>
        <w:t>：</w:t>
      </w:r>
      <w:r>
        <w:rPr>
          <w:rFonts w:hint="eastAsia" w:ascii="宋体" w:hAnsi="宋体" w:eastAsia="宋体" w:cs="宋体"/>
          <w:b/>
          <w:bCs/>
          <w:i w:val="0"/>
          <w:iCs w:val="0"/>
          <w:color w:val="auto"/>
          <w:sz w:val="28"/>
          <w:szCs w:val="28"/>
          <w:u w:val="none"/>
        </w:rPr>
        <w:t>集成卫生间</w:t>
      </w:r>
      <w:r>
        <w:rPr>
          <w:rFonts w:hint="eastAsia" w:ascii="宋体" w:hAnsi="宋体" w:eastAsia="宋体" w:cs="宋体"/>
          <w:b w:val="0"/>
          <w:bCs w:val="0"/>
          <w:i w:val="0"/>
          <w:iCs w:val="0"/>
          <w:color w:val="auto"/>
          <w:sz w:val="21"/>
          <w:szCs w:val="21"/>
          <w:u w:val="none"/>
          <w:lang w:eastAsia="zh-CN"/>
        </w:rPr>
        <w:t>（</w:t>
      </w:r>
      <w:r>
        <w:rPr>
          <w:rFonts w:hint="eastAsia" w:ascii="宋体" w:hAnsi="宋体" w:eastAsia="Times New Roman" w:cs="宋体"/>
          <w:b w:val="0"/>
          <w:bCs w:val="0"/>
          <w:i w:val="0"/>
          <w:iCs w:val="0"/>
          <w:color w:val="auto"/>
          <w:sz w:val="21"/>
          <w:szCs w:val="21"/>
          <w:u w:val="none"/>
          <w:lang w:val="en-US" w:eastAsia="zh-CN"/>
        </w:rPr>
        <w:t>6</w:t>
      </w:r>
      <w:r>
        <w:rPr>
          <w:rFonts w:hint="eastAsia" w:ascii="宋体" w:hAnsi="宋体" w:eastAsia="宋体" w:cs="宋体"/>
          <w:b w:val="0"/>
          <w:bCs w:val="0"/>
          <w:i w:val="0"/>
          <w:iCs w:val="0"/>
          <w:color w:val="auto"/>
          <w:sz w:val="21"/>
          <w:szCs w:val="21"/>
          <w:u w:val="none"/>
          <w:lang w:val="en-US" w:eastAsia="zh-CN"/>
        </w:rPr>
        <w:t>分，</w:t>
      </w:r>
      <w:r>
        <w:rPr>
          <w:rFonts w:hint="eastAsia" w:ascii="宋体" w:hAnsi="宋体" w:eastAsia="宋体" w:cs="宋体"/>
          <w:i w:val="0"/>
          <w:iCs w:val="0"/>
          <w:color w:val="auto"/>
          <w:sz w:val="21"/>
          <w:szCs w:val="21"/>
          <w:u w:val="none"/>
          <w:lang w:val="en-US" w:eastAsia="zh-CN"/>
        </w:rPr>
        <w:t>评价要求：</w:t>
      </w:r>
      <w:r>
        <w:rPr>
          <w:rFonts w:hint="eastAsia" w:ascii="宋体" w:hAnsi="宋体" w:eastAsia="Times New Roman" w:cs="宋体"/>
          <w:b w:val="0"/>
          <w:bCs/>
          <w:i w:val="0"/>
          <w:iCs w:val="0"/>
          <w:color w:val="auto"/>
          <w:sz w:val="21"/>
          <w:szCs w:val="21"/>
          <w:u w:val="none"/>
          <w:lang w:val="en-US" w:eastAsia="zh-CN"/>
        </w:rPr>
        <w:t>70</w:t>
      </w:r>
      <w:r>
        <w:rPr>
          <w:rFonts w:hint="eastAsia" w:ascii="宋体" w:hAnsi="宋体" w:eastAsia="宋体" w:cs="宋体"/>
          <w:b w:val="0"/>
          <w:bCs/>
          <w:i w:val="0"/>
          <w:iCs w:val="0"/>
          <w:color w:val="auto"/>
          <w:sz w:val="21"/>
          <w:szCs w:val="21"/>
          <w:u w:val="none"/>
          <w:lang w:val="en-US" w:eastAsia="zh-CN"/>
        </w:rPr>
        <w:t>%≤比例≤</w:t>
      </w:r>
      <w:r>
        <w:rPr>
          <w:rFonts w:hint="eastAsia" w:ascii="宋体" w:hAnsi="宋体" w:eastAsia="Times New Roman" w:cs="宋体"/>
          <w:b w:val="0"/>
          <w:bCs/>
          <w:i w:val="0"/>
          <w:iCs w:val="0"/>
          <w:color w:val="auto"/>
          <w:sz w:val="21"/>
          <w:szCs w:val="21"/>
          <w:u w:val="none"/>
          <w:lang w:val="en-US" w:eastAsia="zh-CN"/>
        </w:rPr>
        <w:t>90</w:t>
      </w:r>
      <w:r>
        <w:rPr>
          <w:rFonts w:hint="eastAsia" w:ascii="宋体" w:hAnsi="宋体" w:eastAsia="宋体" w:cs="宋体"/>
          <w:b w:val="0"/>
          <w:bCs/>
          <w:i w:val="0"/>
          <w:iCs w:val="0"/>
          <w:color w:val="auto"/>
          <w:sz w:val="21"/>
          <w:szCs w:val="21"/>
          <w:u w:val="none"/>
          <w:lang w:val="en-US" w:eastAsia="zh-CN"/>
        </w:rPr>
        <w:t>%</w:t>
      </w:r>
      <w:r>
        <w:rPr>
          <w:rFonts w:hint="eastAsia" w:ascii="宋体" w:hAnsi="宋体" w:eastAsia="宋体" w:cs="宋体"/>
          <w:b w:val="0"/>
          <w:bCs/>
          <w:i w:val="0"/>
          <w:iCs w:val="0"/>
          <w:color w:val="auto"/>
          <w:sz w:val="21"/>
          <w:szCs w:val="21"/>
          <w:u w:val="none"/>
          <w:lang w:eastAsia="zh-CN"/>
        </w:rPr>
        <w:t>）</w:t>
      </w:r>
    </w:p>
    <w:p>
      <w:pPr>
        <w:pStyle w:val="34"/>
        <w:rPr>
          <w:u w:val="none"/>
        </w:rPr>
      </w:pP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4</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u w:val="none"/>
          <w:lang w:val="en-US" w:eastAsia="zh-CN"/>
        </w:rPr>
        <w:t xml:space="preserve">  </w:t>
      </w:r>
      <w:r>
        <w:rPr>
          <w:rFonts w:hint="eastAsia"/>
          <w:u w:val="none"/>
        </w:rPr>
        <w:t>集成卫生间的洁具设备等应全部安装到位，墙面、顶面和地面中干式工法</w:t>
      </w:r>
      <w:r>
        <w:rPr>
          <w:rFonts w:hint="eastAsia"/>
          <w:u w:val="none"/>
          <w:lang w:val="en-US" w:eastAsia="zh-CN"/>
        </w:rPr>
        <w:t>施工</w:t>
      </w:r>
      <w:r>
        <w:rPr>
          <w:rFonts w:hint="eastAsia"/>
          <w:u w:val="none"/>
        </w:rPr>
        <w:t>的应用比例应按下式计算：</w:t>
      </w:r>
    </w:p>
    <w:p>
      <w:pPr>
        <w:pStyle w:val="31"/>
        <w:rPr>
          <w:u w:val="none"/>
        </w:rPr>
      </w:pPr>
      <w:r>
        <w:rPr>
          <w:u w:val="none"/>
        </w:rPr>
        <w:tab/>
      </w:r>
      <w:r>
        <w:rPr>
          <w:position w:val="-34"/>
          <w:u w:val="none"/>
        </w:rPr>
        <w:object>
          <v:shape id="_x0000_i1033" o:spt="75" type="#_x0000_t75" style="height:40.05pt;width:100.8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u w:val="none"/>
        </w:rPr>
        <w:tab/>
      </w:r>
      <w:r>
        <w:rPr>
          <w:rFonts w:hint="eastAsia"/>
          <w:u w:val="none"/>
        </w:rPr>
        <w:t>（</w:t>
      </w:r>
      <w:r>
        <w:rPr>
          <w:rFonts w:hint="eastAsia" w:eastAsia="Times New Roman"/>
          <w:u w:val="none"/>
          <w:lang w:val="en-US" w:eastAsia="zh-CN"/>
        </w:rPr>
        <w:t>3</w:t>
      </w:r>
      <w:r>
        <w:rPr>
          <w:u w:val="none"/>
        </w:rPr>
        <w:t>.</w:t>
      </w:r>
      <w:r>
        <w:rPr>
          <w:rFonts w:eastAsia="Times New Roman"/>
          <w:u w:val="none"/>
        </w:rPr>
        <w:t>4</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式中：q</w:t>
      </w:r>
      <w:r>
        <w:rPr>
          <w:rFonts w:hint="eastAsia" w:eastAsia="Times New Roman"/>
          <w:u w:val="none"/>
          <w:vertAlign w:val="subscript"/>
        </w:rPr>
        <w:t>3</w:t>
      </w:r>
      <w:r>
        <w:rPr>
          <w:u w:val="none"/>
          <w:vertAlign w:val="subscript"/>
        </w:rPr>
        <w:t>d</w:t>
      </w:r>
      <w:r>
        <w:rPr>
          <w:rFonts w:hint="eastAsia"/>
          <w:u w:val="none"/>
        </w:rPr>
        <w:t>——集成卫生间中干式工法的应用比例；</w:t>
      </w:r>
    </w:p>
    <w:p>
      <w:pPr>
        <w:pStyle w:val="40"/>
        <w:rPr>
          <w:u w:val="none"/>
        </w:rPr>
      </w:pPr>
      <w:r>
        <w:rPr>
          <w:rFonts w:hint="eastAsia"/>
          <w:u w:val="none"/>
        </w:rPr>
        <w:t>A</w:t>
      </w:r>
      <w:r>
        <w:rPr>
          <w:rFonts w:hint="eastAsia" w:eastAsia="Times New Roman"/>
          <w:u w:val="none"/>
          <w:vertAlign w:val="subscript"/>
        </w:rPr>
        <w:t>3</w:t>
      </w:r>
      <w:r>
        <w:rPr>
          <w:u w:val="none"/>
          <w:vertAlign w:val="subscript"/>
        </w:rPr>
        <w:t>d</w:t>
      </w:r>
      <w:r>
        <w:rPr>
          <w:rFonts w:hint="eastAsia"/>
          <w:u w:val="none"/>
        </w:rPr>
        <w:t>——各楼层卫生间墙面、顶面和地面采用干式工法的面积之和；</w:t>
      </w:r>
    </w:p>
    <w:p>
      <w:pPr>
        <w:pStyle w:val="32"/>
        <w:ind w:left="0" w:leftChars="0" w:firstLine="840" w:firstLineChars="300"/>
        <w:rPr>
          <w:rFonts w:hint="eastAsia" w:ascii="楷体" w:hAnsi="楷体" w:eastAsia="楷体" w:cs="楷体"/>
          <w:i w:val="0"/>
          <w:iCs/>
          <w:kern w:val="2"/>
          <w:sz w:val="28"/>
          <w:szCs w:val="28"/>
          <w:u w:val="none"/>
          <w:shd w:val="clear" w:color="auto" w:fill="FFFFFF"/>
          <w:lang w:val="en-US" w:eastAsia="zh-CN" w:bidi="ar-SA"/>
        </w:rPr>
      </w:pPr>
      <w:r>
        <w:rPr>
          <w:rFonts w:hint="eastAsia"/>
          <w:i w:val="0"/>
          <w:iCs/>
          <w:sz w:val="28"/>
          <w:szCs w:val="28"/>
          <w:u w:val="none"/>
        </w:rPr>
        <w:t>A</w:t>
      </w:r>
      <w:r>
        <w:rPr>
          <w:rFonts w:hint="eastAsia"/>
          <w:i w:val="0"/>
          <w:iCs/>
          <w:sz w:val="28"/>
          <w:szCs w:val="28"/>
          <w:u w:val="none"/>
          <w:vertAlign w:val="subscript"/>
        </w:rPr>
        <w:t>b</w:t>
      </w:r>
      <w:r>
        <w:rPr>
          <w:rFonts w:hint="eastAsia"/>
          <w:i w:val="0"/>
          <w:iCs/>
          <w:sz w:val="28"/>
          <w:szCs w:val="28"/>
          <w:u w:val="none"/>
        </w:rPr>
        <w:t>——各楼层卫生间墙面、顶面和地面的总面积。</w:t>
      </w:r>
    </w:p>
    <w:p>
      <w:pPr>
        <w:pStyle w:val="32"/>
        <w:ind w:left="42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w:t>
      </w:r>
    </w:p>
    <w:p>
      <w:pPr>
        <w:pStyle w:val="32"/>
        <w:numPr>
          <w:ilvl w:val="0"/>
          <w:numId w:val="0"/>
        </w:numPr>
        <w:ind w:left="0" w:leftChars="0" w:firstLine="420" w:firstLineChars="175"/>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当评价项目各楼层卫生间中的洁具设备等全部安装到位，且墙面、顶面和地面采用干式工法的应用比例大于</w:t>
      </w:r>
      <w:r>
        <w:rPr>
          <w:rFonts w:hint="eastAsia" w:ascii="宋体" w:hAnsi="宋体" w:eastAsia="Times New Roman" w:cs="宋体"/>
          <w:i w:val="0"/>
          <w:iCs/>
          <w:kern w:val="2"/>
          <w:sz w:val="24"/>
          <w:szCs w:val="24"/>
          <w:u w:val="none"/>
          <w:shd w:val="clear" w:color="auto" w:fill="FFFFFF"/>
          <w:lang w:val="en-US" w:eastAsia="zh-CN" w:bidi="ar-SA"/>
        </w:rPr>
        <w:t>70</w:t>
      </w:r>
      <w:r>
        <w:rPr>
          <w:rFonts w:hint="eastAsia" w:ascii="宋体" w:hAnsi="宋体" w:eastAsia="宋体" w:cs="宋体"/>
          <w:i w:val="0"/>
          <w:iCs/>
          <w:kern w:val="2"/>
          <w:sz w:val="24"/>
          <w:szCs w:val="24"/>
          <w:u w:val="none"/>
          <w:shd w:val="clear" w:color="auto" w:fill="FFFFFF"/>
          <w:lang w:val="en-US" w:eastAsia="zh-CN" w:bidi="ar-SA"/>
        </w:rPr>
        <w:t>％时，应认定为采用了集成卫生间；当比例大于</w:t>
      </w:r>
      <w:r>
        <w:rPr>
          <w:rFonts w:hint="eastAsia" w:ascii="宋体" w:hAnsi="宋体" w:eastAsia="Times New Roman" w:cs="宋体"/>
          <w:i w:val="0"/>
          <w:iCs/>
          <w:kern w:val="2"/>
          <w:sz w:val="24"/>
          <w:szCs w:val="24"/>
          <w:u w:val="none"/>
          <w:shd w:val="clear" w:color="auto" w:fill="FFFFFF"/>
          <w:lang w:val="en-US" w:eastAsia="zh-CN" w:bidi="ar-SA"/>
        </w:rPr>
        <w:t>90</w:t>
      </w:r>
      <w:r>
        <w:rPr>
          <w:rFonts w:hint="eastAsia" w:ascii="宋体" w:hAnsi="宋体" w:eastAsia="宋体" w:cs="宋体"/>
          <w:i w:val="0"/>
          <w:iCs/>
          <w:kern w:val="2"/>
          <w:sz w:val="24"/>
          <w:szCs w:val="24"/>
          <w:u w:val="none"/>
          <w:shd w:val="clear" w:color="auto" w:fill="FFFFFF"/>
          <w:lang w:val="en-US" w:eastAsia="zh-CN" w:bidi="ar-SA"/>
        </w:rPr>
        <w:t>％时，可认定为集成式卫生间。</w:t>
      </w:r>
    </w:p>
    <w:p>
      <w:pPr>
        <w:pStyle w:val="32"/>
        <w:numPr>
          <w:ilvl w:val="0"/>
          <w:numId w:val="0"/>
        </w:numPr>
        <w:ind w:left="420" w:leftChars="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kern w:val="2"/>
          <w:sz w:val="24"/>
          <w:szCs w:val="24"/>
          <w:u w:val="none"/>
          <w:shd w:val="clear" w:color="auto" w:fill="FFFFFF"/>
          <w:lang w:val="en-US" w:eastAsia="zh-CN" w:bidi="ar-SA"/>
        </w:rPr>
        <w:t>2、分子分母计算过程中不含墙上门、窗和预留洞口等的面积。</w:t>
      </w:r>
    </w:p>
    <w:p>
      <w:pPr>
        <w:pStyle w:val="32"/>
        <w:numPr>
          <w:ilvl w:val="0"/>
          <w:numId w:val="0"/>
        </w:numPr>
        <w:ind w:left="420" w:leftChars="0"/>
        <w:rPr>
          <w:rFonts w:hint="eastAsia" w:ascii="宋体" w:hAnsi="宋体" w:eastAsia="宋体" w:cs="宋体"/>
          <w:i w:val="0"/>
          <w:iCs/>
          <w:color w:val="auto"/>
          <w:sz w:val="24"/>
          <w:szCs w:val="24"/>
          <w:u w:val="none"/>
          <w:lang w:val="en-US" w:eastAsia="zh-CN"/>
        </w:rPr>
      </w:pPr>
      <w:r>
        <w:rPr>
          <w:rFonts w:hint="eastAsia" w:ascii="宋体" w:hAnsi="宋体" w:eastAsia="Times New Roman"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、干式工法主要有以下技术：</w:t>
      </w:r>
    </w:p>
    <w:p>
      <w:pPr>
        <w:spacing w:line="600" w:lineRule="exact"/>
        <w:ind w:left="0" w:leftChars="0"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eastAsia="宋体" w:cs="宋体"/>
          <w:color w:val="auto"/>
          <w:sz w:val="24"/>
          <w:szCs w:val="24"/>
          <w:u w:val="none"/>
          <w:lang w:val="en-US" w:eastAsia="zh-CN"/>
        </w:rPr>
        <w:t xml:space="preserve">）整体预制卫生间、整体浴室（满足GB/T </w:t>
      </w:r>
      <w:r>
        <w:rPr>
          <w:rFonts w:hint="eastAsia" w:ascii="宋体" w:hAnsi="宋体" w:eastAsia="Times New Roman" w:cs="宋体"/>
          <w:color w:val="auto"/>
          <w:sz w:val="24"/>
          <w:szCs w:val="24"/>
          <w:u w:val="none"/>
          <w:lang w:val="en-US" w:eastAsia="zh-CN"/>
        </w:rPr>
        <w:t>13905</w:t>
      </w:r>
      <w:r>
        <w:rPr>
          <w:rFonts w:hint="eastAsia" w:ascii="宋体" w:hAnsi="宋体" w:eastAsia="宋体" w:cs="宋体"/>
          <w:color w:val="auto"/>
          <w:sz w:val="24"/>
          <w:szCs w:val="24"/>
          <w:u w:val="none"/>
          <w:lang w:val="en-US" w:eastAsia="zh-CN"/>
        </w:rPr>
        <w:t xml:space="preserve">要求）、住宅整体卫浴间（满足JC/T </w:t>
      </w:r>
      <w:r>
        <w:rPr>
          <w:rFonts w:hint="eastAsia" w:ascii="宋体" w:hAnsi="宋体" w:eastAsia="Times New Roman" w:cs="宋体"/>
          <w:color w:val="auto"/>
          <w:sz w:val="24"/>
          <w:szCs w:val="24"/>
          <w:u w:val="none"/>
          <w:lang w:val="en-US" w:eastAsia="zh-CN"/>
        </w:rPr>
        <w:t>183</w:t>
      </w:r>
      <w:r>
        <w:rPr>
          <w:rFonts w:hint="eastAsia" w:ascii="宋体" w:hAnsi="宋体" w:eastAsia="宋体" w:cs="宋体"/>
          <w:color w:val="auto"/>
          <w:sz w:val="24"/>
          <w:szCs w:val="24"/>
          <w:u w:val="none"/>
          <w:lang w:val="en-US" w:eastAsia="zh-CN"/>
        </w:rPr>
        <w:t>要求）；</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eastAsia="宋体" w:cs="宋体"/>
          <w:color w:val="auto"/>
          <w:sz w:val="24"/>
          <w:szCs w:val="24"/>
          <w:u w:val="none"/>
          <w:lang w:val="en-US" w:eastAsia="zh-CN"/>
        </w:rPr>
        <w:t>）卫生间顶面免抹灰找平，刮腻子或吊天花；</w:t>
      </w:r>
    </w:p>
    <w:p>
      <w:pPr>
        <w:spacing w:line="600" w:lineRule="exact"/>
        <w:ind w:left="0" w:leftChars="0"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eastAsia="宋体" w:cs="宋体"/>
          <w:color w:val="auto"/>
          <w:sz w:val="24"/>
          <w:szCs w:val="24"/>
          <w:u w:val="none"/>
          <w:lang w:val="en-US" w:eastAsia="zh-CN"/>
        </w:rPr>
        <w:t>）卫生间基层墙体平整度达到平</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垂</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要求，</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color w:val="auto"/>
          <w:sz w:val="24"/>
          <w:szCs w:val="24"/>
          <w:u w:val="none"/>
          <w:lang w:val="en-US" w:eastAsia="zh-CN"/>
        </w:rPr>
        <w:t>在基层墙体上采用</w:t>
      </w:r>
      <w:r>
        <w:rPr>
          <w:rFonts w:hint="eastAsia" w:ascii="宋体" w:hAnsi="宋体" w:eastAsia="Times New Roman" w:cs="宋体"/>
          <w:color w:val="auto"/>
          <w:sz w:val="24"/>
          <w:szCs w:val="24"/>
          <w:u w:val="none"/>
          <w:lang w:val="en-US" w:eastAsia="zh-CN"/>
        </w:rPr>
        <w:t>6</w:t>
      </w:r>
      <w:r>
        <w:rPr>
          <w:rFonts w:hint="eastAsia"/>
          <w:u w:val="none"/>
        </w:rPr>
        <w:t>~</w:t>
      </w:r>
      <w:r>
        <w:rPr>
          <w:rFonts w:hint="eastAsia" w:ascii="宋体" w:hAnsi="宋体" w:eastAsia="Times New Roman" w:cs="宋体"/>
          <w:color w:val="auto"/>
          <w:sz w:val="24"/>
          <w:szCs w:val="24"/>
          <w:u w:val="none"/>
          <w:lang w:val="en-US" w:eastAsia="zh-CN"/>
        </w:rPr>
        <w:t>8</w:t>
      </w:r>
      <w:r>
        <w:rPr>
          <w:rFonts w:hint="eastAsia" w:ascii="宋体" w:hAnsi="宋体" w:eastAsia="宋体" w:cs="宋体"/>
          <w:color w:val="auto"/>
          <w:sz w:val="24"/>
          <w:szCs w:val="24"/>
          <w:u w:val="none"/>
          <w:lang w:val="en-US" w:eastAsia="zh-CN"/>
        </w:rPr>
        <w:t>厚界面、防水、粘贴一体化的防水瓷砖胶</w:t>
      </w:r>
      <w:r>
        <w:rPr>
          <w:rFonts w:hint="eastAsia" w:ascii="宋体" w:hAnsi="宋体" w:cs="宋体"/>
          <w:color w:val="auto"/>
          <w:sz w:val="24"/>
          <w:szCs w:val="24"/>
          <w:u w:val="none"/>
          <w:lang w:val="en-US" w:eastAsia="zh-CN"/>
        </w:rPr>
        <w:t>（注：同</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条所述</w:t>
      </w:r>
      <w:r>
        <w:rPr>
          <w:rFonts w:hint="eastAsia" w:ascii="宋体" w:hAnsi="宋体" w:eastAsia="宋体" w:cs="宋体"/>
          <w:color w:val="auto"/>
          <w:sz w:val="24"/>
          <w:szCs w:val="24"/>
          <w:u w:val="none"/>
          <w:lang w:val="en-US" w:eastAsia="zh-CN"/>
        </w:rPr>
        <w:t>防水瓷砖胶</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薄贴面砖或涂刷防水涂料后干挂饰面板</w:t>
      </w:r>
      <w:r>
        <w:rPr>
          <w:rFonts w:hint="eastAsia" w:ascii="宋体" w:hAnsi="宋体" w:cs="宋体"/>
          <w:color w:val="auto"/>
          <w:sz w:val="24"/>
          <w:szCs w:val="24"/>
          <w:u w:val="none"/>
          <w:lang w:val="en-US" w:eastAsia="zh-CN"/>
        </w:rPr>
        <w:t>（瓷砖）</w:t>
      </w:r>
      <w:r>
        <w:rPr>
          <w:rFonts w:hint="eastAsia" w:ascii="宋体" w:hAnsi="宋体" w:eastAsia="宋体" w:cs="宋体"/>
          <w:color w:val="auto"/>
          <w:sz w:val="24"/>
          <w:szCs w:val="24"/>
          <w:u w:val="none"/>
          <w:lang w:val="en-US" w:eastAsia="zh-CN"/>
        </w:rPr>
        <w:t>的墙面</w:t>
      </w:r>
      <w:r>
        <w:rPr>
          <w:rFonts w:hint="eastAsia" w:ascii="宋体" w:hAnsi="宋体" w:cs="宋体"/>
          <w:color w:val="auto"/>
          <w:sz w:val="24"/>
          <w:szCs w:val="24"/>
          <w:u w:val="none"/>
          <w:lang w:val="en-US" w:eastAsia="zh-CN"/>
        </w:rPr>
        <w:t>。</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4</w:t>
      </w:r>
      <w:r>
        <w:rPr>
          <w:rFonts w:hint="eastAsia" w:ascii="宋体" w:hAnsi="宋体" w:cs="宋体"/>
          <w:color w:val="auto"/>
          <w:sz w:val="24"/>
          <w:szCs w:val="24"/>
          <w:u w:val="none"/>
          <w:lang w:val="en-US" w:eastAsia="zh-CN"/>
        </w:rPr>
        <w:t>、下列情况视作湿作业施工，不属干式工法施工：</w:t>
      </w:r>
    </w:p>
    <w:p>
      <w:pPr>
        <w:spacing w:line="600" w:lineRule="exact"/>
        <w:ind w:left="0" w:leftChars="0"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cs="宋体"/>
          <w:color w:val="auto"/>
          <w:sz w:val="24"/>
          <w:szCs w:val="24"/>
          <w:u w:val="none"/>
          <w:lang w:val="en-US" w:eastAsia="zh-CN"/>
        </w:rPr>
        <w:t>）基层墙体施工保温砂浆、保温腻子或保温涂料等浆体类保温材料（或采用粘结砂浆粘贴保温板）后再薄贴瓷砖；</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）基层墙体上施工防水层后再薄贴瓷砖；</w:t>
      </w:r>
    </w:p>
    <w:p>
      <w:pPr>
        <w:spacing w:line="600" w:lineRule="exact"/>
        <w:ind w:left="0" w:leftChars="0" w:firstLine="480" w:firstLineChars="200"/>
        <w:rPr>
          <w:rFonts w:hint="default"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cs="宋体"/>
          <w:color w:val="auto"/>
          <w:sz w:val="24"/>
          <w:szCs w:val="24"/>
          <w:u w:val="none"/>
          <w:lang w:val="en-US" w:eastAsia="zh-CN"/>
        </w:rPr>
        <w:t>）沉箱地面虽然采用薄贴瓷砖，但沉箱回填过程中存在湿作业（如浇注混凝土或泡沫混凝土、砂浆找平、砂浆防水、砂浆砌筑等）。</w:t>
      </w:r>
    </w:p>
    <w:p>
      <w:pPr>
        <w:pStyle w:val="32"/>
        <w:ind w:left="0" w:leftChars="0" w:firstLine="0" w:firstLineChars="0"/>
        <w:rPr>
          <w:rFonts w:hint="eastAsia" w:ascii="宋体" w:hAnsi="宋体" w:eastAsia="宋体" w:cs="宋体"/>
          <w:sz w:val="21"/>
          <w:szCs w:val="21"/>
          <w:u w:val="none"/>
          <w:lang w:val="en-US" w:eastAsia="zh-CN"/>
        </w:rPr>
      </w:pPr>
      <w:r>
        <w:rPr>
          <w:rFonts w:hint="default" w:ascii="Times New Roman" w:hAnsi="Times New Roman" w:eastAsia="Times New Roman" w:cs="Times New Roman"/>
          <w:b/>
          <w:bCs/>
          <w:i w:val="0"/>
          <w:iCs/>
          <w:sz w:val="28"/>
          <w:szCs w:val="28"/>
          <w:u w:val="none"/>
          <w:lang w:val="en-US" w:eastAsia="zh-CN"/>
        </w:rPr>
        <w:t>3</w:t>
      </w:r>
      <w:r>
        <w:rPr>
          <w:rFonts w:hint="default" w:ascii="Times New Roman" w:hAnsi="Times New Roman" w:eastAsia="宋体" w:cs="Times New Roman"/>
          <w:b/>
          <w:bCs/>
          <w:i w:val="0"/>
          <w:iCs/>
          <w:sz w:val="28"/>
          <w:szCs w:val="28"/>
          <w:u w:val="none"/>
          <w:lang w:val="en-US" w:eastAsia="zh-CN"/>
        </w:rPr>
        <w:t>.</w:t>
      </w:r>
      <w:r>
        <w:rPr>
          <w:rFonts w:hint="default" w:ascii="Times New Roman" w:hAnsi="Times New Roman" w:eastAsia="Times New Roman" w:cs="Times New Roman"/>
          <w:b/>
          <w:bCs/>
          <w:i w:val="0"/>
          <w:iCs/>
          <w:sz w:val="28"/>
          <w:szCs w:val="28"/>
          <w:u w:val="none"/>
          <w:lang w:val="en-US" w:eastAsia="zh-CN"/>
        </w:rPr>
        <w:t>5</w:t>
      </w:r>
      <w:r>
        <w:rPr>
          <w:rFonts w:hint="default" w:ascii="Times New Roman" w:hAnsi="Times New Roman" w:eastAsia="宋体" w:cs="Times New Roman"/>
          <w:b/>
          <w:bCs/>
          <w:i w:val="0"/>
          <w:iCs/>
          <w:sz w:val="28"/>
          <w:szCs w:val="28"/>
          <w:u w:val="none"/>
          <w:lang w:val="en-US" w:eastAsia="zh-CN"/>
        </w:rPr>
        <w:t xml:space="preserve">  </w:t>
      </w:r>
      <w:r>
        <w:rPr>
          <w:rFonts w:hint="eastAsia" w:ascii="宋体" w:hAnsi="宋体" w:eastAsia="宋体" w:cs="宋体"/>
          <w:b/>
          <w:bCs/>
          <w:i w:val="0"/>
          <w:iCs/>
          <w:sz w:val="28"/>
          <w:szCs w:val="28"/>
          <w:u w:val="none"/>
          <w:lang w:val="en-US" w:eastAsia="zh-CN"/>
        </w:rPr>
        <w:t>Q</w:t>
      </w:r>
      <w:r>
        <w:rPr>
          <w:rFonts w:hint="eastAsia" w:ascii="宋体" w:hAnsi="宋体" w:eastAsia="Times New Roman" w:cs="宋体"/>
          <w:b/>
          <w:bCs/>
          <w:i w:val="0"/>
          <w:iCs/>
          <w:sz w:val="28"/>
          <w:szCs w:val="28"/>
          <w:u w:val="none"/>
          <w:vertAlign w:val="subscript"/>
          <w:lang w:val="en-US" w:eastAsia="zh-CN"/>
        </w:rPr>
        <w:t>3</w:t>
      </w:r>
      <w:r>
        <w:rPr>
          <w:rFonts w:hint="eastAsia" w:ascii="宋体" w:hAnsi="宋体" w:eastAsia="宋体" w:cs="宋体"/>
          <w:b/>
          <w:bCs/>
          <w:i w:val="0"/>
          <w:iCs/>
          <w:sz w:val="28"/>
          <w:szCs w:val="28"/>
          <w:u w:val="none"/>
          <w:vertAlign w:val="subscript"/>
          <w:lang w:val="en-US" w:eastAsia="zh-CN"/>
        </w:rPr>
        <w:t>e</w:t>
      </w:r>
      <w:r>
        <w:rPr>
          <w:rFonts w:hint="eastAsia" w:ascii="宋体" w:hAnsi="宋体" w:eastAsia="宋体" w:cs="宋体"/>
          <w:b/>
          <w:bCs/>
          <w:i w:val="0"/>
          <w:iCs/>
          <w:sz w:val="28"/>
          <w:szCs w:val="28"/>
          <w:u w:val="none"/>
          <w:lang w:val="en-US" w:eastAsia="zh-CN"/>
        </w:rPr>
        <w:t>：管线分离</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Times New Roman" w:cs="宋体"/>
          <w:b w:val="0"/>
          <w:bCs w:val="0"/>
          <w:i w:val="0"/>
          <w:iCs/>
          <w:color w:val="auto"/>
          <w:sz w:val="21"/>
          <w:szCs w:val="21"/>
          <w:u w:val="none"/>
          <w:lang w:val="en-US" w:eastAsia="zh-CN"/>
        </w:rPr>
        <w:t>4</w:t>
      </w:r>
      <w:r>
        <w:rPr>
          <w:rFonts w:hint="eastAsia"/>
          <w:u w:val="none"/>
        </w:rPr>
        <w:t>~</w:t>
      </w:r>
      <w:r>
        <w:rPr>
          <w:rFonts w:hint="eastAsia" w:ascii="宋体" w:hAnsi="宋体" w:eastAsia="Times New Roman" w:cs="宋体"/>
          <w:b w:val="0"/>
          <w:bCs w:val="0"/>
          <w:i w:val="0"/>
          <w:iCs/>
          <w:color w:val="auto"/>
          <w:sz w:val="21"/>
          <w:szCs w:val="21"/>
          <w:u w:val="none"/>
          <w:lang w:val="en-US" w:eastAsia="zh-CN"/>
        </w:rPr>
        <w:t>6</w:t>
      </w:r>
      <w:r>
        <w:rPr>
          <w:rFonts w:hint="eastAsia" w:ascii="宋体" w:hAnsi="宋体" w:eastAsia="宋体" w:cs="宋体"/>
          <w:b w:val="0"/>
          <w:bCs w:val="0"/>
          <w:i w:val="0"/>
          <w:iCs/>
          <w:color w:val="auto"/>
          <w:sz w:val="21"/>
          <w:szCs w:val="21"/>
          <w:u w:val="none"/>
          <w:lang w:val="en-US" w:eastAsia="zh-CN"/>
        </w:rPr>
        <w:t>分，评价要求：</w:t>
      </w:r>
      <w:r>
        <w:rPr>
          <w:rFonts w:hint="eastAsia" w:ascii="宋体" w:hAnsi="宋体" w:eastAsia="Times New Roman" w:cs="宋体"/>
          <w:b w:val="0"/>
          <w:bCs w:val="0"/>
          <w:i w:val="0"/>
          <w:iCs/>
          <w:color w:val="auto"/>
          <w:sz w:val="21"/>
          <w:szCs w:val="21"/>
          <w:u w:val="none"/>
          <w:lang w:val="en-US" w:eastAsia="zh-CN"/>
        </w:rPr>
        <w:t>50</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70</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p>
    <w:p>
      <w:pPr>
        <w:pStyle w:val="34"/>
        <w:ind w:firstLine="0" w:firstLineChars="0"/>
        <w:rPr>
          <w:u w:val="none"/>
        </w:rPr>
      </w:pP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5</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cs="Times New Roman"/>
          <w:u w:val="none"/>
          <w:lang w:val="en-US" w:eastAsia="zh-CN"/>
        </w:rPr>
        <w:t xml:space="preserve"> </w:t>
      </w:r>
      <w:r>
        <w:rPr>
          <w:rFonts w:hint="eastAsia"/>
          <w:u w:val="none"/>
          <w:lang w:val="en-US" w:eastAsia="zh-CN"/>
        </w:rPr>
        <w:t xml:space="preserve"> </w:t>
      </w:r>
      <w:r>
        <w:rPr>
          <w:rFonts w:hint="eastAsia"/>
          <w:u w:val="none"/>
        </w:rPr>
        <w:t>管线分离比例应按下式计算：</w:t>
      </w:r>
    </w:p>
    <w:p>
      <w:pPr>
        <w:pStyle w:val="31"/>
        <w:rPr>
          <w:u w:val="none"/>
        </w:rPr>
      </w:pPr>
      <w:r>
        <w:rPr>
          <w:u w:val="none"/>
        </w:rPr>
        <w:tab/>
      </w:r>
      <w:r>
        <w:rPr>
          <w:position w:val="-26"/>
          <w:u w:val="none"/>
        </w:rPr>
        <w:object>
          <v:shape id="_x0000_i1034" o:spt="75" type="#_x0000_t75" style="height:35.05pt;width:97.0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u w:val="none"/>
        </w:rPr>
        <w:tab/>
      </w:r>
      <w:r>
        <w:rPr>
          <w:rFonts w:hint="eastAsia"/>
          <w:u w:val="none"/>
        </w:rPr>
        <w:t>（</w:t>
      </w:r>
      <w:r>
        <w:rPr>
          <w:rFonts w:hint="eastAsia" w:eastAsia="Times New Roman"/>
          <w:u w:val="none"/>
          <w:lang w:val="en-US" w:eastAsia="zh-CN"/>
        </w:rPr>
        <w:t>3</w:t>
      </w:r>
      <w:r>
        <w:rPr>
          <w:u w:val="none"/>
        </w:rPr>
        <w:t>.</w:t>
      </w:r>
      <w:r>
        <w:rPr>
          <w:rFonts w:hint="eastAsia" w:eastAsia="Times New Roman"/>
          <w:u w:val="none"/>
          <w:lang w:val="en-US" w:eastAsia="zh-CN"/>
        </w:rPr>
        <w:t>5</w:t>
      </w:r>
      <w:r>
        <w:rPr>
          <w:u w:val="none"/>
        </w:rPr>
        <w:t>.</w:t>
      </w:r>
      <w:r>
        <w:rPr>
          <w:rFonts w:hint="eastAsia" w:eastAsia="Times New Roman"/>
          <w:u w:val="none"/>
          <w:lang w:val="en-US" w:eastAsia="zh-CN"/>
        </w:rPr>
        <w:t>1</w:t>
      </w:r>
      <w:r>
        <w:rPr>
          <w:rFonts w:hint="eastAsia"/>
          <w:u w:val="none"/>
        </w:rPr>
        <w:t>）</w:t>
      </w:r>
    </w:p>
    <w:p>
      <w:pPr>
        <w:pStyle w:val="34"/>
        <w:rPr>
          <w:u w:val="none"/>
        </w:rPr>
      </w:pPr>
      <w:r>
        <w:rPr>
          <w:rFonts w:hint="eastAsia"/>
          <w:u w:val="none"/>
        </w:rPr>
        <w:t>式中：q</w:t>
      </w:r>
      <w:r>
        <w:rPr>
          <w:rFonts w:eastAsia="Times New Roman"/>
          <w:u w:val="none"/>
          <w:vertAlign w:val="subscript"/>
        </w:rPr>
        <w:t>3</w:t>
      </w:r>
      <w:r>
        <w:rPr>
          <w:u w:val="none"/>
          <w:vertAlign w:val="subscript"/>
        </w:rPr>
        <w:t>e</w:t>
      </w:r>
      <w:r>
        <w:rPr>
          <w:rFonts w:hint="eastAsia"/>
          <w:u w:val="none"/>
        </w:rPr>
        <w:t>——管线分离比例；</w:t>
      </w:r>
    </w:p>
    <w:p>
      <w:pPr>
        <w:pStyle w:val="40"/>
        <w:rPr>
          <w:u w:val="none"/>
        </w:rPr>
      </w:pPr>
      <w:r>
        <w:rPr>
          <w:u w:val="none"/>
        </w:rPr>
        <w:t>L</w:t>
      </w:r>
      <w:r>
        <w:rPr>
          <w:rFonts w:eastAsia="Times New Roman"/>
          <w:u w:val="none"/>
          <w:vertAlign w:val="subscript"/>
        </w:rPr>
        <w:t>3</w:t>
      </w:r>
      <w:r>
        <w:rPr>
          <w:u w:val="none"/>
          <w:vertAlign w:val="subscript"/>
        </w:rPr>
        <w:t>e</w:t>
      </w:r>
      <w:r>
        <w:rPr>
          <w:rFonts w:hint="eastAsia"/>
          <w:u w:val="none"/>
        </w:rPr>
        <w:t>——各楼层管线分离的长度，包括裸露于室内空间以及敷设在地面架空层、非承重墙体空腔内预置预埋和吊顶内的电气、给水排水和采暖管线长度之和；</w:t>
      </w:r>
    </w:p>
    <w:p>
      <w:pPr>
        <w:pStyle w:val="40"/>
        <w:ind w:left="0" w:leftChars="0" w:firstLine="840" w:firstLineChars="300"/>
        <w:rPr>
          <w:u w:val="none"/>
        </w:rPr>
      </w:pPr>
      <w:r>
        <w:rPr>
          <w:u w:val="none"/>
        </w:rPr>
        <w:t>L</w:t>
      </w:r>
      <w:r>
        <w:rPr>
          <w:rFonts w:hint="eastAsia"/>
          <w:u w:val="none"/>
        </w:rPr>
        <w:t>——各楼层电气、给水排水和采暖管线的总长度。</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、纳入管线分离比例计算的管线专业包括电气、智能化、给水排水和暖</w:t>
      </w:r>
      <w:r>
        <w:rPr>
          <w:rFonts w:hint="eastAsia" w:ascii="宋体" w:hAnsi="宋体" w:cs="宋体"/>
          <w:i w:val="0"/>
          <w:iCs/>
          <w:kern w:val="2"/>
          <w:sz w:val="24"/>
          <w:szCs w:val="24"/>
          <w:u w:val="none"/>
          <w:shd w:val="clear" w:color="auto" w:fill="FFFFFF"/>
          <w:lang w:val="en-US" w:eastAsia="zh-CN" w:bidi="ar-SA"/>
        </w:rPr>
        <w:t>通</w:t>
      </w:r>
      <w:r>
        <w:rPr>
          <w:rFonts w:hint="eastAsia" w:ascii="宋体" w:hAnsi="宋体" w:eastAsia="宋体" w:cs="宋体"/>
          <w:i w:val="0"/>
          <w:iCs/>
          <w:kern w:val="2"/>
          <w:sz w:val="24"/>
          <w:szCs w:val="24"/>
          <w:u w:val="none"/>
          <w:shd w:val="clear" w:color="auto" w:fill="FFFFFF"/>
          <w:lang w:val="en-US" w:eastAsia="zh-CN" w:bidi="ar-SA"/>
        </w:rPr>
        <w:t>等专业。</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2</w:t>
      </w:r>
      <w:r>
        <w:rPr>
          <w:rFonts w:hint="eastAsia" w:ascii="宋体" w:hAnsi="宋体" w:eastAsia="宋体" w:cs="宋体"/>
          <w:i w:val="0"/>
          <w:iCs/>
          <w:kern w:val="2"/>
          <w:sz w:val="24"/>
          <w:szCs w:val="24"/>
          <w:u w:val="none"/>
          <w:shd w:val="clear" w:color="auto" w:fill="FFFFFF"/>
          <w:lang w:val="en-US" w:eastAsia="zh-CN" w:bidi="ar-SA"/>
        </w:rPr>
        <w:t>、对于裸露于室内空间以及敷设在地面架空层、非承重墙体空腔和吊顶内的管线应认定为管线分离；而对于埋置在结构构件内部(不含横穿)或敷设在湿作业地面垫层内的管线应认定为管线未分离。</w:t>
      </w:r>
    </w:p>
    <w:p>
      <w:pPr>
        <w:spacing w:line="600" w:lineRule="exact"/>
        <w:ind w:firstLine="0" w:firstLineChars="0"/>
        <w:rPr>
          <w:rFonts w:hint="eastAsia" w:ascii="黑体" w:hAnsi="黑体" w:eastAsia="黑体" w:cs="黑体"/>
          <w:sz w:val="30"/>
          <w:szCs w:val="30"/>
          <w:u w:val="none"/>
          <w:lang w:val="en-US" w:eastAsia="zh-CN"/>
        </w:rPr>
      </w:pPr>
      <w:r>
        <w:rPr>
          <w:rFonts w:hint="default" w:ascii="Times New Roman" w:hAnsi="Times New Roman" w:eastAsia="Times New Roman" w:cs="Times New Roman"/>
          <w:b/>
          <w:bCs/>
          <w:sz w:val="30"/>
          <w:szCs w:val="30"/>
          <w:u w:val="none"/>
          <w:lang w:val="en-US" w:eastAsia="zh-CN"/>
        </w:rPr>
        <w:t>4</w:t>
      </w:r>
      <w:r>
        <w:rPr>
          <w:rFonts w:hint="eastAsia" w:ascii="宋体" w:hAnsi="宋体" w:eastAsia="宋体" w:cs="宋体"/>
          <w:b/>
          <w:bCs/>
          <w:sz w:val="30"/>
          <w:szCs w:val="30"/>
          <w:u w:val="none"/>
          <w:lang w:val="en-US" w:eastAsia="zh-CN"/>
        </w:rPr>
        <w:t xml:space="preserve"> </w:t>
      </w:r>
      <w:r>
        <w:rPr>
          <w:rFonts w:hint="eastAsia" w:ascii="宋体" w:hAnsi="宋体" w:cs="宋体"/>
          <w:b/>
          <w:bCs/>
          <w:sz w:val="30"/>
          <w:szCs w:val="30"/>
          <w:u w:val="none"/>
          <w:lang w:val="en-US" w:eastAsia="zh-CN"/>
        </w:rPr>
        <w:t xml:space="preserve"> </w:t>
      </w:r>
      <w:r>
        <w:rPr>
          <w:rFonts w:hint="eastAsia" w:ascii="宋体" w:hAnsi="宋体" w:eastAsia="宋体" w:cs="宋体"/>
          <w:b/>
          <w:bCs/>
          <w:sz w:val="30"/>
          <w:szCs w:val="30"/>
          <w:u w:val="none"/>
          <w:lang w:val="en-US" w:eastAsia="zh-CN"/>
        </w:rPr>
        <w:t>Q</w:t>
      </w:r>
      <w:r>
        <w:rPr>
          <w:rFonts w:hint="eastAsia" w:ascii="宋体" w:hAnsi="宋体" w:eastAsia="Times New Roman" w:cs="宋体"/>
          <w:b/>
          <w:bCs/>
          <w:sz w:val="30"/>
          <w:szCs w:val="30"/>
          <w:u w:val="none"/>
          <w:vertAlign w:val="subscript"/>
          <w:lang w:val="en-US" w:eastAsia="zh-CN"/>
        </w:rPr>
        <w:t>5</w:t>
      </w:r>
      <w:r>
        <w:rPr>
          <w:rFonts w:hint="eastAsia" w:ascii="宋体" w:hAnsi="宋体" w:eastAsia="宋体" w:cs="宋体"/>
          <w:b/>
          <w:bCs/>
          <w:sz w:val="28"/>
          <w:szCs w:val="28"/>
          <w:u w:val="none"/>
          <w:lang w:val="en-US" w:eastAsia="zh-CN"/>
        </w:rPr>
        <w:t>：</w:t>
      </w:r>
      <w:r>
        <w:rPr>
          <w:rFonts w:hint="eastAsia" w:ascii="宋体" w:hAnsi="宋体" w:eastAsia="宋体" w:cs="宋体"/>
          <w:b/>
          <w:bCs/>
          <w:sz w:val="30"/>
          <w:szCs w:val="30"/>
          <w:u w:val="none"/>
          <w:lang w:val="en-US" w:eastAsia="zh-CN"/>
        </w:rPr>
        <w:t>细化项</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22</w:t>
      </w:r>
      <w:r>
        <w:rPr>
          <w:rFonts w:hint="eastAsia" w:ascii="宋体" w:hAnsi="宋体" w:eastAsia="宋体" w:cs="宋体"/>
          <w:sz w:val="21"/>
          <w:szCs w:val="21"/>
          <w:u w:val="none"/>
          <w:lang w:val="en-US" w:eastAsia="zh-CN"/>
        </w:rPr>
        <w:t>分）</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52</w:t>
      </w:r>
      <w:r>
        <w:rPr>
          <w:rFonts w:hint="eastAsia" w:ascii="宋体" w:hAnsi="宋体" w:eastAsia="宋体" w:cs="宋体"/>
          <w:sz w:val="28"/>
          <w:szCs w:val="28"/>
          <w:lang w:val="en-US" w:eastAsia="zh-CN"/>
        </w:rPr>
        <w:t>不应与Q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vertAlign w:val="subscript"/>
          <w:lang w:val="en-US" w:eastAsia="zh-CN"/>
        </w:rPr>
        <w:t>b</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vertAlign w:val="subscript"/>
          <w:lang w:val="en-US" w:eastAsia="zh-CN"/>
        </w:rPr>
        <w:t>d</w:t>
      </w:r>
      <w:r>
        <w:rPr>
          <w:rFonts w:hint="eastAsia" w:ascii="宋体" w:hAnsi="宋体" w:eastAsia="宋体" w:cs="宋体"/>
          <w:sz w:val="28"/>
          <w:szCs w:val="28"/>
          <w:lang w:val="en-US" w:eastAsia="zh-CN"/>
        </w:rPr>
        <w:t>同时得分，Q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lang w:val="en-US" w:eastAsia="zh-CN"/>
        </w:rPr>
        <w:t>最低得分可包含Q</w:t>
      </w:r>
      <w:r>
        <w:rPr>
          <w:rFonts w:hint="eastAsia" w:ascii="宋体" w:hAnsi="宋体" w:eastAsia="Times New Roman" w:cs="宋体"/>
          <w:sz w:val="28"/>
          <w:szCs w:val="28"/>
          <w:vertAlign w:val="subscript"/>
          <w:lang w:val="en-US" w:eastAsia="zh-CN"/>
        </w:rPr>
        <w:t>52</w:t>
      </w:r>
      <w:r>
        <w:rPr>
          <w:rFonts w:hint="eastAsia" w:ascii="宋体" w:hAnsi="宋体" w:eastAsia="宋体" w:cs="宋体"/>
          <w:sz w:val="28"/>
          <w:szCs w:val="28"/>
          <w:lang w:val="en-US" w:eastAsia="zh-CN"/>
        </w:rPr>
        <w:t>得分；Q</w:t>
      </w:r>
      <w:r>
        <w:rPr>
          <w:rFonts w:hint="eastAsia" w:ascii="宋体" w:hAnsi="宋体" w:eastAsia="Times New Roman" w:cs="宋体"/>
          <w:sz w:val="28"/>
          <w:szCs w:val="28"/>
          <w:vertAlign w:val="subscript"/>
          <w:lang w:val="en-US" w:eastAsia="zh-CN"/>
        </w:rPr>
        <w:t>53</w:t>
      </w:r>
      <w:r>
        <w:rPr>
          <w:rFonts w:hint="eastAsia" w:ascii="宋体" w:hAnsi="宋体" w:eastAsia="宋体" w:cs="宋体"/>
          <w:sz w:val="28"/>
          <w:szCs w:val="28"/>
          <w:lang w:val="en-US" w:eastAsia="zh-CN"/>
        </w:rPr>
        <w:t>不应与Q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b</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c</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d</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e</w:t>
      </w:r>
      <w:r>
        <w:rPr>
          <w:rFonts w:hint="eastAsia" w:ascii="宋体" w:hAnsi="宋体" w:eastAsia="宋体" w:cs="宋体"/>
          <w:sz w:val="28"/>
          <w:szCs w:val="28"/>
          <w:lang w:val="en-US" w:eastAsia="zh-CN"/>
        </w:rPr>
        <w:t>同时得分。</w:t>
      </w:r>
    </w:p>
    <w:p>
      <w:pPr>
        <w:numPr>
          <w:ilvl w:val="0"/>
          <w:numId w:val="0"/>
        </w:numPr>
        <w:spacing w:line="600" w:lineRule="exact"/>
        <w:ind w:leftChars="0"/>
        <w:rPr>
          <w:rFonts w:hint="eastAsia"/>
          <w:sz w:val="24"/>
          <w:szCs w:val="24"/>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51</w:t>
      </w:r>
      <w:r>
        <w:rPr>
          <w:rFonts w:hint="eastAsia" w:ascii="宋体" w:hAnsi="宋体" w:eastAsia="宋体" w:cs="宋体"/>
          <w:b/>
          <w:bCs/>
          <w:sz w:val="28"/>
          <w:szCs w:val="28"/>
          <w:u w:val="none"/>
          <w:lang w:val="en-US" w:eastAsia="zh-CN"/>
        </w:rPr>
        <w:t>：主体结构竖向构件及预制外墙板</w:t>
      </w:r>
    </w:p>
    <w:p>
      <w:pPr>
        <w:numPr>
          <w:ilvl w:val="0"/>
          <w:numId w:val="0"/>
        </w:numPr>
        <w:spacing w:line="600" w:lineRule="exact"/>
        <w:ind w:leftChars="0" w:firstLine="560" w:firstLineChars="200"/>
        <w:rPr>
          <w:rFonts w:hint="eastAsia"/>
          <w:sz w:val="28"/>
          <w:szCs w:val="28"/>
          <w:u w:val="none"/>
          <w:lang w:val="en-US" w:eastAsia="zh-CN"/>
        </w:rPr>
      </w:pP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vertAlign w:val="subscript"/>
          <w:lang w:val="en-US" w:eastAsia="zh-CN"/>
        </w:rPr>
        <w:t>b</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合计得分如大于</w:t>
      </w:r>
      <w:r>
        <w:rPr>
          <w:rFonts w:hint="eastAsia" w:ascii="宋体" w:hAnsi="宋体" w:eastAsia="Times New Roman" w:cs="宋体"/>
          <w:sz w:val="28"/>
          <w:szCs w:val="28"/>
          <w:lang w:val="en-US" w:eastAsia="zh-CN"/>
        </w:rPr>
        <w:t>10</w:t>
      </w:r>
      <w:r>
        <w:rPr>
          <w:rFonts w:hint="eastAsia" w:ascii="宋体" w:hAnsi="宋体" w:eastAsia="宋体" w:cs="宋体"/>
          <w:sz w:val="28"/>
          <w:szCs w:val="28"/>
          <w:lang w:val="en-US" w:eastAsia="zh-CN"/>
        </w:rPr>
        <w:t>分，按</w:t>
      </w:r>
      <w:r>
        <w:rPr>
          <w:rFonts w:hint="eastAsia" w:ascii="宋体" w:hAnsi="宋体" w:eastAsia="Times New Roman" w:cs="宋体"/>
          <w:sz w:val="28"/>
          <w:szCs w:val="28"/>
          <w:lang w:val="en-US" w:eastAsia="zh-CN"/>
        </w:rPr>
        <w:t>10</w:t>
      </w:r>
      <w:r>
        <w:rPr>
          <w:rFonts w:hint="eastAsia" w:ascii="宋体" w:hAnsi="宋体" w:eastAsia="宋体" w:cs="宋体"/>
          <w:sz w:val="28"/>
          <w:szCs w:val="28"/>
          <w:lang w:val="en-US" w:eastAsia="zh-CN"/>
        </w:rPr>
        <w:t>分计算，Q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lang w:val="en-US" w:eastAsia="zh-CN"/>
        </w:rPr>
        <w:t>不应与Q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lang w:val="en-US" w:eastAsia="zh-CN"/>
        </w:rPr>
        <w:t>同时得分，Q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lang w:val="en-US" w:eastAsia="zh-CN"/>
        </w:rPr>
        <w:t>最低得分可包含Q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得分，Q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lang w:val="en-US" w:eastAsia="zh-CN"/>
        </w:rPr>
        <w:t>与Q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合计得分不应大于</w:t>
      </w:r>
      <w:r>
        <w:rPr>
          <w:rFonts w:hint="eastAsia" w:ascii="宋体" w:hAnsi="宋体" w:eastAsia="Times New Roman" w:cs="宋体"/>
          <w:sz w:val="28"/>
          <w:szCs w:val="28"/>
          <w:lang w:val="en-US" w:eastAsia="zh-CN"/>
        </w:rPr>
        <w:t>50</w:t>
      </w:r>
      <w:r>
        <w:rPr>
          <w:rFonts w:hint="eastAsia" w:ascii="宋体" w:hAnsi="宋体" w:eastAsia="宋体" w:cs="宋体"/>
          <w:sz w:val="28"/>
          <w:szCs w:val="28"/>
          <w:lang w:val="en-US" w:eastAsia="zh-CN"/>
        </w:rPr>
        <w:t>分</w:t>
      </w:r>
      <w:r>
        <w:rPr>
          <w:rFonts w:hint="eastAsia" w:ascii="宋体" w:hAnsi="宋体" w:cs="宋体"/>
          <w:sz w:val="28"/>
          <w:szCs w:val="28"/>
          <w:lang w:val="en-US" w:eastAsia="zh-CN"/>
        </w:rPr>
        <w:t>。</w:t>
      </w:r>
    </w:p>
    <w:p>
      <w:pPr>
        <w:pStyle w:val="34"/>
        <w:rPr>
          <w:rFonts w:hint="eastAsia"/>
          <w:u w:val="none"/>
          <w:lang w:val="en-US" w:eastAsia="zh-CN"/>
        </w:rPr>
      </w:pPr>
      <w:r>
        <w:rPr>
          <w:rFonts w:hint="default" w:ascii="Times New Roman" w:hAnsi="Times New Roman" w:eastAsia="Times New Roman" w:cs="Times New Roman"/>
          <w:b/>
          <w:bCs/>
          <w:u w:val="none"/>
          <w:lang w:val="en-US" w:eastAsia="zh-CN"/>
        </w:rPr>
        <w:t>4</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ascii="宋体" w:hAnsi="宋体" w:eastAsia="宋体" w:cs="宋体"/>
          <w:b/>
          <w:bCs/>
          <w:u w:val="none"/>
          <w:lang w:val="en-US" w:eastAsia="zh-CN"/>
        </w:rPr>
        <w:t xml:space="preserve">  Q</w:t>
      </w:r>
      <w:r>
        <w:rPr>
          <w:rFonts w:hint="eastAsia" w:ascii="宋体" w:hAnsi="宋体" w:eastAsia="Times New Roman" w:cs="宋体"/>
          <w:b/>
          <w:bCs/>
          <w:u w:val="none"/>
          <w:vertAlign w:val="subscript"/>
          <w:lang w:val="en-US" w:eastAsia="zh-CN"/>
        </w:rPr>
        <w:t>51</w:t>
      </w:r>
      <w:r>
        <w:rPr>
          <w:rFonts w:hint="eastAsia" w:ascii="宋体" w:hAnsi="宋体" w:eastAsia="宋体" w:cs="宋体"/>
          <w:b/>
          <w:bCs/>
          <w:u w:val="none"/>
          <w:vertAlign w:val="subscript"/>
          <w:lang w:val="en-US" w:eastAsia="zh-CN"/>
        </w:rPr>
        <w:t>a</w:t>
      </w:r>
      <w:r>
        <w:rPr>
          <w:rFonts w:hint="eastAsia" w:ascii="宋体" w:hAnsi="宋体" w:eastAsia="宋体" w:cs="宋体"/>
          <w:b/>
          <w:bCs/>
          <w:u w:val="none"/>
          <w:lang w:val="en-US" w:eastAsia="zh-CN"/>
        </w:rPr>
        <w:t>：主体结构竖向构件细化</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7</w:t>
      </w:r>
      <w:r>
        <w:rPr>
          <w:rFonts w:hint="eastAsia"/>
          <w:sz w:val="24"/>
          <w:szCs w:val="24"/>
          <w:u w:val="none"/>
          <w:lang w:val="en-US" w:eastAsia="zh-CN"/>
        </w:rPr>
        <w:t>~</w:t>
      </w:r>
      <w:r>
        <w:rPr>
          <w:rFonts w:hint="eastAsia" w:ascii="宋体" w:hAnsi="宋体" w:eastAsia="Times New Roman" w:cs="宋体"/>
          <w:sz w:val="21"/>
          <w:szCs w:val="21"/>
          <w:u w:val="none"/>
          <w:lang w:val="en-US" w:eastAsia="zh-CN"/>
        </w:rPr>
        <w:t>10</w:t>
      </w:r>
      <w:r>
        <w:rPr>
          <w:rFonts w:hint="eastAsia" w:ascii="宋体" w:hAnsi="宋体" w:eastAsia="宋体" w:cs="宋体"/>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35</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r>
        <w:rPr>
          <w:rFonts w:hint="eastAsia"/>
          <w:u w:val="none"/>
          <w:lang w:val="en-US" w:eastAsia="zh-CN"/>
        </w:rPr>
        <w:t>：</w:t>
      </w:r>
    </w:p>
    <w:p>
      <w:pPr>
        <w:pStyle w:val="34"/>
        <w:ind w:firstLine="560" w:firstLineChars="200"/>
        <w:rPr>
          <w:rFonts w:hint="default" w:eastAsia="宋体"/>
          <w:u w:val="none"/>
          <w:lang w:val="en-US" w:eastAsia="zh-CN"/>
        </w:rPr>
      </w:pPr>
      <w:r>
        <w:rPr>
          <w:rFonts w:hint="eastAsia"/>
          <w:u w:val="none"/>
          <w:lang w:val="en-US" w:eastAsia="zh-CN"/>
        </w:rPr>
        <w:t>主体结构竖向预制部品部件的应用比例按本评分规则</w:t>
      </w:r>
      <w:r>
        <w:rPr>
          <w:rFonts w:hint="eastAsia" w:eastAsia="Times New Roman"/>
          <w:u w:val="none"/>
          <w:lang w:val="en-US" w:eastAsia="zh-CN"/>
        </w:rPr>
        <w:t>1</w:t>
      </w:r>
      <w:r>
        <w:rPr>
          <w:rFonts w:hint="eastAsia"/>
          <w:u w:val="none"/>
          <w:lang w:val="en-US" w:eastAsia="zh-CN"/>
        </w:rPr>
        <w:t>.</w:t>
      </w:r>
      <w:r>
        <w:rPr>
          <w:rFonts w:hint="eastAsia" w:eastAsia="Times New Roman"/>
          <w:u w:val="none"/>
          <w:lang w:val="en-US" w:eastAsia="zh-CN"/>
        </w:rPr>
        <w:t>1</w:t>
      </w:r>
      <w:r>
        <w:rPr>
          <w:rFonts w:hint="eastAsia"/>
          <w:u w:val="none"/>
          <w:lang w:val="en-US" w:eastAsia="zh-CN"/>
        </w:rPr>
        <w:t>.</w:t>
      </w:r>
      <w:r>
        <w:rPr>
          <w:rFonts w:hint="eastAsia" w:eastAsia="Times New Roman"/>
          <w:u w:val="none"/>
          <w:lang w:val="en-US" w:eastAsia="zh-CN"/>
        </w:rPr>
        <w:t>1</w:t>
      </w:r>
      <w:r>
        <w:rPr>
          <w:rFonts w:hint="eastAsia"/>
          <w:u w:val="none"/>
          <w:lang w:val="en-US" w:eastAsia="zh-CN"/>
        </w:rPr>
        <w:t>条中公式计算。</w:t>
      </w:r>
    </w:p>
    <w:p>
      <w:pPr>
        <w:pStyle w:val="34"/>
        <w:ind w:firstLine="0" w:firstLineChars="0"/>
        <w:jc w:val="left"/>
        <w:rPr>
          <w:rFonts w:hint="eastAsia"/>
          <w:u w:val="none"/>
          <w:lang w:val="en-US" w:eastAsia="zh-CN"/>
        </w:rPr>
      </w:pPr>
      <w:r>
        <w:rPr>
          <w:rFonts w:hint="default" w:ascii="Times New Roman" w:hAnsi="Times New Roman" w:eastAsia="Times New Roman" w:cs="Times New Roman"/>
          <w:b/>
          <w:bCs/>
          <w:u w:val="none"/>
          <w:lang w:val="en-US" w:eastAsia="zh-CN"/>
        </w:rPr>
        <w:t>4</w:t>
      </w:r>
      <w:r>
        <w:rPr>
          <w:rFonts w:hint="default" w:ascii="Times New Roman" w:hAnsi="Times New Roman" w:eastAsia="宋体"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eastAsia="宋体"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eastAsia" w:ascii="宋体" w:hAnsi="宋体" w:cs="宋体"/>
          <w:b/>
          <w:bCs/>
          <w:u w:val="none"/>
          <w:lang w:val="en-US" w:eastAsia="zh-CN"/>
        </w:rPr>
        <w:t xml:space="preserve">  </w:t>
      </w:r>
      <w:r>
        <w:rPr>
          <w:rFonts w:hint="eastAsia" w:ascii="宋体" w:hAnsi="宋体" w:eastAsia="宋体" w:cs="宋体"/>
          <w:b/>
          <w:bCs/>
          <w:u w:val="none"/>
          <w:lang w:val="en-US" w:eastAsia="zh-CN"/>
        </w:rPr>
        <w:t>Q</w:t>
      </w:r>
      <w:r>
        <w:rPr>
          <w:rFonts w:hint="eastAsia" w:ascii="宋体" w:hAnsi="宋体" w:eastAsia="Times New Roman" w:cs="宋体"/>
          <w:b/>
          <w:bCs/>
          <w:u w:val="none"/>
          <w:vertAlign w:val="subscript"/>
          <w:lang w:val="en-US" w:eastAsia="zh-CN"/>
        </w:rPr>
        <w:t>51</w:t>
      </w:r>
      <w:r>
        <w:rPr>
          <w:rFonts w:hint="eastAsia" w:ascii="宋体" w:hAnsi="宋体" w:eastAsia="宋体" w:cs="宋体"/>
          <w:b/>
          <w:bCs/>
          <w:u w:val="none"/>
          <w:vertAlign w:val="subscript"/>
          <w:lang w:val="en-US" w:eastAsia="zh-CN"/>
        </w:rPr>
        <w:t>b</w:t>
      </w:r>
      <w:r>
        <w:rPr>
          <w:rFonts w:hint="eastAsia" w:ascii="宋体" w:hAnsi="宋体" w:eastAsia="宋体" w:cs="宋体"/>
          <w:b/>
          <w:bCs/>
          <w:u w:val="none"/>
          <w:lang w:val="en-US" w:eastAsia="zh-CN"/>
        </w:rPr>
        <w:t>：预制外墙板</w:t>
      </w:r>
      <w:r>
        <w:rPr>
          <w:rFonts w:hint="eastAsia"/>
          <w:sz w:val="21"/>
          <w:szCs w:val="21"/>
          <w:u w:val="none"/>
          <w:lang w:val="en-US" w:eastAsia="zh-CN"/>
        </w:rPr>
        <w:t>（</w:t>
      </w:r>
      <w:r>
        <w:rPr>
          <w:rFonts w:hint="eastAsia" w:eastAsia="Times New Roman"/>
          <w:sz w:val="21"/>
          <w:szCs w:val="21"/>
          <w:u w:val="none"/>
          <w:lang w:val="en-US" w:eastAsia="zh-CN"/>
        </w:rPr>
        <w:t>7</w:t>
      </w:r>
      <w:r>
        <w:rPr>
          <w:rFonts w:hint="eastAsia"/>
          <w:sz w:val="21"/>
          <w:szCs w:val="21"/>
          <w:u w:val="none"/>
          <w:lang w:val="en-US" w:eastAsia="zh-CN"/>
        </w:rPr>
        <w:t>~</w:t>
      </w:r>
      <w:r>
        <w:rPr>
          <w:rFonts w:hint="eastAsia" w:eastAsia="Times New Roman"/>
          <w:sz w:val="21"/>
          <w:szCs w:val="21"/>
          <w:u w:val="none"/>
          <w:lang w:val="en-US" w:eastAsia="zh-CN"/>
        </w:rPr>
        <w:t>10</w:t>
      </w:r>
      <w:r>
        <w:rPr>
          <w:rFonts w:hint="eastAsia"/>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15</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p>
    <w:p>
      <w:pPr>
        <w:pStyle w:val="34"/>
        <w:ind w:firstLine="560" w:firstLineChars="200"/>
        <w:rPr>
          <w:u w:val="none"/>
        </w:rPr>
      </w:pPr>
      <w:r>
        <w:rPr>
          <w:rFonts w:hint="eastAsia"/>
          <w:u w:val="none"/>
          <w:lang w:val="en-US" w:eastAsia="zh-CN"/>
        </w:rPr>
        <w:t>预制外</w:t>
      </w:r>
      <w:r>
        <w:rPr>
          <w:rFonts w:hint="eastAsia"/>
          <w:u w:val="none"/>
        </w:rPr>
        <w:t>墙板（含预制飘窗）主要采用混凝土材料时，预制部品部件的应用比例按下列公式计算：</w:t>
      </w:r>
    </w:p>
    <w:p>
      <w:pPr>
        <w:tabs>
          <w:tab w:val="center" w:pos="4540"/>
          <w:tab w:val="right" w:pos="9080"/>
        </w:tabs>
        <w:spacing w:line="360" w:lineRule="auto"/>
        <w:rPr>
          <w:sz w:val="28"/>
          <w:u w:val="none"/>
        </w:rPr>
      </w:pPr>
      <w:r>
        <w:rPr>
          <w:sz w:val="28"/>
          <w:u w:val="none"/>
        </w:rPr>
        <w:tab/>
      </w:r>
      <w:r>
        <w:rPr>
          <w:position w:val="-30"/>
          <w:sz w:val="28"/>
          <w:u w:val="none"/>
        </w:rPr>
        <w:object>
          <v:shape id="_x0000_i1056" o:spt="75" type="#_x0000_t75" style="height:42.5pt;width:163.3pt;" o:ole="t" filled="f" o:preferrelative="t" stroked="f" coordsize="21600,21600">
            <v:path/>
            <v:fill on="f" focussize="0,0"/>
            <v:stroke on="f"/>
            <v:imagedata r:id="rId36" o:title=""/>
            <o:lock v:ext="edit" aspectratio="t"/>
            <w10:wrap type="none"/>
            <w10:anchorlock/>
          </v:shape>
          <o:OLEObject Type="Embed" ProgID="Equation.KSEE3" ShapeID="_x0000_i1056" DrawAspect="Content" ObjectID="_1468075735" r:id="rId35">
            <o:LockedField>false</o:LockedField>
          </o:OLEObject>
        </w:object>
      </w:r>
      <w:r>
        <w:rPr>
          <w:sz w:val="28"/>
          <w:u w:val="none"/>
        </w:rPr>
        <w:tab/>
      </w:r>
      <w:r>
        <w:rPr>
          <w:rFonts w:hint="eastAsia"/>
          <w:sz w:val="28"/>
          <w:u w:val="none"/>
        </w:rPr>
        <w:t>（</w:t>
      </w:r>
      <w:r>
        <w:rPr>
          <w:rFonts w:hint="eastAsia" w:eastAsia="Times New Roman"/>
          <w:sz w:val="28"/>
          <w:u w:val="none"/>
          <w:lang w:val="en-US" w:eastAsia="zh-CN"/>
        </w:rPr>
        <w:t>4</w:t>
      </w:r>
      <w:r>
        <w:rPr>
          <w:sz w:val="28"/>
          <w:u w:val="none"/>
        </w:rPr>
        <w:t>.</w:t>
      </w:r>
      <w:r>
        <w:rPr>
          <w:rFonts w:hint="eastAsia" w:eastAsia="Times New Roman"/>
          <w:sz w:val="28"/>
          <w:u w:val="none"/>
          <w:lang w:val="en-US" w:eastAsia="zh-CN"/>
        </w:rPr>
        <w:t>1</w:t>
      </w:r>
      <w:r>
        <w:rPr>
          <w:sz w:val="28"/>
          <w:u w:val="none"/>
        </w:rPr>
        <w:t>.</w:t>
      </w:r>
      <w:r>
        <w:rPr>
          <w:rFonts w:hint="eastAsia" w:eastAsia="Times New Roman"/>
          <w:sz w:val="28"/>
          <w:u w:val="none"/>
          <w:lang w:val="en-US" w:eastAsia="zh-CN"/>
        </w:rPr>
        <w:t>2</w:t>
      </w:r>
      <w:r>
        <w:rPr>
          <w:rFonts w:hint="eastAsia"/>
          <w:sz w:val="28"/>
          <w:u w:val="none"/>
        </w:rPr>
        <w:t>）</w:t>
      </w:r>
    </w:p>
    <w:p>
      <w:pPr>
        <w:pStyle w:val="39"/>
        <w:rPr>
          <w:u w:val="none"/>
        </w:rPr>
      </w:pPr>
      <w:r>
        <w:rPr>
          <w:rFonts w:hint="eastAsia"/>
          <w:u w:val="none"/>
        </w:rPr>
        <w:t>式中：</w:t>
      </w:r>
      <w:r>
        <w:rPr>
          <w:i/>
          <w:iCs/>
          <w:u w:val="none"/>
          <w:vertAlign w:val="baseline"/>
        </w:rPr>
        <w:t>q</w:t>
      </w:r>
      <w:r>
        <w:rPr>
          <w:rFonts w:hint="eastAsia" w:ascii="宋体" w:hAnsi="宋体" w:eastAsia="Times New Roman" w:cs="宋体"/>
          <w:u w:val="none"/>
          <w:vertAlign w:val="subscript"/>
        </w:rPr>
        <w:t>51</w:t>
      </w:r>
      <w:r>
        <w:rPr>
          <w:rFonts w:hint="eastAsia" w:ascii="宋体" w:hAnsi="宋体" w:eastAsia="宋体" w:cs="宋体"/>
          <w:u w:val="none"/>
          <w:vertAlign w:val="subscript"/>
          <w:lang w:val="en-US" w:eastAsia="zh-CN"/>
        </w:rPr>
        <w:t>b</w:t>
      </w:r>
      <w:r>
        <w:rPr>
          <w:rFonts w:hint="eastAsia"/>
          <w:u w:val="none"/>
        </w:rPr>
        <w:t>——</w:t>
      </w:r>
      <w:r>
        <w:rPr>
          <w:rFonts w:hint="eastAsia"/>
          <w:u w:val="none"/>
          <w:lang w:val="en-US" w:eastAsia="zh-CN"/>
        </w:rPr>
        <w:t>预制</w:t>
      </w:r>
      <w:r>
        <w:rPr>
          <w:rFonts w:hint="eastAsia"/>
          <w:u w:val="none"/>
        </w:rPr>
        <w:t>外墙板</w:t>
      </w:r>
      <w:r>
        <w:rPr>
          <w:rFonts w:hint="eastAsia"/>
          <w:u w:val="none"/>
          <w:lang w:val="en-US" w:eastAsia="zh-CN"/>
        </w:rPr>
        <w:t>的应用比例；</w:t>
      </w:r>
    </w:p>
    <w:p>
      <w:pPr>
        <w:pStyle w:val="40"/>
        <w:rPr>
          <w:u w:val="none"/>
        </w:rPr>
      </w:pPr>
      <w:r>
        <w:rPr>
          <w:rFonts w:hint="eastAsia"/>
          <w:u w:val="none"/>
        </w:rPr>
        <w:t>V——柱、支撑、承重</w:t>
      </w:r>
      <w:r>
        <w:rPr>
          <w:rStyle w:val="28"/>
          <w:rFonts w:hint="eastAsia"/>
          <w:sz w:val="28"/>
          <w:szCs w:val="28"/>
        </w:rPr>
        <w:t>墙</w:t>
      </w:r>
      <w:r>
        <w:rPr>
          <w:rFonts w:hint="eastAsia"/>
          <w:u w:val="none"/>
        </w:rPr>
        <w:t>、延性墙板等主体结构竖向构件混凝土总体积。</w:t>
      </w:r>
    </w:p>
    <w:p>
      <w:pPr>
        <w:pStyle w:val="40"/>
        <w:rPr>
          <w:rFonts w:hint="eastAsia"/>
          <w:u w:val="none"/>
        </w:rPr>
      </w:pPr>
      <w:r>
        <w:rPr>
          <w:rFonts w:hint="eastAsia"/>
          <w:u w:val="none"/>
        </w:rPr>
        <w:t>V</w:t>
      </w:r>
      <w:r>
        <w:rPr>
          <w:u w:val="none"/>
          <w:vertAlign w:val="subscript"/>
        </w:rPr>
        <w:t>w</w:t>
      </w:r>
      <w:r>
        <w:rPr>
          <w:rFonts w:hint="eastAsia"/>
          <w:u w:val="none"/>
        </w:rPr>
        <w:t>——</w:t>
      </w:r>
      <w:r>
        <w:rPr>
          <w:rFonts w:hint="eastAsia"/>
          <w:u w:val="none"/>
          <w:lang w:val="en-US" w:eastAsia="zh-CN"/>
        </w:rPr>
        <w:t>预制外</w:t>
      </w:r>
      <w:r>
        <w:rPr>
          <w:rFonts w:hint="eastAsia"/>
          <w:u w:val="none"/>
        </w:rPr>
        <w:t>墙板（含预制飘窗）预制混凝土体积之和。</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eastAsia="宋体" w:cs="宋体"/>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52</w:t>
      </w:r>
      <w:r>
        <w:rPr>
          <w:rFonts w:hint="eastAsia" w:ascii="宋体" w:hAnsi="宋体" w:eastAsia="宋体" w:cs="宋体"/>
          <w:b/>
          <w:bCs/>
          <w:sz w:val="28"/>
          <w:szCs w:val="28"/>
          <w:u w:val="none"/>
          <w:lang w:val="en-US" w:eastAsia="zh-CN"/>
        </w:rPr>
        <w:t>：围护墙和内隔墙细化项</w:t>
      </w: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52</w:t>
      </w: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52</w:t>
      </w:r>
      <w:r>
        <w:rPr>
          <w:rFonts w:hint="eastAsia" w:ascii="宋体" w:hAnsi="宋体" w:eastAsia="宋体" w:cs="宋体"/>
          <w:sz w:val="28"/>
          <w:szCs w:val="28"/>
          <w:u w:val="none"/>
          <w:vertAlign w:val="subscript"/>
          <w:lang w:val="en-US" w:eastAsia="zh-CN"/>
        </w:rPr>
        <w:t>a</w:t>
      </w: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52</w:t>
      </w:r>
      <w:r>
        <w:rPr>
          <w:rFonts w:hint="eastAsia" w:ascii="宋体" w:hAnsi="宋体" w:eastAsia="宋体" w:cs="宋体"/>
          <w:sz w:val="28"/>
          <w:szCs w:val="28"/>
          <w:u w:val="none"/>
          <w:vertAlign w:val="subscript"/>
          <w:lang w:val="en-US" w:eastAsia="zh-CN"/>
        </w:rPr>
        <w:t>b</w:t>
      </w:r>
      <w:r>
        <w:rPr>
          <w:rFonts w:hint="eastAsia" w:ascii="宋体" w:hAnsi="宋体" w:eastAsia="宋体" w:cs="宋体"/>
          <w:sz w:val="28"/>
          <w:szCs w:val="28"/>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52</w:t>
      </w:r>
      <w:r>
        <w:rPr>
          <w:rFonts w:hint="eastAsia" w:ascii="宋体" w:hAnsi="宋体" w:eastAsia="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：围护墙与保温、隔热集成一体化</w:t>
      </w:r>
      <w:r>
        <w:rPr>
          <w:rFonts w:hint="eastAsia"/>
          <w:sz w:val="21"/>
          <w:szCs w:val="21"/>
          <w:u w:val="none"/>
          <w:lang w:val="en-US" w:eastAsia="zh-CN"/>
        </w:rPr>
        <w:t>（</w:t>
      </w:r>
      <w:r>
        <w:rPr>
          <w:rFonts w:hint="eastAsia" w:eastAsia="Times New Roman"/>
          <w:sz w:val="21"/>
          <w:szCs w:val="21"/>
          <w:u w:val="none"/>
          <w:lang w:val="en-US" w:eastAsia="zh-CN"/>
        </w:rPr>
        <w:t>1</w:t>
      </w:r>
      <w:r>
        <w:rPr>
          <w:rFonts w:hint="eastAsia"/>
          <w:sz w:val="21"/>
          <w:szCs w:val="21"/>
          <w:u w:val="none"/>
          <w:lang w:val="en-US" w:eastAsia="zh-CN"/>
        </w:rPr>
        <w:t>~</w:t>
      </w:r>
      <w:r>
        <w:rPr>
          <w:rFonts w:hint="eastAsia" w:eastAsia="Times New Roman"/>
          <w:sz w:val="21"/>
          <w:szCs w:val="21"/>
          <w:u w:val="none"/>
          <w:lang w:val="en-US" w:eastAsia="zh-CN"/>
        </w:rPr>
        <w:t>2</w:t>
      </w:r>
      <w:r>
        <w:rPr>
          <w:rFonts w:hint="eastAsia"/>
          <w:sz w:val="21"/>
          <w:szCs w:val="21"/>
          <w:u w:val="none"/>
          <w:lang w:val="en-US" w:eastAsia="zh-CN"/>
        </w:rPr>
        <w:t>.</w:t>
      </w:r>
      <w:r>
        <w:rPr>
          <w:rFonts w:hint="eastAsia" w:eastAsia="Times New Roman"/>
          <w:sz w:val="21"/>
          <w:szCs w:val="21"/>
          <w:u w:val="none"/>
          <w:lang w:val="en-US" w:eastAsia="zh-CN"/>
        </w:rPr>
        <w:t>5</w:t>
      </w:r>
      <w:r>
        <w:rPr>
          <w:rFonts w:hint="eastAsia"/>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50</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80</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p>
    <w:p>
      <w:pPr>
        <w:pStyle w:val="34"/>
        <w:ind w:firstLine="560" w:firstLineChars="200"/>
        <w:rPr>
          <w:rFonts w:hint="eastAsia" w:ascii="宋体" w:hAnsi="宋体" w:eastAsia="宋体" w:cs="宋体"/>
          <w:b/>
          <w:bCs/>
          <w:u w:val="none"/>
          <w:lang w:val="en-US" w:eastAsia="zh-CN"/>
        </w:rPr>
      </w:pPr>
      <w:r>
        <w:rPr>
          <w:rFonts w:hint="eastAsia"/>
          <w:u w:val="none"/>
        </w:rPr>
        <w:t>围护墙与保温、隔热、（附框）集成一体化的应用比例应按下式计算：</w:t>
      </w:r>
      <w:r>
        <w:rPr>
          <w:u w:val="none"/>
        </w:rPr>
        <w:tab/>
      </w:r>
    </w:p>
    <w:p>
      <w:pPr>
        <w:pStyle w:val="31"/>
        <w:jc w:val="right"/>
        <w:rPr>
          <w:u w:val="none"/>
        </w:rPr>
      </w:pPr>
      <w:r>
        <w:rPr>
          <w:position w:val="-30"/>
          <w:u w:val="none"/>
        </w:rPr>
        <w:object>
          <v:shape id="_x0000_i1044" o:spt="75" type="#_x0000_t75" style="height:38.4pt;width:103.8pt;" o:ole="t" filled="f" o:preferrelative="t" stroked="f" coordsize="21600,21600">
            <v:path/>
            <v:fill on="f" focussize="0,0"/>
            <v:stroke on="f"/>
            <v:imagedata r:id="rId38" o:title=""/>
            <o:lock v:ext="edit" aspectratio="t"/>
            <w10:wrap type="none"/>
            <w10:anchorlock/>
          </v:shape>
          <o:OLEObject Type="Embed" ProgID="Equation.KSEE3" ShapeID="_x0000_i1044" DrawAspect="Content" ObjectID="_1468075736" r:id="rId37">
            <o:LockedField>false</o:LockedField>
          </o:OLEObject>
        </w:object>
      </w:r>
      <w:r>
        <w:rPr>
          <w:u w:val="none"/>
        </w:rPr>
        <w:tab/>
      </w:r>
      <w:r>
        <w:rPr>
          <w:rFonts w:hint="eastAsia"/>
          <w:u w:val="none"/>
        </w:rPr>
        <w:t>（</w:t>
      </w:r>
      <w:r>
        <w:rPr>
          <w:rFonts w:hint="eastAsia" w:eastAsia="Times New Roman"/>
          <w:u w:val="none"/>
          <w:lang w:val="en-US" w:eastAsia="zh-CN"/>
        </w:rPr>
        <w:t>4</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jc w:val="both"/>
        <w:rPr>
          <w:u w:val="none"/>
        </w:rPr>
      </w:pPr>
      <w:r>
        <w:rPr>
          <w:rFonts w:hint="eastAsia"/>
          <w:u w:val="none"/>
        </w:rPr>
        <w:t>式中：q</w:t>
      </w:r>
      <w:r>
        <w:rPr>
          <w:rFonts w:eastAsia="Times New Roman"/>
          <w:u w:val="none"/>
          <w:vertAlign w:val="subscript"/>
        </w:rPr>
        <w:t>52</w:t>
      </w:r>
      <w:r>
        <w:rPr>
          <w:rFonts w:hint="eastAsia"/>
          <w:u w:val="none"/>
          <w:vertAlign w:val="subscript"/>
          <w:lang w:val="en-US" w:eastAsia="zh-CN"/>
        </w:rPr>
        <w:t>a</w:t>
      </w:r>
      <w:r>
        <w:rPr>
          <w:rFonts w:hint="eastAsia"/>
          <w:u w:val="none"/>
        </w:rPr>
        <w:t>——围护墙采用墙体、保温、隔热一体化的应用比例</w:t>
      </w:r>
      <w:r>
        <w:rPr>
          <w:rFonts w:hint="eastAsia"/>
          <w:u w:val="none"/>
          <w:lang w:eastAsia="zh-CN"/>
        </w:rPr>
        <w:t>；</w:t>
      </w:r>
    </w:p>
    <w:p>
      <w:pPr>
        <w:pStyle w:val="40"/>
        <w:rPr>
          <w:rFonts w:hint="eastAsia"/>
          <w:u w:val="none"/>
        </w:rPr>
      </w:pPr>
      <w:r>
        <w:rPr>
          <w:rFonts w:hint="eastAsia"/>
          <w:u w:val="none"/>
        </w:rPr>
        <w:t>A</w:t>
      </w:r>
      <w:r>
        <w:rPr>
          <w:rFonts w:eastAsia="Times New Roman"/>
          <w:u w:val="none"/>
          <w:vertAlign w:val="subscript"/>
        </w:rPr>
        <w:t>52</w:t>
      </w:r>
      <w:r>
        <w:rPr>
          <w:rFonts w:hint="eastAsia"/>
          <w:u w:val="none"/>
          <w:vertAlign w:val="subscript"/>
          <w:lang w:val="en-US" w:eastAsia="zh-CN"/>
        </w:rPr>
        <w:t>a</w:t>
      </w:r>
      <w:r>
        <w:rPr>
          <w:rFonts w:hint="eastAsia"/>
          <w:u w:val="none"/>
        </w:rPr>
        <w:t>——各楼层围护墙采用墙体、保温、隔热一体化墙面外表面积之和，计算时可不扣除门、窗及预留洞口等的面积</w:t>
      </w:r>
      <w:r>
        <w:rPr>
          <w:rFonts w:hint="eastAsia"/>
          <w:u w:val="none"/>
          <w:lang w:eastAsia="zh-CN"/>
        </w:rPr>
        <w:t>，</w:t>
      </w:r>
      <w:r>
        <w:rPr>
          <w:rFonts w:hint="eastAsia"/>
          <w:u w:val="none"/>
          <w:lang w:val="en-US" w:eastAsia="zh-CN"/>
        </w:rPr>
        <w:t>可扣除承重竖向构件的面积</w:t>
      </w:r>
      <w:r>
        <w:rPr>
          <w:rFonts w:hint="eastAsia"/>
          <w:u w:val="none"/>
        </w:rPr>
        <w:t>；</w:t>
      </w:r>
    </w:p>
    <w:p>
      <w:pPr>
        <w:spacing w:line="600" w:lineRule="exact"/>
        <w:ind w:left="1960" w:hanging="1960" w:hangingChars="700"/>
        <w:jc w:val="left"/>
        <w:rPr>
          <w:rFonts w:hint="default"/>
          <w:sz w:val="28"/>
          <w:szCs w:val="28"/>
          <w:u w:val="none"/>
          <w:lang w:val="en-US" w:eastAsia="zh-CN"/>
        </w:rPr>
      </w:pPr>
      <w:r>
        <w:rPr>
          <w:rFonts w:hint="eastAsia"/>
          <w:sz w:val="28"/>
          <w:szCs w:val="28"/>
          <w:u w:val="none"/>
          <w:lang w:val="en-US" w:eastAsia="zh-CN"/>
        </w:rPr>
        <w:t xml:space="preserve">      </w:t>
      </w:r>
      <w:r>
        <w:rPr>
          <w:rFonts w:hint="eastAsia"/>
          <w:sz w:val="28"/>
          <w:szCs w:val="28"/>
          <w:u w:val="none"/>
        </w:rPr>
        <w:t>A</w:t>
      </w:r>
      <w:r>
        <w:rPr>
          <w:rFonts w:hint="eastAsia"/>
          <w:sz w:val="28"/>
          <w:szCs w:val="28"/>
          <w:u w:val="none"/>
          <w:vertAlign w:val="subscript"/>
        </w:rPr>
        <w:t>w</w:t>
      </w:r>
      <w:r>
        <w:rPr>
          <w:rFonts w:hint="eastAsia" w:eastAsia="Times New Roman"/>
          <w:sz w:val="28"/>
          <w:szCs w:val="28"/>
          <w:u w:val="none"/>
          <w:vertAlign w:val="subscript"/>
        </w:rPr>
        <w:t>2</w:t>
      </w:r>
      <w:r>
        <w:rPr>
          <w:rFonts w:hint="eastAsia"/>
          <w:sz w:val="28"/>
          <w:szCs w:val="28"/>
          <w:u w:val="none"/>
        </w:rPr>
        <w:t>——各楼层外围护墙外表总面积，计算时可不扣除门、窗及预留洞口等的面积，可扣除承重竖向构件的面积。</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w:t>
      </w:r>
    </w:p>
    <w:p>
      <w:pPr>
        <w:pStyle w:val="32"/>
        <w:numPr>
          <w:ilvl w:val="0"/>
          <w:numId w:val="0"/>
        </w:numPr>
        <w:ind w:left="0" w:leftChars="0" w:firstLine="420" w:firstLineChars="175"/>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围护墙采用墙体、保温、隔热一体化强调的是“集成性”，通过集成，满足结构、保温、隔热要求。同时还强调了从设计阶段需进行一体化集成设计，实现多功能一体的“围护墙系统”。一体化的集成过程应采用干式作业方式，既可以在工厂完成一体化的集成，也可以在现场应用干式作业进行集成。当承重围护墙采用一体化时，则分子和分母均考虑承重竖向构件的面积。</w:t>
      </w:r>
    </w:p>
    <w:p>
      <w:pPr>
        <w:pStyle w:val="32"/>
        <w:numPr>
          <w:ilvl w:val="0"/>
          <w:numId w:val="0"/>
        </w:numPr>
        <w:ind w:left="420" w:leftChars="0" w:firstLine="0" w:firstLineChars="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宋体" w:cs="宋体"/>
          <w:i w:val="0"/>
          <w:iCs/>
          <w:color w:val="auto"/>
          <w:kern w:val="2"/>
          <w:sz w:val="24"/>
          <w:szCs w:val="24"/>
          <w:u w:val="none"/>
          <w:shd w:val="clear" w:color="auto" w:fill="FFFFFF"/>
          <w:lang w:val="en-US" w:eastAsia="zh-CN" w:bidi="ar-SA"/>
        </w:rPr>
        <w:t>典型的采用墙体、保温、隔热一体化的围护墙如下：</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）预制PC夹心保温外墙；</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eastAsia="宋体" w:cs="宋体"/>
          <w:i w:val="0"/>
          <w:iCs/>
          <w:color w:val="auto"/>
          <w:kern w:val="2"/>
          <w:sz w:val="24"/>
          <w:szCs w:val="24"/>
          <w:u w:val="none"/>
          <w:shd w:val="clear" w:color="auto" w:fill="FFFFFF"/>
          <w:lang w:val="en-US" w:eastAsia="zh-CN" w:bidi="ar-SA"/>
        </w:rPr>
        <w:t>）围护墙</w:t>
      </w:r>
      <w:r>
        <w:rPr>
          <w:rFonts w:hint="eastAsia" w:ascii="宋体" w:hAnsi="宋体" w:cs="宋体"/>
          <w:i w:val="0"/>
          <w:iCs/>
          <w:color w:val="auto"/>
          <w:kern w:val="2"/>
          <w:sz w:val="24"/>
          <w:szCs w:val="24"/>
          <w:u w:val="none"/>
          <w:shd w:val="clear" w:color="auto" w:fill="FFFFFF"/>
          <w:lang w:val="en-US" w:eastAsia="zh-CN" w:bidi="ar-SA"/>
        </w:rPr>
        <w:t>采用</w:t>
      </w:r>
      <w:r>
        <w:rPr>
          <w:rFonts w:hint="eastAsia" w:ascii="宋体" w:hAnsi="宋体" w:eastAsia="宋体" w:cs="宋体"/>
          <w:i w:val="0"/>
          <w:iCs/>
          <w:color w:val="auto"/>
          <w:kern w:val="2"/>
          <w:sz w:val="24"/>
          <w:szCs w:val="24"/>
          <w:u w:val="none"/>
          <w:shd w:val="clear" w:color="auto" w:fill="FFFFFF"/>
          <w:lang w:val="en-US" w:eastAsia="zh-CN" w:bidi="ar-SA"/>
        </w:rPr>
        <w:t>现浇混凝土模板内置保温</w:t>
      </w:r>
      <w:r>
        <w:rPr>
          <w:rFonts w:hint="eastAsia" w:ascii="宋体" w:hAnsi="宋体" w:cs="宋体"/>
          <w:i w:val="0"/>
          <w:iCs/>
          <w:color w:val="auto"/>
          <w:kern w:val="2"/>
          <w:sz w:val="24"/>
          <w:szCs w:val="24"/>
          <w:u w:val="none"/>
          <w:shd w:val="clear" w:color="auto" w:fill="FFFFFF"/>
          <w:lang w:val="en-US" w:eastAsia="zh-CN" w:bidi="ar-SA"/>
        </w:rPr>
        <w:t>板做法</w:t>
      </w:r>
      <w:r>
        <w:rPr>
          <w:rFonts w:hint="eastAsia" w:ascii="宋体" w:hAnsi="宋体" w:eastAsia="宋体" w:cs="宋体"/>
          <w:i w:val="0"/>
          <w:iCs/>
          <w:color w:val="auto"/>
          <w:kern w:val="2"/>
          <w:sz w:val="24"/>
          <w:szCs w:val="24"/>
          <w:u w:val="none"/>
          <w:shd w:val="clear" w:color="auto" w:fill="FFFFFF"/>
          <w:lang w:val="en-US" w:eastAsia="zh-CN" w:bidi="ar-SA"/>
        </w:rPr>
        <w:t>；</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）薄浆干砌</w:t>
      </w:r>
      <w:r>
        <w:rPr>
          <w:rFonts w:hint="eastAsia" w:ascii="宋体" w:hAnsi="宋体" w:cs="宋体"/>
          <w:i w:val="0"/>
          <w:iCs/>
          <w:color w:val="auto"/>
          <w:kern w:val="2"/>
          <w:sz w:val="24"/>
          <w:szCs w:val="24"/>
          <w:u w:val="none"/>
          <w:shd w:val="clear" w:color="auto" w:fill="FFFFFF"/>
          <w:lang w:val="en-US" w:eastAsia="zh-CN" w:bidi="ar-SA"/>
        </w:rPr>
        <w:t>外</w:t>
      </w:r>
      <w:r>
        <w:rPr>
          <w:rFonts w:hint="eastAsia" w:ascii="宋体" w:hAnsi="宋体" w:eastAsia="宋体" w:cs="宋体"/>
          <w:i w:val="0"/>
          <w:iCs/>
          <w:color w:val="auto"/>
          <w:kern w:val="2"/>
          <w:sz w:val="24"/>
          <w:szCs w:val="24"/>
          <w:u w:val="none"/>
          <w:shd w:val="clear" w:color="auto" w:fill="FFFFFF"/>
          <w:lang w:val="en-US" w:eastAsia="zh-CN" w:bidi="ar-SA"/>
        </w:rPr>
        <w:t>墙体且墙与结构构件间的连接采用墩头冲孔板（要求见DBJ</w:t>
      </w:r>
      <w:r>
        <w:rPr>
          <w:rFonts w:hint="eastAsia" w:ascii="宋体" w:hAnsi="宋体" w:cs="宋体"/>
          <w:i w:val="0"/>
          <w:iCs/>
          <w:color w:val="auto"/>
          <w:kern w:val="2"/>
          <w:sz w:val="24"/>
          <w:szCs w:val="24"/>
          <w:u w:val="none"/>
          <w:shd w:val="clear" w:color="auto" w:fill="FFFFFF"/>
          <w:lang w:val="en-US" w:eastAsia="zh-CN" w:bidi="ar-SA"/>
        </w:rPr>
        <w:t>/T</w:t>
      </w:r>
      <w:r>
        <w:rPr>
          <w:rFonts w:hint="eastAsia" w:ascii="宋体" w:hAnsi="宋体" w:eastAsia="宋体" w:cs="宋体"/>
          <w:i w:val="0"/>
          <w:iCs/>
          <w:color w:val="auto"/>
          <w:kern w:val="2"/>
          <w:sz w:val="24"/>
          <w:szCs w:val="24"/>
          <w:u w:val="none"/>
          <w:shd w:val="clear" w:color="auto" w:fill="FFFFFF"/>
          <w:lang w:val="en-US" w:eastAsia="zh-CN" w:bidi="ar-SA"/>
        </w:rPr>
        <w:t xml:space="preserve"> </w:t>
      </w:r>
      <w:r>
        <w:rPr>
          <w:rFonts w:hint="eastAsia" w:ascii="宋体" w:hAnsi="宋体" w:eastAsia="Times New Roman" w:cs="宋体"/>
          <w:i w:val="0"/>
          <w:iCs/>
          <w:color w:val="auto"/>
          <w:kern w:val="2"/>
          <w:sz w:val="24"/>
          <w:szCs w:val="24"/>
          <w:u w:val="none"/>
          <w:shd w:val="clear" w:color="auto" w:fill="FFFFFF"/>
          <w:lang w:val="en-US" w:eastAsia="zh-CN" w:bidi="ar-SA"/>
        </w:rPr>
        <w:t>15</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179</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2020</w:t>
      </w:r>
      <w:r>
        <w:rPr>
          <w:rFonts w:hint="eastAsia" w:ascii="宋体" w:hAnsi="宋体" w:eastAsia="宋体" w:cs="宋体"/>
          <w:i w:val="0"/>
          <w:iCs/>
          <w:color w:val="auto"/>
          <w:kern w:val="2"/>
          <w:sz w:val="24"/>
          <w:szCs w:val="24"/>
          <w:u w:val="none"/>
          <w:shd w:val="clear" w:color="auto" w:fill="FFFFFF"/>
          <w:lang w:val="en-US" w:eastAsia="zh-CN" w:bidi="ar-SA"/>
        </w:rPr>
        <w:t>）。</w:t>
      </w:r>
    </w:p>
    <w:p>
      <w:pPr>
        <w:spacing w:line="600" w:lineRule="exact"/>
        <w:ind w:firstLine="0" w:firstLineChars="0"/>
        <w:rPr>
          <w:rFonts w:hint="eastAsia" w:ascii="宋体" w:hAnsi="宋体" w:cs="宋体"/>
          <w:b w:val="0"/>
          <w:bCs w:val="0"/>
          <w:i w:val="0"/>
          <w:iCs/>
          <w:color w:val="auto"/>
          <w:sz w:val="21"/>
          <w:szCs w:val="21"/>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52</w:t>
      </w:r>
      <w:r>
        <w:rPr>
          <w:rFonts w:hint="eastAsia" w:ascii="宋体" w:hAnsi="宋体" w:eastAsia="宋体" w:cs="宋体"/>
          <w:b/>
          <w:bCs/>
          <w:sz w:val="28"/>
          <w:szCs w:val="28"/>
          <w:u w:val="none"/>
          <w:vertAlign w:val="subscript"/>
          <w:lang w:val="en-US" w:eastAsia="zh-CN"/>
        </w:rPr>
        <w:t>b</w:t>
      </w:r>
      <w:r>
        <w:rPr>
          <w:rFonts w:hint="eastAsia" w:ascii="宋体" w:hAnsi="宋体" w:eastAsia="宋体" w:cs="宋体"/>
          <w:b/>
          <w:bCs/>
          <w:sz w:val="28"/>
          <w:szCs w:val="28"/>
          <w:u w:val="none"/>
          <w:lang w:val="en-US" w:eastAsia="zh-CN"/>
        </w:rPr>
        <w:t>：</w:t>
      </w:r>
      <w:r>
        <w:rPr>
          <w:rFonts w:hint="eastAsia" w:ascii="宋体" w:hAnsi="宋体" w:eastAsia="宋体" w:cs="宋体"/>
          <w:b/>
          <w:bCs/>
          <w:sz w:val="28"/>
          <w:szCs w:val="28"/>
          <w:u w:val="none"/>
        </w:rPr>
        <w:t>内隔墙与管线集成一体化</w:t>
      </w:r>
      <w:r>
        <w:rPr>
          <w:rFonts w:hint="eastAsia"/>
          <w:sz w:val="21"/>
          <w:szCs w:val="21"/>
          <w:u w:val="none"/>
          <w:lang w:val="en-US" w:eastAsia="zh-CN"/>
        </w:rPr>
        <w:t>（</w:t>
      </w:r>
      <w:r>
        <w:rPr>
          <w:rFonts w:hint="eastAsia" w:eastAsia="Times New Roman"/>
          <w:sz w:val="21"/>
          <w:szCs w:val="21"/>
          <w:u w:val="none"/>
          <w:lang w:val="en-US" w:eastAsia="zh-CN"/>
        </w:rPr>
        <w:t>1</w:t>
      </w:r>
      <w:r>
        <w:rPr>
          <w:rFonts w:hint="eastAsia"/>
          <w:sz w:val="21"/>
          <w:szCs w:val="21"/>
          <w:u w:val="none"/>
          <w:lang w:val="en-US" w:eastAsia="zh-CN"/>
        </w:rPr>
        <w:t>~</w:t>
      </w:r>
      <w:r>
        <w:rPr>
          <w:rFonts w:hint="eastAsia" w:eastAsia="Times New Roman"/>
          <w:sz w:val="21"/>
          <w:szCs w:val="21"/>
          <w:u w:val="none"/>
          <w:lang w:val="en-US" w:eastAsia="zh-CN"/>
        </w:rPr>
        <w:t>2</w:t>
      </w:r>
      <w:r>
        <w:rPr>
          <w:rFonts w:hint="eastAsia"/>
          <w:sz w:val="21"/>
          <w:szCs w:val="21"/>
          <w:u w:val="none"/>
          <w:lang w:val="en-US" w:eastAsia="zh-CN"/>
        </w:rPr>
        <w:t>.</w:t>
      </w:r>
      <w:r>
        <w:rPr>
          <w:rFonts w:hint="eastAsia" w:eastAsia="Times New Roman"/>
          <w:sz w:val="21"/>
          <w:szCs w:val="21"/>
          <w:u w:val="none"/>
          <w:lang w:val="en-US" w:eastAsia="zh-CN"/>
        </w:rPr>
        <w:t>5</w:t>
      </w:r>
      <w:r>
        <w:rPr>
          <w:rFonts w:hint="eastAsia"/>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50</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80</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r>
        <w:rPr>
          <w:rFonts w:hint="eastAsia" w:ascii="宋体" w:hAnsi="宋体" w:cs="宋体"/>
          <w:b w:val="0"/>
          <w:bCs w:val="0"/>
          <w:i w:val="0"/>
          <w:iCs/>
          <w:color w:val="auto"/>
          <w:sz w:val="21"/>
          <w:szCs w:val="21"/>
          <w:u w:val="none"/>
          <w:lang w:val="en-US" w:eastAsia="zh-CN"/>
        </w:rPr>
        <w:t xml:space="preserve">  </w:t>
      </w:r>
    </w:p>
    <w:p>
      <w:pPr>
        <w:spacing w:line="600" w:lineRule="exact"/>
        <w:ind w:firstLine="560" w:firstLineChars="200"/>
        <w:rPr>
          <w:sz w:val="28"/>
          <w:szCs w:val="28"/>
          <w:u w:val="none"/>
        </w:rPr>
      </w:pPr>
      <w:r>
        <w:rPr>
          <w:rFonts w:hint="eastAsia"/>
          <w:sz w:val="28"/>
          <w:szCs w:val="28"/>
          <w:u w:val="none"/>
        </w:rPr>
        <w:t>内隔墙与管线集成一体化的应用比例应按下式计算：</w:t>
      </w:r>
    </w:p>
    <w:p>
      <w:pPr>
        <w:pStyle w:val="31"/>
        <w:rPr>
          <w:u w:val="none"/>
        </w:rPr>
      </w:pPr>
      <w:r>
        <w:rPr>
          <w:u w:val="none"/>
        </w:rPr>
        <w:tab/>
      </w:r>
      <w:r>
        <w:rPr>
          <w:position w:val="-30"/>
          <w:u w:val="none"/>
        </w:rPr>
        <w:object>
          <v:shape id="_x0000_i1047" o:spt="75" type="#_x0000_t75" style="height:37.15pt;width:117.55pt;" o:ole="t" filled="f" o:preferrelative="t" stroked="f" coordsize="21600,21600">
            <v:path/>
            <v:fill on="f" focussize="0,0"/>
            <v:stroke on="f"/>
            <v:imagedata r:id="rId40" o:title=""/>
            <o:lock v:ext="edit" aspectratio="t"/>
            <w10:wrap type="none"/>
            <w10:anchorlock/>
          </v:shape>
          <o:OLEObject Type="Embed" ProgID="Equation.KSEE3" ShapeID="_x0000_i1047" DrawAspect="Content" ObjectID="_1468075737" r:id="rId39">
            <o:LockedField>false</o:LockedField>
          </o:OLEObject>
        </w:object>
      </w:r>
      <w:r>
        <w:rPr>
          <w:u w:val="none"/>
        </w:rPr>
        <w:tab/>
      </w:r>
      <w:r>
        <w:rPr>
          <w:rFonts w:hint="eastAsia"/>
          <w:u w:val="none"/>
        </w:rPr>
        <w:t>（</w:t>
      </w:r>
      <w:r>
        <w:rPr>
          <w:rFonts w:hint="eastAsia" w:eastAsia="Times New Roman"/>
          <w:u w:val="none"/>
          <w:lang w:val="en-US" w:eastAsia="zh-CN"/>
        </w:rPr>
        <w:t>4</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2</w:t>
      </w:r>
      <w:r>
        <w:rPr>
          <w:rFonts w:hint="eastAsia"/>
          <w:u w:val="none"/>
        </w:rPr>
        <w:t>）</w:t>
      </w:r>
    </w:p>
    <w:p>
      <w:pPr>
        <w:pStyle w:val="39"/>
        <w:rPr>
          <w:u w:val="none"/>
        </w:rPr>
      </w:pPr>
      <w:r>
        <w:rPr>
          <w:rFonts w:hint="eastAsia"/>
          <w:u w:val="none"/>
        </w:rPr>
        <w:t>式中：</w:t>
      </w:r>
      <w:r>
        <w:rPr>
          <w:u w:val="none"/>
        </w:rPr>
        <w:t>q</w:t>
      </w:r>
      <w:r>
        <w:rPr>
          <w:rFonts w:hint="eastAsia" w:eastAsia="Times New Roman"/>
          <w:u w:val="none"/>
          <w:vertAlign w:val="subscript"/>
          <w:lang w:val="en-US" w:eastAsia="zh-CN"/>
        </w:rPr>
        <w:t>52</w:t>
      </w:r>
      <w:r>
        <w:rPr>
          <w:rFonts w:hint="eastAsia"/>
          <w:u w:val="none"/>
          <w:vertAlign w:val="subscript"/>
          <w:lang w:val="en-US" w:eastAsia="zh-CN"/>
        </w:rPr>
        <w:t>b</w:t>
      </w:r>
      <w:r>
        <w:rPr>
          <w:rFonts w:hint="eastAsia"/>
          <w:u w:val="none"/>
        </w:rPr>
        <w:t>——内隔墙采用墙体、管线一体化的应用比例；</w:t>
      </w:r>
    </w:p>
    <w:p>
      <w:pPr>
        <w:pStyle w:val="40"/>
        <w:rPr>
          <w:u w:val="none"/>
        </w:rPr>
      </w:pPr>
      <w:r>
        <w:rPr>
          <w:u w:val="none"/>
        </w:rPr>
        <w:t>A</w:t>
      </w:r>
      <w:r>
        <w:rPr>
          <w:rFonts w:hint="eastAsia" w:eastAsia="Times New Roman"/>
          <w:u w:val="none"/>
          <w:vertAlign w:val="subscript"/>
          <w:lang w:val="en-US" w:eastAsia="zh-CN"/>
        </w:rPr>
        <w:t>52</w:t>
      </w:r>
      <w:r>
        <w:rPr>
          <w:rFonts w:hint="eastAsia"/>
          <w:u w:val="none"/>
          <w:vertAlign w:val="subscript"/>
          <w:lang w:val="en-US" w:eastAsia="zh-CN"/>
        </w:rPr>
        <w:t xml:space="preserve">b </w:t>
      </w:r>
      <w:r>
        <w:rPr>
          <w:rFonts w:hint="eastAsia"/>
          <w:u w:val="none"/>
        </w:rPr>
        <w:t>——各楼层内隔墙采用墙体、管线一体化墙</w:t>
      </w:r>
      <w:r>
        <w:rPr>
          <w:rFonts w:hint="eastAsia"/>
          <w:u w:val="none"/>
          <w:lang w:val="en-US" w:eastAsia="zh-CN"/>
        </w:rPr>
        <w:t>体表</w:t>
      </w:r>
      <w:r>
        <w:rPr>
          <w:rFonts w:hint="eastAsia"/>
          <w:u w:val="none"/>
        </w:rPr>
        <w:t>面积之和，计算时可不扣除门、窗及预留洞口等的面积。</w:t>
      </w:r>
    </w:p>
    <w:p>
      <w:pPr>
        <w:spacing w:line="600" w:lineRule="exact"/>
        <w:ind w:left="1958" w:leftChars="399" w:hanging="1120" w:hangingChars="400"/>
        <w:rPr>
          <w:rFonts w:hint="default"/>
          <w:sz w:val="28"/>
          <w:szCs w:val="28"/>
          <w:u w:val="none"/>
          <w:lang w:val="en-US" w:eastAsia="zh-CN"/>
        </w:rPr>
      </w:pPr>
      <w:r>
        <w:rPr>
          <w:rFonts w:hint="eastAsia"/>
          <w:sz w:val="28"/>
          <w:szCs w:val="28"/>
          <w:u w:val="none"/>
        </w:rPr>
        <w:t>A</w:t>
      </w:r>
      <w:r>
        <w:rPr>
          <w:rFonts w:hint="eastAsia"/>
          <w:sz w:val="28"/>
          <w:szCs w:val="28"/>
          <w:u w:val="none"/>
          <w:vertAlign w:val="subscript"/>
        </w:rPr>
        <w:t>w</w:t>
      </w:r>
      <w:r>
        <w:rPr>
          <w:rFonts w:hint="eastAsia" w:eastAsia="Times New Roman"/>
          <w:sz w:val="28"/>
          <w:szCs w:val="28"/>
          <w:u w:val="none"/>
          <w:vertAlign w:val="subscript"/>
        </w:rPr>
        <w:t>3</w:t>
      </w:r>
      <w:r>
        <w:rPr>
          <w:rFonts w:hint="eastAsia"/>
          <w:sz w:val="28"/>
          <w:szCs w:val="28"/>
          <w:u w:val="none"/>
        </w:rPr>
        <w:t>——各楼层内隔墙墙面总面积，计算时可不扣除门、窗及预留洞口等的面积，可扣除承重竖向构件的面积。</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内隔墙采用墙体、管线一体化强调的是“集成性”。内隔墙从设计阶段就需进行一体化集成设计，在管线综合设计的基础上，实现墙体与管线的一体化，从而形成“内隔墙系统”。一体化的集成过程应采用干式作业方式，既可以在工厂完成一体化的集成，也可以在现场应用干式作业进行集成。</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lang w:val="en-US" w:eastAsia="zh-CN"/>
        </w:rPr>
        <w:t>：装修和设备管线细化项</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a</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b</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c</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d</w:t>
      </w:r>
      <w:r>
        <w:rPr>
          <w:rFonts w:hint="eastAsia" w:ascii="宋体" w:hAnsi="宋体" w:eastAsia="宋体" w:cs="宋体"/>
          <w:sz w:val="21"/>
          <w:szCs w:val="21"/>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：干式工法楼面、地面</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2</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70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a</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2</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cs="Times New Roman"/>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b</w:t>
      </w:r>
      <w:r>
        <w:rPr>
          <w:rFonts w:hint="eastAsia" w:ascii="宋体" w:hAnsi="宋体" w:eastAsia="宋体" w:cs="宋体"/>
          <w:b/>
          <w:bCs/>
          <w:sz w:val="28"/>
          <w:szCs w:val="28"/>
          <w:u w:val="none"/>
          <w:lang w:val="en-US" w:eastAsia="zh-CN"/>
        </w:rPr>
        <w:t>：集成厨房</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70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b</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eastAsia" w:ascii="宋体" w:hAnsi="宋体" w:eastAsia="宋体" w:cs="宋体"/>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c</w:t>
      </w:r>
      <w:r>
        <w:rPr>
          <w:rFonts w:hint="eastAsia" w:ascii="宋体" w:hAnsi="宋体" w:eastAsia="宋体" w:cs="宋体"/>
          <w:b/>
          <w:bCs/>
          <w:sz w:val="28"/>
          <w:szCs w:val="28"/>
          <w:u w:val="none"/>
          <w:lang w:val="en-US" w:eastAsia="zh-CN"/>
        </w:rPr>
        <w:t>：集成卫生间</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70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c</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4</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4</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d</w:t>
      </w:r>
      <w:r>
        <w:rPr>
          <w:rFonts w:hint="eastAsia" w:ascii="宋体" w:hAnsi="宋体" w:eastAsia="宋体" w:cs="宋体"/>
          <w:b/>
          <w:bCs/>
          <w:sz w:val="28"/>
          <w:szCs w:val="28"/>
          <w:u w:val="none"/>
          <w:lang w:val="en-US" w:eastAsia="zh-CN"/>
        </w:rPr>
        <w:t>：管线分离</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2</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30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d</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5</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b/>
          <w:bCs/>
          <w:sz w:val="28"/>
          <w:szCs w:val="28"/>
          <w:u w:val="none"/>
          <w:lang w:val="en-US" w:eastAsia="zh-CN"/>
        </w:rPr>
      </w:pPr>
      <w:r>
        <w:rPr>
          <w:rFonts w:hint="default" w:ascii="Times New Roman" w:hAnsi="Times New Roman" w:eastAsia="Times New Roman" w:cs="Times New Roman"/>
          <w:b/>
          <w:bCs/>
          <w:sz w:val="30"/>
          <w:szCs w:val="30"/>
          <w:u w:val="none"/>
          <w:lang w:val="en-US" w:eastAsia="zh-CN"/>
        </w:rPr>
        <w:t>5</w:t>
      </w:r>
      <w:r>
        <w:rPr>
          <w:rFonts w:hint="eastAsia" w:ascii="宋体" w:hAnsi="宋体" w:eastAsia="宋体" w:cs="宋体"/>
          <w:b/>
          <w:bCs/>
          <w:sz w:val="30"/>
          <w:szCs w:val="30"/>
          <w:u w:val="none"/>
          <w:lang w:val="en-US" w:eastAsia="zh-CN"/>
        </w:rPr>
        <w:t xml:space="preserve"> </w:t>
      </w:r>
      <w:r>
        <w:rPr>
          <w:rFonts w:hint="eastAsia" w:ascii="宋体" w:hAnsi="宋体" w:cs="宋体"/>
          <w:b/>
          <w:bCs/>
          <w:sz w:val="30"/>
          <w:szCs w:val="30"/>
          <w:u w:val="none"/>
          <w:lang w:val="en-US" w:eastAsia="zh-CN"/>
        </w:rPr>
        <w:t xml:space="preserve"> </w:t>
      </w:r>
      <w:r>
        <w:rPr>
          <w:rFonts w:hint="eastAsia" w:ascii="宋体" w:hAnsi="宋体" w:eastAsia="宋体" w:cs="宋体"/>
          <w:b/>
          <w:bCs/>
          <w:sz w:val="30"/>
          <w:szCs w:val="30"/>
          <w:u w:val="none"/>
          <w:lang w:val="en-US" w:eastAsia="zh-CN"/>
        </w:rPr>
        <w:t>Q</w:t>
      </w:r>
      <w:r>
        <w:rPr>
          <w:rFonts w:hint="eastAsia" w:ascii="宋体" w:hAnsi="宋体" w:eastAsia="Times New Roman" w:cs="宋体"/>
          <w:b/>
          <w:bCs/>
          <w:sz w:val="30"/>
          <w:szCs w:val="30"/>
          <w:u w:val="none"/>
          <w:vertAlign w:val="subscript"/>
          <w:lang w:val="en-US" w:eastAsia="zh-CN"/>
        </w:rPr>
        <w:t>6</w:t>
      </w:r>
      <w:r>
        <w:rPr>
          <w:rFonts w:hint="eastAsia" w:ascii="宋体" w:hAnsi="宋体" w:eastAsia="宋体" w:cs="宋体"/>
          <w:b/>
          <w:bCs/>
          <w:sz w:val="30"/>
          <w:szCs w:val="30"/>
          <w:u w:val="none"/>
          <w:lang w:val="en-US" w:eastAsia="zh-CN"/>
        </w:rPr>
        <w:t>：鼓励项</w:t>
      </w:r>
      <w:r>
        <w:rPr>
          <w:rFonts w:hint="eastAsia" w:ascii="宋体" w:hAnsi="宋体" w:eastAsia="宋体" w:cs="宋体"/>
          <w:b w:val="0"/>
          <w:bCs w:val="0"/>
          <w:sz w:val="21"/>
          <w:szCs w:val="21"/>
          <w:u w:val="none"/>
          <w:lang w:val="en-US" w:eastAsia="zh-CN"/>
        </w:rPr>
        <w:t>（</w:t>
      </w:r>
      <w:r>
        <w:rPr>
          <w:rFonts w:hint="eastAsia" w:ascii="宋体" w:hAnsi="宋体" w:eastAsia="Times New Roman" w:cs="宋体"/>
          <w:b w:val="0"/>
          <w:bCs w:val="0"/>
          <w:sz w:val="21"/>
          <w:szCs w:val="21"/>
          <w:u w:val="none"/>
          <w:lang w:val="en-US" w:eastAsia="zh-CN"/>
        </w:rPr>
        <w:t>8</w:t>
      </w:r>
      <w:r>
        <w:rPr>
          <w:rFonts w:hint="eastAsia" w:ascii="宋体" w:hAnsi="宋体" w:eastAsia="宋体" w:cs="宋体"/>
          <w:b w:val="0"/>
          <w:bCs w:val="0"/>
          <w:sz w:val="21"/>
          <w:szCs w:val="21"/>
          <w:u w:val="none"/>
          <w:lang w:val="en-US" w:eastAsia="zh-CN"/>
        </w:rPr>
        <w:t>分，Q</w:t>
      </w:r>
      <w:r>
        <w:rPr>
          <w:rFonts w:hint="eastAsia" w:ascii="宋体" w:hAnsi="宋体" w:eastAsia="Times New Roman" w:cs="宋体"/>
          <w:b w:val="0"/>
          <w:bCs w:val="0"/>
          <w:sz w:val="21"/>
          <w:szCs w:val="21"/>
          <w:u w:val="none"/>
          <w:vertAlign w:val="subscript"/>
          <w:lang w:val="en-US" w:eastAsia="zh-CN"/>
        </w:rPr>
        <w:t>6</w:t>
      </w:r>
      <w:r>
        <w:rPr>
          <w:rFonts w:hint="eastAsia" w:ascii="宋体" w:hAnsi="宋体" w:eastAsia="宋体" w:cs="宋体"/>
          <w:b w:val="0"/>
          <w:bCs w:val="0"/>
          <w:sz w:val="21"/>
          <w:szCs w:val="21"/>
          <w:u w:val="none"/>
          <w:lang w:val="en-US" w:eastAsia="zh-CN"/>
        </w:rPr>
        <w:t>=Q</w:t>
      </w:r>
      <w:r>
        <w:rPr>
          <w:rFonts w:hint="eastAsia" w:ascii="宋体" w:hAnsi="宋体" w:eastAsia="Times New Roman" w:cs="宋体"/>
          <w:b w:val="0"/>
          <w:bCs w:val="0"/>
          <w:sz w:val="21"/>
          <w:szCs w:val="21"/>
          <w:u w:val="none"/>
          <w:vertAlign w:val="subscript"/>
          <w:lang w:val="en-US" w:eastAsia="zh-CN"/>
        </w:rPr>
        <w:t>61</w:t>
      </w:r>
      <w:r>
        <w:rPr>
          <w:rFonts w:hint="eastAsia" w:ascii="宋体" w:hAnsi="宋体" w:eastAsia="宋体" w:cs="宋体"/>
          <w:b w:val="0"/>
          <w:bCs w:val="0"/>
          <w:sz w:val="21"/>
          <w:szCs w:val="21"/>
          <w:u w:val="none"/>
          <w:lang w:val="en-US" w:eastAsia="zh-CN"/>
        </w:rPr>
        <w:t>+Q</w:t>
      </w:r>
      <w:r>
        <w:rPr>
          <w:rFonts w:hint="eastAsia" w:ascii="宋体" w:hAnsi="宋体" w:eastAsia="Times New Roman" w:cs="宋体"/>
          <w:b w:val="0"/>
          <w:bCs w:val="0"/>
          <w:sz w:val="21"/>
          <w:szCs w:val="21"/>
          <w:u w:val="none"/>
          <w:vertAlign w:val="subscript"/>
          <w:lang w:val="en-US" w:eastAsia="zh-CN"/>
        </w:rPr>
        <w:t>62</w:t>
      </w:r>
      <w:r>
        <w:rPr>
          <w:rFonts w:hint="eastAsia" w:ascii="宋体" w:hAnsi="宋体" w:eastAsia="宋体" w:cs="宋体"/>
          <w:b w:val="0"/>
          <w:bCs w:val="0"/>
          <w:sz w:val="21"/>
          <w:szCs w:val="21"/>
          <w:u w:val="none"/>
          <w:lang w:val="en-US" w:eastAsia="zh-CN"/>
        </w:rPr>
        <w:t>+Q</w:t>
      </w:r>
      <w:r>
        <w:rPr>
          <w:rFonts w:hint="eastAsia" w:ascii="宋体" w:hAnsi="宋体" w:eastAsia="Times New Roman" w:cs="宋体"/>
          <w:b w:val="0"/>
          <w:bCs w:val="0"/>
          <w:sz w:val="21"/>
          <w:szCs w:val="21"/>
          <w:u w:val="none"/>
          <w:vertAlign w:val="subscript"/>
          <w:lang w:val="en-US" w:eastAsia="zh-CN"/>
        </w:rPr>
        <w:t>63</w:t>
      </w:r>
      <w:r>
        <w:rPr>
          <w:rFonts w:hint="eastAsia" w:ascii="宋体" w:hAnsi="宋体" w:eastAsia="宋体" w:cs="宋体"/>
          <w:b w:val="0"/>
          <w:bCs w:val="0"/>
          <w:sz w:val="21"/>
          <w:szCs w:val="21"/>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default" w:ascii="Times New Roman" w:hAnsi="Times New Roman" w:eastAsia="宋体" w:cs="Times New Roman"/>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61</w:t>
      </w:r>
      <w:r>
        <w:rPr>
          <w:rFonts w:hint="eastAsia" w:ascii="宋体" w:hAnsi="宋体" w:eastAsia="宋体" w:cs="宋体"/>
          <w:b/>
          <w:bCs/>
          <w:sz w:val="28"/>
          <w:szCs w:val="28"/>
          <w:u w:val="none"/>
          <w:lang w:val="en-US" w:eastAsia="zh-CN"/>
        </w:rPr>
        <w:t>：标准化设计鼓励项</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vertAlign w:val="subscript"/>
          <w:lang w:val="en-US" w:eastAsia="zh-CN"/>
        </w:rPr>
        <w:t>a</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vertAlign w:val="subscript"/>
          <w:lang w:val="en-US" w:eastAsia="zh-CN"/>
        </w:rPr>
        <w:t>b</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vertAlign w:val="subscript"/>
          <w:lang w:val="en-US" w:eastAsia="zh-CN"/>
        </w:rPr>
        <w:t>c</w:t>
      </w:r>
      <w:r>
        <w:rPr>
          <w:rFonts w:hint="eastAsia" w:ascii="宋体" w:hAnsi="宋体" w:eastAsia="宋体" w:cs="宋体"/>
          <w:sz w:val="21"/>
          <w:szCs w:val="21"/>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default" w:ascii="Times New Roman" w:hAnsi="Times New Roman" w:eastAsia="宋体" w:cs="Times New Roman"/>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61</w:t>
      </w:r>
      <w:r>
        <w:rPr>
          <w:rFonts w:hint="eastAsia" w:ascii="宋体" w:hAnsi="宋体" w:eastAsia="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：平面布置标准化</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eastAsia="宋体" w:cs="宋体"/>
          <w:sz w:val="21"/>
          <w:szCs w:val="21"/>
          <w:u w:val="none"/>
          <w:lang w:val="en-US" w:eastAsia="zh-CN"/>
        </w:rPr>
        <w:t>分）</w:t>
      </w:r>
    </w:p>
    <w:p>
      <w:pPr>
        <w:spacing w:line="360" w:lineRule="auto"/>
        <w:ind w:firstLine="560" w:firstLineChars="200"/>
        <w:rPr>
          <w:rFonts w:hint="eastAsia" w:eastAsia="宋体"/>
          <w:sz w:val="28"/>
          <w:szCs w:val="28"/>
          <w:u w:val="none"/>
          <w:lang w:eastAsia="zh-CN"/>
        </w:rPr>
      </w:pPr>
      <w:r>
        <w:rPr>
          <w:rFonts w:hint="default" w:ascii="Times New Roman" w:hAnsi="Times New Roman" w:eastAsia="Times New Roman" w:cs="Times New Roman"/>
          <w:sz w:val="28"/>
          <w:szCs w:val="28"/>
          <w:u w:val="none"/>
        </w:rPr>
        <w:t>1</w:t>
      </w:r>
      <w:r>
        <w:rPr>
          <w:rFonts w:hint="eastAsia"/>
          <w:sz w:val="28"/>
          <w:szCs w:val="28"/>
          <w:u w:val="none"/>
          <w:lang w:val="en-US" w:eastAsia="zh-CN"/>
        </w:rPr>
        <w:t xml:space="preserve">  </w:t>
      </w:r>
      <w:r>
        <w:rPr>
          <w:rFonts w:hint="eastAsia"/>
          <w:sz w:val="28"/>
          <w:szCs w:val="28"/>
          <w:u w:val="none"/>
        </w:rPr>
        <w:t>在公共建筑中，重复使用量最多的三个基本单元（写字楼的办公间、酒店的标准间、医院的病房、学校的教室等）的面积之和占</w:t>
      </w:r>
      <w:r>
        <w:rPr>
          <w:rFonts w:hint="eastAsia"/>
          <w:sz w:val="28"/>
          <w:szCs w:val="28"/>
          <w:u w:val="none"/>
          <w:lang w:val="en-US" w:eastAsia="zh-CN"/>
        </w:rPr>
        <w:t>评价单元</w:t>
      </w:r>
      <w:r>
        <w:rPr>
          <w:rFonts w:hint="eastAsia"/>
          <w:sz w:val="28"/>
          <w:szCs w:val="28"/>
          <w:u w:val="none"/>
        </w:rPr>
        <w:t>总建筑面积的比例不低于</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时，该项评价分值为</w:t>
      </w:r>
      <w:r>
        <w:rPr>
          <w:rFonts w:hint="eastAsia" w:eastAsia="Times New Roman"/>
          <w:sz w:val="28"/>
          <w:szCs w:val="28"/>
          <w:u w:val="none"/>
        </w:rPr>
        <w:t>1</w:t>
      </w:r>
      <w:r>
        <w:rPr>
          <w:rFonts w:hint="eastAsia"/>
          <w:sz w:val="28"/>
          <w:szCs w:val="28"/>
          <w:u w:val="none"/>
        </w:rPr>
        <w:t>分</w:t>
      </w:r>
      <w:r>
        <w:rPr>
          <w:rFonts w:hint="eastAsia"/>
          <w:sz w:val="28"/>
          <w:szCs w:val="28"/>
          <w:u w:val="none"/>
          <w:lang w:eastAsia="zh-CN"/>
        </w:rPr>
        <w:t>；</w:t>
      </w:r>
    </w:p>
    <w:p>
      <w:pPr>
        <w:spacing w:line="360" w:lineRule="auto"/>
        <w:ind w:firstLine="560" w:firstLineChars="200"/>
        <w:rPr>
          <w:rFonts w:hint="eastAsia" w:eastAsia="宋体"/>
          <w:sz w:val="28"/>
          <w:szCs w:val="28"/>
          <w:u w:val="none"/>
          <w:lang w:eastAsia="zh-CN"/>
        </w:rPr>
      </w:pPr>
      <w:r>
        <w:rPr>
          <w:rFonts w:hint="default" w:ascii="Times New Roman" w:hAnsi="Times New Roman" w:eastAsia="Times New Roman" w:cs="Times New Roman"/>
          <w:sz w:val="28"/>
          <w:szCs w:val="28"/>
          <w:u w:val="none"/>
        </w:rPr>
        <w:t>2</w:t>
      </w:r>
      <w:r>
        <w:rPr>
          <w:rFonts w:hint="eastAsia"/>
          <w:sz w:val="28"/>
          <w:szCs w:val="28"/>
          <w:u w:val="none"/>
          <w:lang w:val="en-US" w:eastAsia="zh-CN"/>
        </w:rPr>
        <w:t xml:space="preserve">  </w:t>
      </w:r>
      <w:r>
        <w:rPr>
          <w:rFonts w:hint="eastAsia"/>
          <w:sz w:val="28"/>
          <w:szCs w:val="28"/>
          <w:u w:val="none"/>
        </w:rPr>
        <w:t>居住建筑采用国家、省、市等标准化户型图集方案或满足下列技术要求时，该项评价分值为</w:t>
      </w:r>
      <w:r>
        <w:rPr>
          <w:rFonts w:hint="eastAsia" w:eastAsia="Times New Roman"/>
          <w:sz w:val="28"/>
          <w:szCs w:val="28"/>
          <w:u w:val="none"/>
        </w:rPr>
        <w:t>1</w:t>
      </w:r>
      <w:r>
        <w:rPr>
          <w:rFonts w:hint="eastAsia"/>
          <w:sz w:val="28"/>
          <w:szCs w:val="28"/>
          <w:u w:val="none"/>
        </w:rPr>
        <w:t>分</w:t>
      </w:r>
      <w:r>
        <w:rPr>
          <w:rFonts w:hint="eastAsia"/>
          <w:sz w:val="28"/>
          <w:szCs w:val="28"/>
          <w:u w:val="none"/>
          <w:lang w:eastAsia="zh-CN"/>
        </w:rPr>
        <w:t>，</w:t>
      </w:r>
    </w:p>
    <w:p>
      <w:pPr>
        <w:spacing w:line="600" w:lineRule="exact"/>
        <w:ind w:firstLine="560" w:firstLineChars="200"/>
        <w:rPr>
          <w:rFonts w:hint="eastAsia"/>
          <w:sz w:val="28"/>
          <w:szCs w:val="28"/>
          <w:u w:val="none"/>
        </w:rPr>
      </w:pPr>
      <w:r>
        <w:rPr>
          <w:rFonts w:hint="eastAsia"/>
          <w:sz w:val="28"/>
          <w:szCs w:val="28"/>
          <w:u w:val="none"/>
          <w:lang w:val="en-US" w:eastAsia="zh-CN"/>
        </w:rPr>
        <w:t xml:space="preserve">3  </w:t>
      </w:r>
      <w:r>
        <w:rPr>
          <w:rFonts w:hint="eastAsia"/>
          <w:sz w:val="28"/>
          <w:szCs w:val="28"/>
          <w:u w:val="none"/>
        </w:rPr>
        <w:t>主体结构网格尺寸宜满足相关规范的模数要求；评</w:t>
      </w:r>
      <w:r>
        <w:rPr>
          <w:rFonts w:hint="eastAsia"/>
          <w:sz w:val="28"/>
          <w:szCs w:val="28"/>
          <w:u w:val="none"/>
          <w:lang w:val="en-US" w:eastAsia="zh-CN"/>
        </w:rPr>
        <w:t>价</w:t>
      </w:r>
      <w:r>
        <w:rPr>
          <w:rFonts w:hint="eastAsia"/>
          <w:sz w:val="28"/>
          <w:szCs w:val="28"/>
          <w:u w:val="none"/>
        </w:rPr>
        <w:t>单元中，重复使用量最多的三个基本户型的面积之和占总建筑面积的比例不低于</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w:t>
      </w:r>
    </w:p>
    <w:p>
      <w:pPr>
        <w:spacing w:line="600" w:lineRule="exact"/>
        <w:ind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注：主体结构网格采用扩大模数网格，且符合</w:t>
      </w:r>
      <w:r>
        <w:rPr>
          <w:rFonts w:hint="eastAsia" w:ascii="宋体" w:hAnsi="宋体" w:eastAsia="Times New Roman" w:cs="宋体"/>
          <w:i w:val="0"/>
          <w:iCs/>
          <w:kern w:val="2"/>
          <w:sz w:val="24"/>
          <w:szCs w:val="24"/>
          <w:u w:val="none"/>
          <w:shd w:val="clear" w:color="auto" w:fill="FFFFFF"/>
          <w:lang w:val="en-US" w:eastAsia="zh-CN" w:bidi="ar-SA"/>
        </w:rPr>
        <w:t>2</w:t>
      </w:r>
      <w:r>
        <w:rPr>
          <w:rFonts w:hint="eastAsia" w:ascii="宋体" w:hAnsi="宋体" w:eastAsia="宋体" w:cs="宋体"/>
          <w:i w:val="0"/>
          <w:iCs/>
          <w:kern w:val="2"/>
          <w:sz w:val="24"/>
          <w:szCs w:val="24"/>
          <w:u w:val="none"/>
          <w:shd w:val="clear" w:color="auto" w:fill="FFFFFF"/>
          <w:lang w:val="en-US" w:eastAsia="zh-CN" w:bidi="ar-SA"/>
        </w:rPr>
        <w:t>nM、</w:t>
      </w:r>
      <w:r>
        <w:rPr>
          <w:rFonts w:hint="eastAsia" w:ascii="宋体" w:hAnsi="宋体" w:eastAsia="Times New Roman" w:cs="宋体"/>
          <w:i w:val="0"/>
          <w:iCs/>
          <w:kern w:val="2"/>
          <w:sz w:val="24"/>
          <w:szCs w:val="24"/>
          <w:u w:val="none"/>
          <w:shd w:val="clear" w:color="auto" w:fill="FFFFFF"/>
          <w:lang w:val="en-US" w:eastAsia="zh-CN" w:bidi="ar-SA"/>
        </w:rPr>
        <w:t>3</w:t>
      </w:r>
      <w:r>
        <w:rPr>
          <w:rFonts w:hint="eastAsia" w:ascii="宋体" w:hAnsi="宋体" w:eastAsia="宋体" w:cs="宋体"/>
          <w:i w:val="0"/>
          <w:iCs/>
          <w:kern w:val="2"/>
          <w:sz w:val="24"/>
          <w:szCs w:val="24"/>
          <w:u w:val="none"/>
          <w:shd w:val="clear" w:color="auto" w:fill="FFFFFF"/>
          <w:lang w:val="en-US" w:eastAsia="zh-CN" w:bidi="ar-SA"/>
        </w:rPr>
        <w:t>nM的尺寸系列。</w:t>
      </w:r>
    </w:p>
    <w:p>
      <w:pPr>
        <w:spacing w:line="600" w:lineRule="exact"/>
        <w:ind w:firstLine="0" w:firstLineChars="0"/>
        <w:rPr>
          <w:rFonts w:hint="eastAsia" w:ascii="宋体" w:hAnsi="宋体" w:eastAsia="宋体" w:cs="宋体"/>
          <w:b w:val="0"/>
          <w:bCs w:val="0"/>
          <w:i w:val="0"/>
          <w:iCs/>
          <w:kern w:val="2"/>
          <w:sz w:val="21"/>
          <w:szCs w:val="21"/>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61</w:t>
      </w:r>
      <w:r>
        <w:rPr>
          <w:rFonts w:hint="eastAsia" w:ascii="宋体" w:hAnsi="宋体" w:eastAsia="宋体" w:cs="宋体"/>
          <w:b/>
          <w:bCs/>
          <w:i w:val="0"/>
          <w:iCs/>
          <w:kern w:val="2"/>
          <w:sz w:val="28"/>
          <w:szCs w:val="28"/>
          <w:u w:val="none"/>
          <w:shd w:val="clear" w:color="auto" w:fill="FFFFFF"/>
          <w:vertAlign w:val="subscript"/>
          <w:lang w:val="en-US" w:eastAsia="zh-CN" w:bidi="ar-SA"/>
        </w:rPr>
        <w:t>b</w:t>
      </w:r>
      <w:r>
        <w:rPr>
          <w:rFonts w:hint="eastAsia" w:ascii="宋体" w:hAnsi="宋体" w:eastAsia="宋体" w:cs="宋体"/>
          <w:b/>
          <w:bCs/>
          <w:i w:val="0"/>
          <w:iCs/>
          <w:kern w:val="2"/>
          <w:sz w:val="28"/>
          <w:szCs w:val="28"/>
          <w:u w:val="none"/>
          <w:shd w:val="clear" w:color="auto" w:fill="FFFFFF"/>
          <w:lang w:val="en-US" w:eastAsia="zh-CN" w:bidi="ar-SA"/>
        </w:rPr>
        <w:t>：预制构件与部品标准化</w:t>
      </w:r>
      <w:r>
        <w:rPr>
          <w:rFonts w:hint="eastAsia" w:ascii="宋体" w:hAnsi="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1</w:t>
      </w:r>
      <w:r>
        <w:rPr>
          <w:rFonts w:hint="eastAsia" w:ascii="宋体" w:hAnsi="宋体" w:cs="宋体"/>
          <w:b w:val="0"/>
          <w:bCs w:val="0"/>
          <w:i w:val="0"/>
          <w:iCs/>
          <w:kern w:val="2"/>
          <w:sz w:val="21"/>
          <w:szCs w:val="21"/>
          <w:u w:val="none"/>
          <w:shd w:val="clear" w:color="auto" w:fill="FFFFFF"/>
          <w:lang w:val="en-US" w:eastAsia="zh-CN" w:bidi="ar-SA"/>
        </w:rPr>
        <w:t>分）</w:t>
      </w:r>
    </w:p>
    <w:p>
      <w:pPr>
        <w:spacing w:line="600" w:lineRule="exact"/>
        <w:ind w:firstLine="560" w:firstLineChars="200"/>
        <w:rPr>
          <w:rFonts w:hint="eastAsia"/>
          <w:sz w:val="28"/>
          <w:szCs w:val="28"/>
          <w:u w:val="none"/>
          <w:lang w:eastAsia="zh-CN"/>
        </w:rPr>
      </w:pPr>
      <w:r>
        <w:rPr>
          <w:rFonts w:hint="eastAsia"/>
          <w:sz w:val="28"/>
          <w:szCs w:val="28"/>
          <w:u w:val="none"/>
        </w:rPr>
        <w:t>预制构件及部品应满足规格少、组合多的要求，预制构件及部品标准化评价项当满足以下任一规定时，该项评价分值为</w:t>
      </w:r>
      <w:r>
        <w:rPr>
          <w:rFonts w:hint="eastAsia" w:eastAsia="Times New Roman"/>
          <w:sz w:val="28"/>
          <w:szCs w:val="28"/>
          <w:u w:val="none"/>
        </w:rPr>
        <w:t>1</w:t>
      </w:r>
      <w:r>
        <w:rPr>
          <w:rFonts w:hint="eastAsia"/>
          <w:sz w:val="28"/>
          <w:szCs w:val="28"/>
          <w:u w:val="none"/>
        </w:rPr>
        <w:t>分</w:t>
      </w:r>
      <w:r>
        <w:rPr>
          <w:rFonts w:hint="eastAsia"/>
          <w:sz w:val="28"/>
          <w:szCs w:val="28"/>
          <w:u w:val="none"/>
          <w:lang w:eastAsia="zh-CN"/>
        </w:rPr>
        <w:t>。</w:t>
      </w:r>
    </w:p>
    <w:p>
      <w:pPr>
        <w:spacing w:line="600" w:lineRule="exact"/>
        <w:ind w:firstLine="560" w:firstLineChars="200"/>
        <w:rPr>
          <w:sz w:val="28"/>
          <w:szCs w:val="28"/>
          <w:u w:val="none"/>
        </w:rPr>
      </w:pPr>
      <w:r>
        <w:rPr>
          <w:rFonts w:hint="default" w:ascii="Times New Roman" w:hAnsi="Times New Roman" w:eastAsia="Times New Roman" w:cs="Times New Roman"/>
          <w:sz w:val="28"/>
          <w:szCs w:val="28"/>
          <w:u w:val="none"/>
          <w:lang w:val="en-US" w:eastAsia="zh-CN"/>
        </w:rPr>
        <w:t>1</w:t>
      </w:r>
      <w:r>
        <w:rPr>
          <w:rFonts w:hint="eastAsia"/>
          <w:sz w:val="28"/>
          <w:szCs w:val="28"/>
          <w:u w:val="none"/>
          <w:lang w:val="en-US" w:eastAsia="zh-CN"/>
        </w:rPr>
        <w:t xml:space="preserve">  </w:t>
      </w:r>
      <w:r>
        <w:rPr>
          <w:rFonts w:hint="eastAsia"/>
          <w:sz w:val="28"/>
          <w:szCs w:val="28"/>
          <w:u w:val="none"/>
        </w:rPr>
        <w:t>采用国家、省、市等标准图集中标准样式的预制构件，</w:t>
      </w:r>
      <w:r>
        <w:rPr>
          <w:rFonts w:hint="eastAsia"/>
          <w:sz w:val="28"/>
          <w:szCs w:val="28"/>
          <w:u w:val="none"/>
          <w:lang w:val="en-US" w:eastAsia="zh-CN"/>
        </w:rPr>
        <w:t>所选种类的</w:t>
      </w:r>
      <w:r>
        <w:rPr>
          <w:rFonts w:hint="eastAsia"/>
          <w:sz w:val="28"/>
          <w:szCs w:val="28"/>
          <w:u w:val="none"/>
        </w:rPr>
        <w:t>预制构件应用数量不低于同类构件的</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w:t>
      </w:r>
    </w:p>
    <w:p>
      <w:pPr>
        <w:spacing w:line="360" w:lineRule="auto"/>
        <w:ind w:firstLine="560" w:firstLineChars="200"/>
        <w:rPr>
          <w:sz w:val="28"/>
          <w:szCs w:val="28"/>
          <w:u w:val="none"/>
        </w:rPr>
      </w:pPr>
      <w:r>
        <w:rPr>
          <w:rFonts w:hint="default" w:ascii="Times New Roman" w:hAnsi="Times New Roman" w:eastAsia="Times New Roman" w:cs="Times New Roman"/>
          <w:sz w:val="28"/>
          <w:szCs w:val="28"/>
          <w:u w:val="none"/>
        </w:rPr>
        <w:t>2</w:t>
      </w:r>
      <w:r>
        <w:rPr>
          <w:rFonts w:hint="eastAsia"/>
          <w:sz w:val="28"/>
          <w:szCs w:val="28"/>
          <w:u w:val="none"/>
          <w:lang w:val="en-US" w:eastAsia="zh-CN"/>
        </w:rPr>
        <w:t xml:space="preserve">  </w:t>
      </w:r>
      <w:r>
        <w:rPr>
          <w:rFonts w:hint="eastAsia"/>
          <w:sz w:val="28"/>
          <w:szCs w:val="28"/>
          <w:u w:val="none"/>
        </w:rPr>
        <w:t>满足以下</w:t>
      </w:r>
      <w:r>
        <w:rPr>
          <w:rFonts w:hint="eastAsia"/>
          <w:sz w:val="28"/>
          <w:szCs w:val="28"/>
          <w:u w:val="none"/>
          <w:lang w:val="en-US" w:eastAsia="zh-CN"/>
        </w:rPr>
        <w:t>任意</w:t>
      </w:r>
      <w:r>
        <w:rPr>
          <w:rFonts w:hint="eastAsia"/>
          <w:sz w:val="28"/>
          <w:szCs w:val="28"/>
          <w:u w:val="none"/>
        </w:rPr>
        <w:t>三项技术要求：</w:t>
      </w:r>
    </w:p>
    <w:p>
      <w:pPr>
        <w:spacing w:line="360" w:lineRule="auto"/>
        <w:ind w:left="559" w:leftChars="266" w:firstLine="280" w:firstLineChars="100"/>
        <w:rPr>
          <w:sz w:val="28"/>
          <w:szCs w:val="28"/>
          <w:u w:val="none"/>
        </w:rPr>
      </w:pPr>
      <w:r>
        <w:rPr>
          <w:rFonts w:ascii="Times New Roman" w:hAnsi="Times New Roman" w:eastAsia="Times New Roman" w:cs="Times New Roman"/>
          <w:sz w:val="28"/>
          <w:szCs w:val="28"/>
          <w:u w:val="none"/>
        </w:rPr>
        <w:t>1</w:t>
      </w:r>
      <w:r>
        <w:rPr>
          <w:rFonts w:hint="default" w:ascii="Times New Roman" w:hAnsi="Times New Roman" w:cs="Times New Roman"/>
          <w:sz w:val="28"/>
          <w:szCs w:val="28"/>
          <w:u w:val="none"/>
        </w:rPr>
        <w:t>）</w:t>
      </w:r>
      <w:r>
        <w:rPr>
          <w:rFonts w:hint="eastAsia"/>
          <w:sz w:val="28"/>
          <w:szCs w:val="28"/>
          <w:u w:val="none"/>
        </w:rPr>
        <w:t>外窗宽度为扩大模数</w:t>
      </w:r>
      <w:r>
        <w:rPr>
          <w:rFonts w:hint="eastAsia" w:eastAsia="Times New Roman"/>
          <w:sz w:val="28"/>
          <w:szCs w:val="28"/>
          <w:u w:val="none"/>
        </w:rPr>
        <w:t>3</w:t>
      </w:r>
      <w:r>
        <w:rPr>
          <w:sz w:val="28"/>
          <w:szCs w:val="28"/>
          <w:u w:val="none"/>
        </w:rPr>
        <w:t>M</w:t>
      </w:r>
      <w:r>
        <w:rPr>
          <w:rFonts w:hint="eastAsia"/>
          <w:sz w:val="28"/>
          <w:szCs w:val="28"/>
          <w:u w:val="none"/>
        </w:rPr>
        <w:t>的整数倍，高度为基本模数的整数倍，该类外窗占外窗总数量的比例不低于</w:t>
      </w:r>
      <w:r>
        <w:rPr>
          <w:rFonts w:eastAsia="Times New Roman"/>
          <w:sz w:val="28"/>
          <w:szCs w:val="28"/>
          <w:u w:val="none"/>
        </w:rPr>
        <w:t>50</w:t>
      </w:r>
      <w:r>
        <w:rPr>
          <w:sz w:val="28"/>
          <w:szCs w:val="28"/>
          <w:u w:val="none"/>
        </w:rPr>
        <w:t>%</w:t>
      </w:r>
      <w:r>
        <w:rPr>
          <w:rFonts w:hint="eastAsia"/>
          <w:sz w:val="28"/>
          <w:szCs w:val="28"/>
          <w:u w:val="none"/>
        </w:rPr>
        <w:t>；</w:t>
      </w:r>
    </w:p>
    <w:p>
      <w:p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rPr>
        <w:t>2</w:t>
      </w:r>
      <w:r>
        <w:rPr>
          <w:rFonts w:hint="default" w:ascii="Times New Roman" w:hAnsi="Times New Roman" w:cs="Times New Roman"/>
          <w:sz w:val="28"/>
          <w:szCs w:val="28"/>
          <w:u w:val="none"/>
        </w:rPr>
        <w:t>）</w:t>
      </w:r>
      <w:r>
        <w:rPr>
          <w:rFonts w:hint="eastAsia"/>
          <w:sz w:val="28"/>
          <w:szCs w:val="28"/>
          <w:u w:val="none"/>
        </w:rPr>
        <w:t>预制楼梯在评价单位中重复使用量最多的一个规格构件（公共建筑为两个规格构件）的总个数占预制楼梯总数的比例不低于</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w:t>
      </w:r>
    </w:p>
    <w:p>
      <w:p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rPr>
        <w:t>3</w:t>
      </w:r>
      <w:r>
        <w:rPr>
          <w:rFonts w:hint="default" w:ascii="Times New Roman" w:hAnsi="Times New Roman" w:cs="Times New Roman"/>
          <w:sz w:val="28"/>
          <w:szCs w:val="28"/>
          <w:u w:val="none"/>
        </w:rPr>
        <w:t>）</w:t>
      </w:r>
      <w:r>
        <w:rPr>
          <w:rFonts w:hint="eastAsia"/>
          <w:sz w:val="28"/>
          <w:szCs w:val="28"/>
          <w:u w:val="none"/>
        </w:rPr>
        <w:t>预制阳台板在评价单元中重复使用量最多的两个规格构件的总个数占预制阳台板总数量的比例不低于</w:t>
      </w:r>
      <w:r>
        <w:rPr>
          <w:rFonts w:hint="eastAsia" w:eastAsia="Times New Roman"/>
          <w:sz w:val="28"/>
          <w:szCs w:val="28"/>
          <w:u w:val="none"/>
        </w:rPr>
        <w:t>50</w:t>
      </w:r>
      <w:r>
        <w:rPr>
          <w:rFonts w:hint="eastAsia"/>
          <w:sz w:val="28"/>
          <w:szCs w:val="28"/>
          <w:u w:val="none"/>
        </w:rPr>
        <w:t>%；</w:t>
      </w:r>
    </w:p>
    <w:p>
      <w:pPr>
        <w:spacing w:line="360" w:lineRule="auto"/>
        <w:ind w:left="559" w:leftChars="266" w:firstLine="280" w:firstLineChars="100"/>
        <w:rPr>
          <w:rFonts w:hint="eastAsia"/>
          <w:sz w:val="28"/>
          <w:szCs w:val="28"/>
          <w:u w:val="none"/>
        </w:rPr>
      </w:pPr>
      <w:r>
        <w:rPr>
          <w:rFonts w:hint="default" w:ascii="Times New Roman" w:hAnsi="Times New Roman" w:eastAsia="Times New Roman" w:cs="Times New Roman"/>
          <w:sz w:val="28"/>
          <w:szCs w:val="28"/>
          <w:u w:val="none"/>
        </w:rPr>
        <w:t>4</w:t>
      </w:r>
      <w:r>
        <w:rPr>
          <w:rFonts w:hint="default" w:ascii="Times New Roman" w:hAnsi="Times New Roman" w:cs="Times New Roman"/>
          <w:sz w:val="28"/>
          <w:szCs w:val="28"/>
          <w:u w:val="none"/>
        </w:rPr>
        <w:t>）</w:t>
      </w:r>
      <w:r>
        <w:rPr>
          <w:rFonts w:hint="eastAsia"/>
          <w:sz w:val="28"/>
          <w:szCs w:val="28"/>
          <w:u w:val="none"/>
        </w:rPr>
        <w:t>预制楼(屋)面板在评价单元中重复使用量最多的三个规格构件的总面积占预制楼(屋)面板总面积的比例不低于</w:t>
      </w:r>
      <w:r>
        <w:rPr>
          <w:rFonts w:eastAsia="Times New Roman"/>
          <w:sz w:val="28"/>
          <w:szCs w:val="28"/>
          <w:u w:val="none"/>
        </w:rPr>
        <w:t>5</w:t>
      </w:r>
      <w:r>
        <w:rPr>
          <w:rFonts w:hint="eastAsia" w:eastAsia="Times New Roman"/>
          <w:sz w:val="28"/>
          <w:szCs w:val="28"/>
          <w:u w:val="none"/>
        </w:rPr>
        <w:t>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spacing w:line="360" w:lineRule="auto"/>
        <w:ind w:firstLine="720" w:firstLineChars="3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注：</w:t>
      </w:r>
      <w:r>
        <w:rPr>
          <w:rFonts w:hint="eastAsia" w:ascii="宋体" w:hAnsi="宋体" w:eastAsia="宋体" w:cs="宋体"/>
          <w:color w:val="auto"/>
          <w:sz w:val="24"/>
          <w:szCs w:val="24"/>
          <w:u w:val="none"/>
        </w:rPr>
        <w:t>预制楼(屋)面板</w:t>
      </w:r>
      <w:r>
        <w:rPr>
          <w:rFonts w:hint="eastAsia" w:ascii="宋体" w:hAnsi="宋体" w:eastAsia="宋体" w:cs="宋体"/>
          <w:color w:val="auto"/>
          <w:sz w:val="24"/>
          <w:szCs w:val="24"/>
          <w:u w:val="none"/>
          <w:lang w:val="en-US" w:eastAsia="zh-CN"/>
        </w:rPr>
        <w:t>总面积应为</w:t>
      </w:r>
      <w:r>
        <w:rPr>
          <w:rFonts w:hint="eastAsia" w:ascii="宋体" w:hAnsi="宋体" w:eastAsia="宋体" w:cs="宋体"/>
          <w:color w:val="auto"/>
          <w:sz w:val="24"/>
          <w:szCs w:val="24"/>
          <w:u w:val="none"/>
        </w:rPr>
        <w:t>预制楼面板</w:t>
      </w:r>
      <w:r>
        <w:rPr>
          <w:rFonts w:hint="eastAsia" w:ascii="宋体" w:hAnsi="宋体" w:eastAsia="宋体" w:cs="宋体"/>
          <w:color w:val="auto"/>
          <w:sz w:val="24"/>
          <w:szCs w:val="24"/>
          <w:u w:val="none"/>
          <w:lang w:val="en-US" w:eastAsia="zh-CN"/>
        </w:rPr>
        <w:t>和</w:t>
      </w:r>
      <w:r>
        <w:rPr>
          <w:rFonts w:hint="eastAsia" w:ascii="宋体" w:hAnsi="宋体" w:eastAsia="宋体" w:cs="宋体"/>
          <w:color w:val="auto"/>
          <w:sz w:val="24"/>
          <w:szCs w:val="24"/>
          <w:u w:val="none"/>
        </w:rPr>
        <w:t>预制屋面板</w:t>
      </w:r>
      <w:r>
        <w:rPr>
          <w:rFonts w:hint="eastAsia" w:ascii="宋体" w:hAnsi="宋体" w:eastAsia="宋体" w:cs="宋体"/>
          <w:color w:val="auto"/>
          <w:sz w:val="24"/>
          <w:szCs w:val="24"/>
          <w:u w:val="none"/>
          <w:lang w:val="en-US" w:eastAsia="zh-CN"/>
        </w:rPr>
        <w:t>面积之和。</w:t>
      </w:r>
    </w:p>
    <w:p>
      <w:pPr>
        <w:numPr>
          <w:ilvl w:val="0"/>
          <w:numId w:val="0"/>
        </w:numPr>
        <w:spacing w:line="360" w:lineRule="auto"/>
        <w:ind w:left="560" w:hanging="560" w:hangingChars="200"/>
        <w:rPr>
          <w:sz w:val="28"/>
          <w:szCs w:val="28"/>
          <w:u w:val="none"/>
        </w:rPr>
      </w:pPr>
      <w:r>
        <w:rPr>
          <w:rFonts w:hint="eastAsia"/>
          <w:sz w:val="28"/>
          <w:szCs w:val="28"/>
          <w:u w:val="none"/>
          <w:lang w:val="en-US" w:eastAsia="zh-CN"/>
        </w:rPr>
        <w:t xml:space="preserve">      </w:t>
      </w:r>
      <w:r>
        <w:rPr>
          <w:rFonts w:hint="default" w:ascii="Times New Roman" w:hAnsi="Times New Roman" w:eastAsia="Times New Roman" w:cs="Times New Roman"/>
          <w:sz w:val="28"/>
          <w:szCs w:val="28"/>
          <w:u w:val="none"/>
          <w:lang w:val="en-US" w:eastAsia="zh-CN"/>
        </w:rPr>
        <w:t>5</w:t>
      </w:r>
      <w:r>
        <w:rPr>
          <w:rFonts w:hint="default" w:ascii="Times New Roman" w:hAnsi="Times New Roman" w:cs="Times New Roman"/>
          <w:sz w:val="28"/>
          <w:szCs w:val="28"/>
          <w:u w:val="none"/>
        </w:rPr>
        <w:t>）</w:t>
      </w:r>
      <w:r>
        <w:rPr>
          <w:rFonts w:hint="eastAsia"/>
          <w:sz w:val="28"/>
          <w:szCs w:val="28"/>
          <w:u w:val="none"/>
        </w:rPr>
        <w:t>预制梁在评价单元中重复使用量最多的三个规格构件的总个数占预制梁构件总数的比例不低于</w:t>
      </w:r>
      <w:r>
        <w:rPr>
          <w:rFonts w:hint="eastAsia" w:eastAsia="Times New Roman"/>
          <w:sz w:val="28"/>
          <w:szCs w:val="28"/>
          <w:u w:val="none"/>
        </w:rPr>
        <w:t>50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numPr>
          <w:ilvl w:val="0"/>
          <w:numId w:val="0"/>
        </w:num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lang w:val="en-US" w:eastAsia="zh-CN"/>
        </w:rPr>
        <w:t>6</w:t>
      </w:r>
      <w:r>
        <w:rPr>
          <w:rFonts w:hint="default" w:ascii="Times New Roman" w:hAnsi="Times New Roman" w:cs="Times New Roman"/>
          <w:sz w:val="28"/>
          <w:szCs w:val="28"/>
          <w:u w:val="none"/>
        </w:rPr>
        <w:t>）</w:t>
      </w:r>
      <w:r>
        <w:rPr>
          <w:rFonts w:hint="eastAsia"/>
          <w:sz w:val="28"/>
          <w:szCs w:val="28"/>
          <w:u w:val="none"/>
        </w:rPr>
        <w:t>预制柱或预制承重墙体在评价单元中重复使用量最多的三个规格构件的总个数占同类预制构件总数的比例不低于</w:t>
      </w:r>
      <w:r>
        <w:rPr>
          <w:rFonts w:hint="eastAsia" w:eastAsia="Times New Roman"/>
          <w:sz w:val="28"/>
          <w:szCs w:val="28"/>
          <w:u w:val="none"/>
        </w:rPr>
        <w:t>50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numPr>
          <w:ilvl w:val="0"/>
          <w:numId w:val="0"/>
        </w:num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lang w:val="en-US" w:eastAsia="zh-CN"/>
        </w:rPr>
        <w:t>7</w:t>
      </w:r>
      <w:r>
        <w:rPr>
          <w:rFonts w:hint="default" w:ascii="Times New Roman" w:hAnsi="Times New Roman" w:cs="Times New Roman"/>
          <w:sz w:val="28"/>
          <w:szCs w:val="28"/>
          <w:u w:val="none"/>
        </w:rPr>
        <w:t>）</w:t>
      </w:r>
      <w:r>
        <w:rPr>
          <w:rFonts w:hint="eastAsia"/>
          <w:sz w:val="28"/>
          <w:szCs w:val="28"/>
          <w:u w:val="none"/>
        </w:rPr>
        <w:t>整间式预制外墙板、单元式幕墙在评价单元中重复使用量最多的三个规格构件的总个数占同类预制构件总数的比例不低于</w:t>
      </w:r>
      <w:r>
        <w:rPr>
          <w:rFonts w:hint="eastAsia" w:eastAsia="Times New Roman"/>
          <w:sz w:val="28"/>
          <w:szCs w:val="28"/>
          <w:u w:val="none"/>
        </w:rPr>
        <w:t>50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spacing w:line="600" w:lineRule="exact"/>
        <w:rPr>
          <w:rFonts w:hint="default" w:ascii="楷体" w:hAnsi="楷体" w:eastAsia="楷体" w:cs="楷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eastAsia" w:ascii="宋体" w:hAnsi="宋体" w:eastAsia="宋体" w:cs="宋体"/>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61</w:t>
      </w:r>
      <w:r>
        <w:rPr>
          <w:rFonts w:hint="eastAsia" w:ascii="宋体" w:hAnsi="宋体" w:eastAsia="宋体" w:cs="宋体"/>
          <w:b/>
          <w:bCs/>
          <w:i w:val="0"/>
          <w:iCs/>
          <w:kern w:val="2"/>
          <w:sz w:val="28"/>
          <w:szCs w:val="28"/>
          <w:u w:val="none"/>
          <w:shd w:val="clear" w:color="auto" w:fill="FFFFFF"/>
          <w:vertAlign w:val="subscript"/>
          <w:lang w:val="en-US" w:eastAsia="zh-CN" w:bidi="ar-SA"/>
        </w:rPr>
        <w:t>c</w:t>
      </w:r>
      <w:r>
        <w:rPr>
          <w:rFonts w:hint="eastAsia" w:ascii="宋体" w:hAnsi="宋体" w:eastAsia="宋体" w:cs="宋体"/>
          <w:b/>
          <w:bCs/>
          <w:i w:val="0"/>
          <w:iCs/>
          <w:kern w:val="2"/>
          <w:sz w:val="28"/>
          <w:szCs w:val="28"/>
          <w:u w:val="none"/>
          <w:shd w:val="clear" w:color="auto" w:fill="FFFFFF"/>
          <w:lang w:val="en-US" w:eastAsia="zh-CN" w:bidi="ar-SA"/>
        </w:rPr>
        <w:t>：节点标准化</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1</w:t>
      </w:r>
      <w:r>
        <w:rPr>
          <w:rFonts w:hint="eastAsia" w:ascii="宋体" w:hAnsi="宋体" w:eastAsia="宋体" w:cs="宋体"/>
          <w:i w:val="0"/>
          <w:iCs/>
          <w:kern w:val="2"/>
          <w:sz w:val="21"/>
          <w:szCs w:val="21"/>
          <w:u w:val="none"/>
          <w:shd w:val="clear" w:color="auto" w:fill="FFFFFF"/>
          <w:lang w:val="en-US" w:eastAsia="zh-CN" w:bidi="ar-SA"/>
        </w:rPr>
        <w:t>分）</w:t>
      </w:r>
    </w:p>
    <w:p>
      <w:pPr>
        <w:spacing w:line="600" w:lineRule="exact"/>
        <w:ind w:firstLine="560" w:firstLineChars="200"/>
        <w:rPr>
          <w:rFonts w:hint="eastAsia"/>
          <w:sz w:val="28"/>
          <w:szCs w:val="28"/>
          <w:u w:val="none"/>
        </w:rPr>
      </w:pPr>
      <w:r>
        <w:rPr>
          <w:rFonts w:hint="eastAsia"/>
          <w:sz w:val="28"/>
          <w:szCs w:val="28"/>
          <w:u w:val="none"/>
        </w:rPr>
        <w:t>预制构件的连接节点部位满足安全、经济、方便施工的要求，构件连接节点标准化设计满足</w:t>
      </w:r>
      <w:r>
        <w:rPr>
          <w:rFonts w:hint="eastAsia"/>
          <w:sz w:val="28"/>
          <w:szCs w:val="28"/>
          <w:u w:val="none"/>
          <w:lang w:val="en-US" w:eastAsia="zh-CN"/>
        </w:rPr>
        <w:t>国家标准</w:t>
      </w:r>
      <w:r>
        <w:rPr>
          <w:rFonts w:hint="eastAsia"/>
          <w:sz w:val="28"/>
          <w:szCs w:val="28"/>
          <w:u w:val="none"/>
        </w:rPr>
        <w:t>《装配式混凝土建筑技术标准》G</w:t>
      </w:r>
      <w:r>
        <w:rPr>
          <w:sz w:val="28"/>
          <w:szCs w:val="28"/>
          <w:u w:val="none"/>
        </w:rPr>
        <w:t>B/T</w:t>
      </w:r>
      <w:r>
        <w:rPr>
          <w:rFonts w:hint="eastAsia"/>
          <w:sz w:val="28"/>
          <w:szCs w:val="28"/>
          <w:u w:val="none"/>
          <w:lang w:val="en-US" w:eastAsia="zh-CN"/>
        </w:rPr>
        <w:t xml:space="preserve"> </w:t>
      </w:r>
      <w:r>
        <w:rPr>
          <w:rFonts w:eastAsia="Times New Roman"/>
          <w:sz w:val="28"/>
          <w:szCs w:val="28"/>
          <w:u w:val="none"/>
        </w:rPr>
        <w:t>51231</w:t>
      </w:r>
      <w:r>
        <w:rPr>
          <w:rFonts w:hint="eastAsia"/>
          <w:sz w:val="28"/>
          <w:szCs w:val="28"/>
          <w:u w:val="none"/>
        </w:rPr>
        <w:t>与</w:t>
      </w:r>
      <w:r>
        <w:rPr>
          <w:rFonts w:hint="eastAsia"/>
          <w:sz w:val="28"/>
          <w:szCs w:val="28"/>
          <w:u w:val="none"/>
          <w:lang w:val="en-US" w:eastAsia="zh-CN"/>
        </w:rPr>
        <w:t>广东省标准</w:t>
      </w:r>
      <w:r>
        <w:rPr>
          <w:rFonts w:hint="eastAsia"/>
          <w:sz w:val="28"/>
          <w:szCs w:val="28"/>
          <w:u w:val="none"/>
        </w:rPr>
        <w:t>《装配式混凝土建筑结构技术规程》</w:t>
      </w:r>
      <w:r>
        <w:rPr>
          <w:rFonts w:hint="eastAsia"/>
          <w:sz w:val="28"/>
          <w:szCs w:val="28"/>
          <w:u w:val="none"/>
          <w:lang w:val="en-US" w:eastAsia="zh-CN"/>
        </w:rPr>
        <w:t xml:space="preserve">DBJ </w:t>
      </w:r>
      <w:r>
        <w:rPr>
          <w:rFonts w:hint="eastAsia" w:eastAsia="Times New Roman"/>
          <w:sz w:val="28"/>
          <w:szCs w:val="28"/>
          <w:u w:val="none"/>
          <w:lang w:val="en-US" w:eastAsia="zh-CN"/>
        </w:rPr>
        <w:t>15</w:t>
      </w:r>
      <w:r>
        <w:rPr>
          <w:rFonts w:hint="eastAsia"/>
          <w:sz w:val="28"/>
          <w:szCs w:val="28"/>
          <w:u w:val="none"/>
          <w:lang w:val="en-US" w:eastAsia="zh-CN"/>
        </w:rPr>
        <w:t>-</w:t>
      </w:r>
      <w:r>
        <w:rPr>
          <w:rFonts w:hint="eastAsia" w:eastAsia="Times New Roman"/>
          <w:sz w:val="28"/>
          <w:szCs w:val="28"/>
          <w:u w:val="none"/>
          <w:lang w:val="en-US" w:eastAsia="zh-CN"/>
        </w:rPr>
        <w:t>107</w:t>
      </w:r>
      <w:r>
        <w:rPr>
          <w:rFonts w:hint="eastAsia"/>
          <w:sz w:val="28"/>
          <w:szCs w:val="28"/>
          <w:u w:val="none"/>
        </w:rPr>
        <w:t>规定，或国家、省、市装配式建筑标准图集节点大样</w:t>
      </w:r>
      <w:r>
        <w:rPr>
          <w:rFonts w:hint="eastAsia"/>
          <w:sz w:val="28"/>
          <w:szCs w:val="28"/>
          <w:u w:val="none"/>
          <w:lang w:val="en-US" w:eastAsia="zh-CN"/>
        </w:rPr>
        <w:t>时</w:t>
      </w:r>
      <w:r>
        <w:rPr>
          <w:rFonts w:hint="eastAsia"/>
          <w:sz w:val="28"/>
          <w:szCs w:val="28"/>
          <w:u w:val="none"/>
        </w:rPr>
        <w:t>，</w:t>
      </w:r>
      <w:r>
        <w:rPr>
          <w:rFonts w:hint="eastAsia"/>
          <w:sz w:val="28"/>
          <w:szCs w:val="28"/>
          <w:u w:val="none"/>
          <w:lang w:val="en-US" w:eastAsia="zh-CN"/>
        </w:rPr>
        <w:t>得</w:t>
      </w:r>
      <w:r>
        <w:rPr>
          <w:rFonts w:hint="eastAsia" w:eastAsia="Times New Roman"/>
          <w:sz w:val="28"/>
          <w:szCs w:val="28"/>
          <w:u w:val="none"/>
        </w:rPr>
        <w:t>1</w:t>
      </w:r>
      <w:r>
        <w:rPr>
          <w:rFonts w:hint="eastAsia"/>
          <w:sz w:val="28"/>
          <w:szCs w:val="28"/>
          <w:u w:val="none"/>
        </w:rPr>
        <w:t>分。</w:t>
      </w:r>
    </w:p>
    <w:p>
      <w:pPr>
        <w:spacing w:line="600" w:lineRule="exact"/>
        <w:rPr>
          <w:rFonts w:hint="eastAsia" w:ascii="宋体" w:hAnsi="宋体" w:eastAsia="宋体" w:cs="宋体"/>
          <w:b/>
          <w:bCs/>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62</w:t>
      </w:r>
      <w:r>
        <w:rPr>
          <w:rFonts w:hint="eastAsia" w:ascii="宋体" w:hAnsi="宋体" w:eastAsia="宋体" w:cs="宋体"/>
          <w:b/>
          <w:bCs/>
          <w:sz w:val="28"/>
          <w:szCs w:val="28"/>
          <w:u w:val="none"/>
          <w:lang w:val="en-US" w:eastAsia="zh-CN"/>
        </w:rPr>
        <w:t>：绿色与信息化应用鼓励项</w:t>
      </w:r>
    </w:p>
    <w:p>
      <w:pPr>
        <w:spacing w:line="600" w:lineRule="exact"/>
        <w:rPr>
          <w:rFonts w:hint="eastAsia"/>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62</w:t>
      </w:r>
      <w:r>
        <w:rPr>
          <w:rFonts w:hint="eastAsia" w:ascii="宋体" w:hAnsi="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w:t>
      </w:r>
      <w:r>
        <w:rPr>
          <w:rFonts w:hint="eastAsia" w:ascii="宋体" w:hAnsi="宋体" w:cs="宋体"/>
          <w:b/>
          <w:bCs/>
          <w:sz w:val="28"/>
          <w:szCs w:val="28"/>
          <w:u w:val="none"/>
          <w:lang w:val="en-US" w:eastAsia="zh-CN"/>
        </w:rPr>
        <w:t>绿</w:t>
      </w:r>
      <w:r>
        <w:rPr>
          <w:rFonts w:hint="eastAsia"/>
          <w:b/>
          <w:bCs/>
          <w:sz w:val="28"/>
          <w:szCs w:val="28"/>
          <w:u w:val="none"/>
          <w:lang w:val="en-US" w:eastAsia="zh-CN"/>
        </w:rPr>
        <w:t>色建筑</w:t>
      </w:r>
      <w:r>
        <w:rPr>
          <w:rFonts w:hint="eastAsia"/>
          <w:sz w:val="21"/>
          <w:szCs w:val="21"/>
          <w:u w:val="none"/>
          <w:lang w:val="en-US" w:eastAsia="zh-CN"/>
        </w:rPr>
        <w:t>（</w:t>
      </w:r>
      <w:r>
        <w:rPr>
          <w:rFonts w:hint="eastAsia" w:eastAsia="Times New Roman"/>
          <w:sz w:val="21"/>
          <w:szCs w:val="21"/>
          <w:u w:val="none"/>
          <w:lang w:val="en-US" w:eastAsia="zh-CN"/>
        </w:rPr>
        <w:t>1</w:t>
      </w:r>
      <w:r>
        <w:rPr>
          <w:rFonts w:hint="eastAsia"/>
          <w:sz w:val="21"/>
          <w:szCs w:val="21"/>
          <w:u w:val="none"/>
          <w:lang w:val="en-US" w:eastAsia="zh-CN"/>
        </w:rPr>
        <w:t>.</w:t>
      </w:r>
      <w:r>
        <w:rPr>
          <w:rFonts w:hint="eastAsia" w:eastAsia="Times New Roman"/>
          <w:sz w:val="21"/>
          <w:szCs w:val="21"/>
          <w:u w:val="none"/>
          <w:lang w:val="en-US" w:eastAsia="zh-CN"/>
        </w:rPr>
        <w:t>5</w:t>
      </w:r>
      <w:r>
        <w:rPr>
          <w:rFonts w:hint="eastAsia"/>
          <w:sz w:val="21"/>
          <w:szCs w:val="21"/>
          <w:u w:val="none"/>
          <w:lang w:val="en-US" w:eastAsia="zh-CN"/>
        </w:rPr>
        <w:t>分）</w:t>
      </w:r>
    </w:p>
    <w:p>
      <w:pPr>
        <w:spacing w:line="600" w:lineRule="exact"/>
        <w:ind w:firstLine="560" w:firstLineChars="200"/>
        <w:rPr>
          <w:rFonts w:hint="eastAsia"/>
          <w:sz w:val="28"/>
          <w:szCs w:val="28"/>
          <w:u w:val="none"/>
        </w:rPr>
      </w:pPr>
      <w:r>
        <w:rPr>
          <w:rFonts w:hint="eastAsia"/>
          <w:sz w:val="28"/>
          <w:szCs w:val="28"/>
          <w:u w:val="none"/>
        </w:rPr>
        <w:t>在绿色建筑评价的预评价阶段，取得</w:t>
      </w:r>
      <w:r>
        <w:rPr>
          <w:rFonts w:hint="eastAsia"/>
          <w:sz w:val="28"/>
          <w:szCs w:val="28"/>
          <w:u w:val="none"/>
          <w:lang w:val="en-US" w:eastAsia="zh-CN"/>
        </w:rPr>
        <w:t>一</w:t>
      </w:r>
      <w:r>
        <w:rPr>
          <w:rFonts w:hint="eastAsia"/>
          <w:sz w:val="28"/>
          <w:szCs w:val="28"/>
          <w:u w:val="none"/>
        </w:rPr>
        <w:t>星得</w:t>
      </w:r>
      <w:r>
        <w:rPr>
          <w:rFonts w:eastAsia="Times New Roman"/>
          <w:sz w:val="28"/>
          <w:szCs w:val="28"/>
          <w:u w:val="none"/>
        </w:rPr>
        <w:t>0</w:t>
      </w:r>
      <w:r>
        <w:rPr>
          <w:sz w:val="28"/>
          <w:szCs w:val="28"/>
          <w:u w:val="none"/>
        </w:rPr>
        <w:t>.</w:t>
      </w:r>
      <w:r>
        <w:rPr>
          <w:rFonts w:eastAsia="Times New Roman"/>
          <w:sz w:val="28"/>
          <w:szCs w:val="28"/>
          <w:u w:val="none"/>
        </w:rPr>
        <w:t>5</w:t>
      </w:r>
      <w:r>
        <w:rPr>
          <w:rFonts w:hint="eastAsia"/>
          <w:sz w:val="28"/>
          <w:szCs w:val="28"/>
          <w:u w:val="none"/>
        </w:rPr>
        <w:t>分，取得</w:t>
      </w:r>
      <w:r>
        <w:rPr>
          <w:rFonts w:hint="eastAsia"/>
          <w:sz w:val="28"/>
          <w:szCs w:val="28"/>
          <w:u w:val="none"/>
          <w:lang w:val="en-US" w:eastAsia="zh-CN"/>
        </w:rPr>
        <w:t>二</w:t>
      </w:r>
      <w:r>
        <w:rPr>
          <w:rFonts w:hint="eastAsia"/>
          <w:sz w:val="28"/>
          <w:szCs w:val="28"/>
          <w:u w:val="none"/>
        </w:rPr>
        <w:t>星得</w:t>
      </w:r>
      <w:r>
        <w:rPr>
          <w:rFonts w:hint="eastAsia" w:eastAsia="Times New Roman"/>
          <w:sz w:val="28"/>
          <w:szCs w:val="28"/>
          <w:u w:val="none"/>
          <w:lang w:val="en-US" w:eastAsia="zh-CN"/>
        </w:rPr>
        <w:t>1</w:t>
      </w:r>
      <w:r>
        <w:rPr>
          <w:rFonts w:hint="eastAsia"/>
          <w:sz w:val="28"/>
          <w:szCs w:val="28"/>
          <w:u w:val="none"/>
        </w:rPr>
        <w:t>分，取得</w:t>
      </w:r>
      <w:r>
        <w:rPr>
          <w:rFonts w:hint="eastAsia"/>
          <w:sz w:val="28"/>
          <w:szCs w:val="28"/>
          <w:u w:val="none"/>
          <w:lang w:val="en-US" w:eastAsia="zh-CN"/>
        </w:rPr>
        <w:t>三</w:t>
      </w:r>
      <w:r>
        <w:rPr>
          <w:rFonts w:hint="eastAsia"/>
          <w:sz w:val="28"/>
          <w:szCs w:val="28"/>
          <w:u w:val="none"/>
        </w:rPr>
        <w:t>星得</w:t>
      </w:r>
      <w:r>
        <w:rPr>
          <w:rFonts w:hint="eastAsia" w:eastAsia="Times New Roman"/>
          <w:sz w:val="28"/>
          <w:szCs w:val="28"/>
          <w:u w:val="none"/>
        </w:rPr>
        <w:t>1</w:t>
      </w:r>
      <w:r>
        <w:rPr>
          <w:rFonts w:hint="eastAsia"/>
          <w:sz w:val="28"/>
          <w:szCs w:val="28"/>
          <w:u w:val="none"/>
          <w:lang w:val="en-US" w:eastAsia="zh-CN"/>
        </w:rPr>
        <w:t>.</w:t>
      </w:r>
      <w:r>
        <w:rPr>
          <w:rFonts w:hint="eastAsia" w:eastAsia="Times New Roman"/>
          <w:sz w:val="28"/>
          <w:szCs w:val="28"/>
          <w:u w:val="none"/>
          <w:lang w:val="en-US" w:eastAsia="zh-CN"/>
        </w:rPr>
        <w:t>5</w:t>
      </w:r>
      <w:r>
        <w:rPr>
          <w:rFonts w:hint="eastAsia"/>
          <w:sz w:val="28"/>
          <w:szCs w:val="28"/>
          <w:u w:val="none"/>
        </w:rPr>
        <w:t>分。</w:t>
      </w:r>
    </w:p>
    <w:p>
      <w:pPr>
        <w:spacing w:line="600" w:lineRule="exact"/>
        <w:rPr>
          <w:rFonts w:hint="eastAsia" w:ascii="宋体" w:hAnsi="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62</w:t>
      </w:r>
      <w:r>
        <w:rPr>
          <w:rFonts w:hint="eastAsia" w:ascii="宋体" w:hAnsi="宋体" w:cs="宋体"/>
          <w:b/>
          <w:bCs/>
          <w:sz w:val="28"/>
          <w:szCs w:val="28"/>
          <w:u w:val="none"/>
          <w:vertAlign w:val="subscript"/>
          <w:lang w:val="en-US" w:eastAsia="zh-CN"/>
        </w:rPr>
        <w:t>b</w:t>
      </w:r>
      <w:r>
        <w:rPr>
          <w:rFonts w:hint="eastAsia" w:ascii="宋体" w:hAnsi="宋体" w:cs="宋体"/>
          <w:b/>
          <w:bCs/>
          <w:sz w:val="28"/>
          <w:szCs w:val="28"/>
          <w:u w:val="none"/>
          <w:lang w:val="en-US" w:eastAsia="zh-CN"/>
        </w:rPr>
        <w:t>：BIM应用</w:t>
      </w:r>
      <w:r>
        <w:rPr>
          <w:rFonts w:hint="eastAsia" w:ascii="宋体" w:hAnsi="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cs="宋体"/>
          <w:sz w:val="21"/>
          <w:szCs w:val="21"/>
          <w:u w:val="none"/>
          <w:lang w:val="en-US" w:eastAsia="zh-CN"/>
        </w:rPr>
        <w:t>分）</w:t>
      </w:r>
    </w:p>
    <w:p>
      <w:pPr>
        <w:spacing w:line="600" w:lineRule="exact"/>
        <w:ind w:firstLine="560" w:firstLineChars="200"/>
        <w:rPr>
          <w:rFonts w:hint="eastAsia" w:ascii="宋体" w:hAnsi="宋体" w:eastAsia="宋体" w:cs="宋体"/>
          <w:sz w:val="28"/>
          <w:szCs w:val="28"/>
          <w:u w:val="none"/>
          <w:lang w:eastAsia="zh-CN"/>
        </w:rPr>
      </w:pPr>
      <w:r>
        <w:rPr>
          <w:rFonts w:hint="eastAsia" w:ascii="宋体" w:hAnsi="宋体" w:eastAsia="宋体" w:cs="宋体"/>
          <w:sz w:val="28"/>
          <w:szCs w:val="28"/>
          <w:u w:val="none"/>
        </w:rPr>
        <w:t>装配式建筑在项目竣工验收时，提供的BIM资料可满足使用方在运营、维护阶段的主要需求得</w:t>
      </w:r>
      <w:r>
        <w:rPr>
          <w:rFonts w:hint="eastAsia" w:ascii="宋体" w:hAnsi="宋体" w:eastAsia="Times New Roman" w:cs="宋体"/>
          <w:sz w:val="28"/>
          <w:szCs w:val="28"/>
          <w:u w:val="none"/>
        </w:rPr>
        <w:t>1</w:t>
      </w:r>
      <w:r>
        <w:rPr>
          <w:rFonts w:hint="eastAsia" w:ascii="宋体" w:hAnsi="宋体" w:eastAsia="宋体" w:cs="宋体"/>
          <w:sz w:val="28"/>
          <w:szCs w:val="28"/>
          <w:u w:val="none"/>
        </w:rPr>
        <w:t>分</w:t>
      </w:r>
      <w:r>
        <w:rPr>
          <w:rFonts w:hint="eastAsia" w:ascii="宋体" w:hAnsi="宋体" w:eastAsia="宋体" w:cs="宋体"/>
          <w:sz w:val="28"/>
          <w:szCs w:val="28"/>
          <w:u w:val="none"/>
          <w:lang w:eastAsia="zh-CN"/>
        </w:rPr>
        <w:t>。</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注：设计、生产、施工方应提供包括主体结构、外围护、室内装修和设备管线等完整的、与现状相一致的BIM资料给建设方，以满足使用方在运营、维护阶段的主要需求、使建筑信息管理更精确。</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BIM资料的相关要求按照《建筑信息模型应用统一标准》GB/T</w:t>
      </w:r>
      <w:r>
        <w:rPr>
          <w:rFonts w:hint="eastAsia" w:ascii="宋体" w:hAnsi="宋体" w:cs="宋体"/>
          <w:i w:val="0"/>
          <w:iCs/>
          <w:kern w:val="2"/>
          <w:sz w:val="24"/>
          <w:szCs w:val="24"/>
          <w:u w:val="none"/>
          <w:shd w:val="clear" w:color="auto" w:fill="FFFFFF"/>
          <w:lang w:val="en-US" w:eastAsia="zh-CN" w:bidi="ar-SA"/>
        </w:rPr>
        <w:t xml:space="preserve"> </w:t>
      </w:r>
      <w:r>
        <w:rPr>
          <w:rFonts w:hint="eastAsia" w:ascii="宋体" w:hAnsi="宋体" w:eastAsia="Times New Roman" w:cs="宋体"/>
          <w:i w:val="0"/>
          <w:iCs/>
          <w:kern w:val="2"/>
          <w:sz w:val="24"/>
          <w:szCs w:val="24"/>
          <w:u w:val="none"/>
          <w:shd w:val="clear" w:color="auto" w:fill="FFFFFF"/>
          <w:lang w:val="en-US" w:eastAsia="zh-CN" w:bidi="ar-SA"/>
        </w:rPr>
        <w:t>51212</w:t>
      </w:r>
      <w:r>
        <w:rPr>
          <w:rFonts w:hint="eastAsia" w:ascii="宋体" w:hAnsi="宋体" w:eastAsia="宋体" w:cs="宋体"/>
          <w:i w:val="0"/>
          <w:iCs/>
          <w:kern w:val="2"/>
          <w:sz w:val="24"/>
          <w:szCs w:val="24"/>
          <w:u w:val="none"/>
          <w:shd w:val="clear" w:color="auto" w:fill="FFFFFF"/>
          <w:lang w:val="en-US" w:eastAsia="zh-CN" w:bidi="ar-SA"/>
        </w:rPr>
        <w:t xml:space="preserve">和《广东省建筑信息模型应用统一标准》DBJ/T </w:t>
      </w:r>
      <w:r>
        <w:rPr>
          <w:rFonts w:hint="eastAsia" w:ascii="宋体" w:hAnsi="宋体" w:eastAsia="Times New Roman" w:cs="宋体"/>
          <w:i w:val="0"/>
          <w:iCs/>
          <w:kern w:val="2"/>
          <w:sz w:val="24"/>
          <w:szCs w:val="24"/>
          <w:u w:val="none"/>
          <w:shd w:val="clear" w:color="auto" w:fill="FFFFFF"/>
          <w:lang w:val="en-US" w:eastAsia="zh-CN" w:bidi="ar-SA"/>
        </w:rPr>
        <w:t>15</w:t>
      </w:r>
      <w:r>
        <w:rPr>
          <w:rFonts w:hint="eastAsia" w:ascii="宋体" w:hAnsi="宋体" w:eastAsia="宋体" w:cs="宋体"/>
          <w:i w:val="0"/>
          <w:iCs/>
          <w:kern w:val="2"/>
          <w:sz w:val="24"/>
          <w:szCs w:val="24"/>
          <w:u w:val="none"/>
          <w:shd w:val="clear" w:color="auto" w:fill="FFFFFF"/>
          <w:lang w:val="en-US" w:eastAsia="zh-CN" w:bidi="ar-SA"/>
        </w:rPr>
        <w:t>-</w:t>
      </w:r>
      <w:r>
        <w:rPr>
          <w:rFonts w:hint="eastAsia" w:ascii="宋体" w:hAnsi="宋体" w:eastAsia="Times New Roman" w:cs="宋体"/>
          <w:i w:val="0"/>
          <w:iCs/>
          <w:kern w:val="2"/>
          <w:sz w:val="24"/>
          <w:szCs w:val="24"/>
          <w:u w:val="none"/>
          <w:shd w:val="clear" w:color="auto" w:fill="FFFFFF"/>
          <w:lang w:val="en-US" w:eastAsia="zh-CN" w:bidi="ar-SA"/>
        </w:rPr>
        <w:t>142</w:t>
      </w:r>
      <w:r>
        <w:rPr>
          <w:rFonts w:hint="eastAsia" w:ascii="宋体" w:hAnsi="宋体" w:eastAsia="宋体" w:cs="宋体"/>
          <w:i w:val="0"/>
          <w:iCs/>
          <w:kern w:val="2"/>
          <w:sz w:val="24"/>
          <w:szCs w:val="24"/>
          <w:u w:val="none"/>
          <w:shd w:val="clear" w:color="auto" w:fill="FFFFFF"/>
          <w:lang w:val="en-US" w:eastAsia="zh-CN" w:bidi="ar-SA"/>
        </w:rPr>
        <w:t>执行</w:t>
      </w:r>
      <w:r>
        <w:rPr>
          <w:rFonts w:hint="eastAsia" w:ascii="楷体" w:hAnsi="楷体" w:eastAsia="楷体" w:cs="楷体"/>
          <w:i w:val="0"/>
          <w:iCs/>
          <w:kern w:val="2"/>
          <w:sz w:val="24"/>
          <w:szCs w:val="24"/>
          <w:u w:val="none"/>
          <w:shd w:val="clear" w:color="auto" w:fill="FFFFFF"/>
          <w:lang w:val="en-US" w:eastAsia="zh-CN" w:bidi="ar-SA"/>
        </w:rPr>
        <w:t>。</w:t>
      </w:r>
    </w:p>
    <w:p>
      <w:pPr>
        <w:pStyle w:val="32"/>
        <w:ind w:left="0" w:leftChars="0" w:firstLine="0" w:firstLineChars="0"/>
        <w:rPr>
          <w:rFonts w:hint="eastAsia" w:ascii="楷体" w:hAnsi="楷体" w:eastAsia="楷体" w:cs="楷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62</w:t>
      </w:r>
      <w:r>
        <w:rPr>
          <w:rFonts w:hint="eastAsia" w:ascii="宋体" w:hAnsi="宋体" w:eastAsia="宋体" w:cs="宋体"/>
          <w:b/>
          <w:bCs/>
          <w:i w:val="0"/>
          <w:iCs/>
          <w:kern w:val="2"/>
          <w:sz w:val="28"/>
          <w:szCs w:val="28"/>
          <w:u w:val="none"/>
          <w:shd w:val="clear" w:color="auto" w:fill="FFFFFF"/>
          <w:vertAlign w:val="subscript"/>
          <w:lang w:val="en-US" w:eastAsia="zh-CN" w:bidi="ar-SA"/>
        </w:rPr>
        <w:t>c</w:t>
      </w:r>
      <w:r>
        <w:rPr>
          <w:rFonts w:hint="eastAsia" w:ascii="宋体" w:hAnsi="宋体" w:eastAsia="宋体" w:cs="宋体"/>
          <w:b/>
          <w:bCs/>
          <w:i w:val="0"/>
          <w:iCs/>
          <w:kern w:val="2"/>
          <w:sz w:val="28"/>
          <w:szCs w:val="28"/>
          <w:u w:val="none"/>
          <w:shd w:val="clear" w:color="auto" w:fill="FFFFFF"/>
          <w:lang w:val="en-US" w:eastAsia="zh-CN" w:bidi="ar-SA"/>
        </w:rPr>
        <w:t>：智能化应用</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0</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5</w:t>
      </w:r>
      <w:r>
        <w:rPr>
          <w:rFonts w:hint="eastAsia" w:ascii="宋体" w:hAnsi="宋体" w:eastAsia="宋体" w:cs="宋体"/>
          <w:i w:val="0"/>
          <w:iCs/>
          <w:kern w:val="2"/>
          <w:sz w:val="21"/>
          <w:szCs w:val="21"/>
          <w:u w:val="none"/>
          <w:shd w:val="clear" w:color="auto" w:fill="FFFFFF"/>
          <w:lang w:val="en-US" w:eastAsia="zh-CN" w:bidi="ar-SA"/>
        </w:rPr>
        <w:t>分）</w:t>
      </w:r>
    </w:p>
    <w:p>
      <w:pPr>
        <w:pStyle w:val="46"/>
        <w:ind w:firstLine="560"/>
        <w:rPr>
          <w:rFonts w:hint="default"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sz w:val="28"/>
          <w:szCs w:val="28"/>
          <w:u w:val="none"/>
        </w:rPr>
        <w:t>住宅和公共建筑采用智能化系统，</w:t>
      </w:r>
      <w:r>
        <w:rPr>
          <w:rFonts w:hint="eastAsia" w:ascii="宋体" w:hAnsi="宋体" w:eastAsia="宋体" w:cs="宋体"/>
          <w:i w:val="0"/>
          <w:iCs/>
          <w:kern w:val="2"/>
          <w:sz w:val="28"/>
          <w:szCs w:val="28"/>
          <w:u w:val="none"/>
          <w:shd w:val="clear" w:color="auto" w:fill="FFFFFF"/>
          <w:lang w:val="en-US" w:eastAsia="zh-CN" w:bidi="ar-SA"/>
        </w:rPr>
        <w:t>且满足《智能建筑设计标准》GB</w:t>
      </w:r>
      <w:r>
        <w:rPr>
          <w:rFonts w:hint="eastAsia" w:ascii="宋体" w:hAnsi="宋体" w:cs="宋体"/>
          <w:i w:val="0"/>
          <w:iCs/>
          <w:kern w:val="2"/>
          <w:sz w:val="28"/>
          <w:szCs w:val="28"/>
          <w:u w:val="none"/>
          <w:shd w:val="clear" w:color="auto" w:fill="FFFFFF"/>
          <w:lang w:val="en-US" w:eastAsia="zh-CN" w:bidi="ar-SA"/>
        </w:rPr>
        <w:t xml:space="preserve"> </w:t>
      </w:r>
      <w:r>
        <w:rPr>
          <w:rFonts w:hint="eastAsia" w:ascii="宋体" w:hAnsi="宋体" w:eastAsia="Times New Roman" w:cs="宋体"/>
          <w:i w:val="0"/>
          <w:iCs/>
          <w:kern w:val="2"/>
          <w:sz w:val="28"/>
          <w:szCs w:val="28"/>
          <w:u w:val="none"/>
          <w:shd w:val="clear" w:color="auto" w:fill="FFFFFF"/>
          <w:lang w:val="en-US" w:eastAsia="zh-CN" w:bidi="ar-SA"/>
        </w:rPr>
        <w:t>50314</w:t>
      </w:r>
      <w:r>
        <w:rPr>
          <w:rFonts w:hint="eastAsia" w:ascii="宋体" w:hAnsi="宋体" w:eastAsia="宋体" w:cs="宋体"/>
          <w:i w:val="0"/>
          <w:iCs/>
          <w:kern w:val="2"/>
          <w:sz w:val="28"/>
          <w:szCs w:val="28"/>
          <w:u w:val="none"/>
          <w:shd w:val="clear" w:color="auto" w:fill="FFFFFF"/>
          <w:lang w:val="en-US" w:eastAsia="zh-CN" w:bidi="ar-SA"/>
        </w:rPr>
        <w:t>里对应建筑智能化系统的配置要求，可得</w:t>
      </w:r>
      <w:r>
        <w:rPr>
          <w:rFonts w:hint="eastAsia" w:ascii="宋体" w:hAnsi="宋体" w:eastAsia="Times New Roman" w:cs="宋体"/>
          <w:i w:val="0"/>
          <w:iCs/>
          <w:kern w:val="2"/>
          <w:sz w:val="28"/>
          <w:szCs w:val="28"/>
          <w:u w:val="none"/>
          <w:shd w:val="clear" w:color="auto" w:fill="FFFFFF"/>
          <w:lang w:val="en-US" w:eastAsia="zh-CN" w:bidi="ar-SA"/>
        </w:rPr>
        <w:t>0</w:t>
      </w:r>
      <w:r>
        <w:rPr>
          <w:rFonts w:hint="eastAsia" w:ascii="宋体" w:hAnsi="宋体" w:eastAsia="宋体" w:cs="宋体"/>
          <w:i w:val="0"/>
          <w:iCs/>
          <w:kern w:val="2"/>
          <w:sz w:val="28"/>
          <w:szCs w:val="28"/>
          <w:u w:val="none"/>
          <w:shd w:val="clear" w:color="auto" w:fill="FFFFFF"/>
          <w:lang w:val="en-US" w:eastAsia="zh-CN" w:bidi="ar-SA"/>
        </w:rPr>
        <w:t>.</w:t>
      </w:r>
      <w:r>
        <w:rPr>
          <w:rFonts w:hint="eastAsia" w:ascii="宋体" w:hAnsi="宋体" w:eastAsia="Times New Roman" w:cs="宋体"/>
          <w:i w:val="0"/>
          <w:iCs/>
          <w:kern w:val="2"/>
          <w:sz w:val="28"/>
          <w:szCs w:val="28"/>
          <w:u w:val="none"/>
          <w:shd w:val="clear" w:color="auto" w:fill="FFFFFF"/>
          <w:lang w:val="en-US" w:eastAsia="zh-CN" w:bidi="ar-SA"/>
        </w:rPr>
        <w:t>5</w:t>
      </w:r>
      <w:r>
        <w:rPr>
          <w:rFonts w:hint="eastAsia" w:ascii="宋体" w:hAnsi="宋体" w:eastAsia="宋体" w:cs="宋体"/>
          <w:i w:val="0"/>
          <w:iCs/>
          <w:kern w:val="2"/>
          <w:sz w:val="28"/>
          <w:szCs w:val="28"/>
          <w:u w:val="none"/>
          <w:shd w:val="clear" w:color="auto" w:fill="FFFFFF"/>
          <w:lang w:val="en-US" w:eastAsia="zh-CN" w:bidi="ar-SA"/>
        </w:rPr>
        <w:t>分。</w:t>
      </w:r>
    </w:p>
    <w:p>
      <w:pPr>
        <w:pStyle w:val="32"/>
        <w:ind w:left="0" w:leftChars="0" w:firstLine="0" w:firstLineChars="0"/>
        <w:rPr>
          <w:rFonts w:hint="eastAsia" w:ascii="宋体" w:hAnsi="宋体" w:eastAsia="宋体" w:cs="宋体"/>
          <w:b/>
          <w:bCs/>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63</w:t>
      </w:r>
      <w:r>
        <w:rPr>
          <w:rFonts w:hint="eastAsia" w:ascii="宋体" w:hAnsi="宋体" w:eastAsia="宋体" w:cs="宋体"/>
          <w:b/>
          <w:bCs/>
          <w:i w:val="0"/>
          <w:iCs/>
          <w:kern w:val="2"/>
          <w:sz w:val="28"/>
          <w:szCs w:val="28"/>
          <w:u w:val="none"/>
          <w:shd w:val="clear" w:color="auto" w:fill="FFFFFF"/>
          <w:lang w:val="en-US" w:eastAsia="zh-CN" w:bidi="ar-SA"/>
        </w:rPr>
        <w:t>：施工与管理鼓励项</w:t>
      </w:r>
    </w:p>
    <w:p>
      <w:pPr>
        <w:pStyle w:val="32"/>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63</w:t>
      </w:r>
      <w:r>
        <w:rPr>
          <w:rFonts w:hint="eastAsia" w:ascii="宋体" w:hAnsi="宋体" w:eastAsia="宋体" w:cs="宋体"/>
          <w:b/>
          <w:bCs/>
          <w:i w:val="0"/>
          <w:iCs/>
          <w:kern w:val="2"/>
          <w:sz w:val="28"/>
          <w:szCs w:val="28"/>
          <w:u w:val="none"/>
          <w:shd w:val="clear" w:color="auto" w:fill="FFFFFF"/>
          <w:vertAlign w:val="subscript"/>
          <w:lang w:val="en-US" w:eastAsia="zh-CN" w:bidi="ar-SA"/>
        </w:rPr>
        <w:t>a</w:t>
      </w:r>
      <w:r>
        <w:rPr>
          <w:rFonts w:hint="eastAsia" w:ascii="宋体" w:hAnsi="宋体" w:eastAsia="宋体" w:cs="宋体"/>
          <w:b/>
          <w:bCs/>
          <w:i w:val="0"/>
          <w:iCs/>
          <w:kern w:val="2"/>
          <w:sz w:val="28"/>
          <w:szCs w:val="28"/>
          <w:u w:val="none"/>
          <w:shd w:val="clear" w:color="auto" w:fill="FFFFFF"/>
          <w:lang w:val="en-US" w:eastAsia="zh-CN" w:bidi="ar-SA"/>
        </w:rPr>
        <w:t>：绿色施工</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1</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5</w:t>
      </w:r>
      <w:r>
        <w:rPr>
          <w:rFonts w:hint="eastAsia" w:ascii="宋体" w:hAnsi="宋体" w:eastAsia="宋体" w:cs="宋体"/>
          <w:i w:val="0"/>
          <w:iCs/>
          <w:kern w:val="2"/>
          <w:sz w:val="21"/>
          <w:szCs w:val="21"/>
          <w:u w:val="none"/>
          <w:shd w:val="clear" w:color="auto" w:fill="FFFFFF"/>
          <w:lang w:val="en-US" w:eastAsia="zh-CN" w:bidi="ar-SA"/>
        </w:rPr>
        <w:t>分）</w:t>
      </w:r>
    </w:p>
    <w:p>
      <w:pPr>
        <w:pStyle w:val="32"/>
        <w:ind w:left="0" w:leftChars="0" w:firstLine="560" w:firstLineChars="200"/>
        <w:rPr>
          <w:rFonts w:hint="eastAsia" w:ascii="宋体" w:hAnsi="宋体" w:eastAsia="宋体" w:cs="宋体"/>
          <w:i w:val="0"/>
          <w:iCs/>
          <w:kern w:val="2"/>
          <w:sz w:val="28"/>
          <w:szCs w:val="28"/>
          <w:u w:val="none"/>
          <w:shd w:val="clear" w:color="auto" w:fill="FFFFFF"/>
          <w:lang w:val="en-US" w:eastAsia="zh-CN" w:bidi="ar-SA"/>
        </w:rPr>
      </w:pPr>
      <w:r>
        <w:rPr>
          <w:rFonts w:hint="eastAsia" w:ascii="宋体" w:hAnsi="宋体" w:eastAsia="宋体" w:cs="宋体"/>
          <w:i w:val="0"/>
          <w:iCs/>
          <w:sz w:val="28"/>
          <w:szCs w:val="28"/>
          <w:u w:val="none"/>
          <w:lang w:val="en-US" w:eastAsia="zh-CN"/>
        </w:rPr>
        <w:t>绿色</w:t>
      </w:r>
      <w:r>
        <w:rPr>
          <w:rFonts w:hint="eastAsia" w:ascii="宋体" w:hAnsi="宋体" w:eastAsia="宋体" w:cs="宋体"/>
          <w:i w:val="0"/>
          <w:iCs/>
          <w:sz w:val="28"/>
          <w:szCs w:val="28"/>
          <w:u w:val="none"/>
        </w:rPr>
        <w:t>施工</w:t>
      </w:r>
      <w:r>
        <w:rPr>
          <w:rFonts w:hint="eastAsia" w:ascii="宋体" w:hAnsi="宋体" w:eastAsia="宋体" w:cs="宋体"/>
          <w:i w:val="0"/>
          <w:iCs/>
          <w:sz w:val="28"/>
          <w:szCs w:val="28"/>
          <w:u w:val="none"/>
          <w:lang w:val="en-US" w:eastAsia="zh-CN"/>
        </w:rPr>
        <w:t>按照</w:t>
      </w:r>
      <w:r>
        <w:rPr>
          <w:rFonts w:hint="eastAsia" w:ascii="宋体" w:hAnsi="宋体" w:eastAsia="宋体" w:cs="宋体"/>
          <w:i w:val="0"/>
          <w:iCs/>
          <w:sz w:val="28"/>
          <w:szCs w:val="28"/>
          <w:u w:val="none"/>
        </w:rPr>
        <w:t>国家标准《建筑工程绿色施工评价标准》GB/T</w:t>
      </w:r>
      <w:r>
        <w:rPr>
          <w:rFonts w:hint="eastAsia" w:ascii="宋体" w:hAnsi="宋体" w:cs="宋体"/>
          <w:i w:val="0"/>
          <w:iCs/>
          <w:sz w:val="28"/>
          <w:szCs w:val="28"/>
          <w:u w:val="none"/>
          <w:lang w:val="en-US" w:eastAsia="zh-CN"/>
        </w:rPr>
        <w:t xml:space="preserve"> </w:t>
      </w:r>
      <w:r>
        <w:rPr>
          <w:rFonts w:hint="eastAsia" w:ascii="宋体" w:hAnsi="宋体" w:eastAsia="Times New Roman" w:cs="宋体"/>
          <w:i w:val="0"/>
          <w:iCs/>
          <w:sz w:val="28"/>
          <w:szCs w:val="28"/>
          <w:u w:val="none"/>
        </w:rPr>
        <w:t>50640</w:t>
      </w:r>
      <w:r>
        <w:rPr>
          <w:rFonts w:hint="eastAsia" w:ascii="宋体" w:hAnsi="宋体" w:eastAsia="宋体" w:cs="宋体"/>
          <w:i w:val="0"/>
          <w:iCs/>
          <w:sz w:val="28"/>
          <w:szCs w:val="28"/>
          <w:u w:val="none"/>
        </w:rPr>
        <w:t>或广东省《建筑工程绿色施工评价标准》DBJ/</w:t>
      </w:r>
      <w:r>
        <w:rPr>
          <w:rFonts w:hint="eastAsia" w:ascii="宋体" w:hAnsi="宋体" w:cs="宋体"/>
          <w:i w:val="0"/>
          <w:iCs/>
          <w:sz w:val="28"/>
          <w:szCs w:val="28"/>
          <w:u w:val="none"/>
          <w:lang w:val="en-US" w:eastAsia="zh-CN"/>
        </w:rPr>
        <w:t>T</w:t>
      </w:r>
      <w:r>
        <w:rPr>
          <w:rFonts w:hint="eastAsia" w:ascii="宋体" w:hAnsi="宋体" w:eastAsia="宋体" w:cs="宋体"/>
          <w:i w:val="0"/>
          <w:iCs/>
          <w:sz w:val="28"/>
          <w:szCs w:val="28"/>
          <w:u w:val="none"/>
        </w:rPr>
        <w:t xml:space="preserve"> </w:t>
      </w:r>
      <w:r>
        <w:rPr>
          <w:rFonts w:hint="eastAsia" w:ascii="宋体" w:hAnsi="宋体" w:eastAsia="Times New Roman" w:cs="宋体"/>
          <w:i w:val="0"/>
          <w:iCs/>
          <w:sz w:val="28"/>
          <w:szCs w:val="28"/>
          <w:u w:val="none"/>
        </w:rPr>
        <w:t>15</w:t>
      </w:r>
      <w:r>
        <w:rPr>
          <w:rFonts w:hint="eastAsia" w:ascii="宋体" w:hAnsi="宋体" w:eastAsia="宋体" w:cs="宋体"/>
          <w:i w:val="0"/>
          <w:iCs/>
          <w:sz w:val="28"/>
          <w:szCs w:val="28"/>
          <w:u w:val="none"/>
        </w:rPr>
        <w:t>-</w:t>
      </w:r>
      <w:r>
        <w:rPr>
          <w:rFonts w:hint="eastAsia" w:ascii="宋体" w:hAnsi="宋体" w:eastAsia="Times New Roman" w:cs="宋体"/>
          <w:i w:val="0"/>
          <w:iCs/>
          <w:sz w:val="28"/>
          <w:szCs w:val="28"/>
          <w:u w:val="none"/>
        </w:rPr>
        <w:t>97</w:t>
      </w:r>
      <w:r>
        <w:rPr>
          <w:rFonts w:hint="eastAsia" w:ascii="宋体" w:hAnsi="宋体" w:eastAsia="宋体" w:cs="宋体"/>
          <w:i w:val="0"/>
          <w:iCs/>
          <w:sz w:val="28"/>
          <w:szCs w:val="28"/>
          <w:u w:val="none"/>
          <w:lang w:val="en-US" w:eastAsia="zh-CN"/>
        </w:rPr>
        <w:t>规定开展绿色施工评价，</w:t>
      </w:r>
      <w:r>
        <w:rPr>
          <w:rFonts w:hint="eastAsia" w:ascii="宋体" w:hAnsi="宋体" w:eastAsia="宋体" w:cs="宋体"/>
          <w:i w:val="0"/>
          <w:iCs/>
          <w:sz w:val="28"/>
          <w:szCs w:val="28"/>
          <w:u w:val="none"/>
        </w:rPr>
        <w:t>等级为合格时得</w:t>
      </w:r>
      <w:r>
        <w:rPr>
          <w:rFonts w:hint="eastAsia" w:ascii="宋体" w:hAnsi="宋体" w:eastAsia="Times New Roman" w:cs="宋体"/>
          <w:i w:val="0"/>
          <w:iCs/>
          <w:sz w:val="28"/>
          <w:szCs w:val="28"/>
          <w:u w:val="none"/>
        </w:rPr>
        <w:t>1</w:t>
      </w:r>
      <w:r>
        <w:rPr>
          <w:rFonts w:hint="eastAsia" w:ascii="宋体" w:hAnsi="宋体" w:eastAsia="宋体" w:cs="宋体"/>
          <w:i w:val="0"/>
          <w:iCs/>
          <w:sz w:val="28"/>
          <w:szCs w:val="28"/>
          <w:u w:val="none"/>
        </w:rPr>
        <w:t>分，等级为优良时得</w:t>
      </w:r>
      <w:r>
        <w:rPr>
          <w:rFonts w:hint="eastAsia" w:ascii="宋体" w:hAnsi="宋体" w:eastAsia="Times New Roman" w:cs="宋体"/>
          <w:i w:val="0"/>
          <w:iCs/>
          <w:sz w:val="28"/>
          <w:szCs w:val="28"/>
          <w:u w:val="none"/>
          <w:lang w:val="en-US" w:eastAsia="zh-CN"/>
        </w:rPr>
        <w:t>1</w:t>
      </w:r>
      <w:r>
        <w:rPr>
          <w:rFonts w:hint="eastAsia" w:ascii="宋体" w:hAnsi="宋体" w:eastAsia="宋体" w:cs="宋体"/>
          <w:i w:val="0"/>
          <w:iCs/>
          <w:sz w:val="28"/>
          <w:szCs w:val="28"/>
          <w:u w:val="none"/>
          <w:lang w:val="en-US" w:eastAsia="zh-CN"/>
        </w:rPr>
        <w:t>.</w:t>
      </w:r>
      <w:r>
        <w:rPr>
          <w:rFonts w:hint="eastAsia" w:ascii="宋体" w:hAnsi="宋体" w:eastAsia="Times New Roman" w:cs="宋体"/>
          <w:i w:val="0"/>
          <w:iCs/>
          <w:sz w:val="28"/>
          <w:szCs w:val="28"/>
          <w:u w:val="none"/>
          <w:lang w:val="en-US" w:eastAsia="zh-CN"/>
        </w:rPr>
        <w:t>5</w:t>
      </w:r>
      <w:r>
        <w:rPr>
          <w:rFonts w:hint="eastAsia" w:ascii="宋体" w:hAnsi="宋体" w:eastAsia="宋体" w:cs="宋体"/>
          <w:i w:val="0"/>
          <w:iCs/>
          <w:sz w:val="28"/>
          <w:szCs w:val="28"/>
          <w:u w:val="none"/>
        </w:rPr>
        <w:t>分。</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eastAsia="宋体" w:cs="宋体"/>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63</w:t>
      </w:r>
      <w:r>
        <w:rPr>
          <w:rFonts w:hint="eastAsia" w:ascii="宋体" w:hAnsi="宋体" w:eastAsia="宋体" w:cs="宋体"/>
          <w:b/>
          <w:bCs/>
          <w:sz w:val="28"/>
          <w:szCs w:val="28"/>
          <w:u w:val="none"/>
          <w:vertAlign w:val="subscript"/>
          <w:lang w:val="en-US" w:eastAsia="zh-CN"/>
        </w:rPr>
        <w:t>b</w:t>
      </w:r>
      <w:r>
        <w:rPr>
          <w:rFonts w:hint="eastAsia" w:ascii="宋体" w:hAnsi="宋体" w:eastAsia="宋体" w:cs="宋体"/>
          <w:b/>
          <w:bCs/>
          <w:sz w:val="28"/>
          <w:szCs w:val="28"/>
          <w:u w:val="none"/>
          <w:lang w:val="en-US" w:eastAsia="zh-CN"/>
        </w:rPr>
        <w:t>：工程总承包</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0</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项目由一家单位（或联合体单位）实行工程总承包</w:t>
      </w:r>
      <w:r>
        <w:rPr>
          <w:rFonts w:hint="eastAsia" w:ascii="宋体" w:hAnsi="宋体" w:cs="宋体"/>
          <w:color w:val="auto"/>
          <w:sz w:val="21"/>
          <w:szCs w:val="21"/>
          <w:u w:val="none"/>
          <w:lang w:val="en-US" w:eastAsia="zh-CN"/>
        </w:rPr>
        <w:t>【注：</w:t>
      </w:r>
      <w:r>
        <w:rPr>
          <w:rFonts w:hint="eastAsia" w:ascii="宋体" w:hAnsi="宋体" w:eastAsia="宋体" w:cs="宋体"/>
          <w:color w:val="auto"/>
          <w:sz w:val="21"/>
          <w:szCs w:val="21"/>
          <w:u w:val="none"/>
          <w:lang w:val="en-US" w:eastAsia="zh-CN"/>
        </w:rPr>
        <w:t>工程总承包</w:t>
      </w:r>
      <w:r>
        <w:rPr>
          <w:rFonts w:hint="eastAsia" w:ascii="宋体" w:hAnsi="宋体" w:cs="宋体"/>
          <w:color w:val="auto"/>
          <w:sz w:val="21"/>
          <w:szCs w:val="21"/>
          <w:u w:val="none"/>
          <w:lang w:val="en-US" w:eastAsia="zh-CN"/>
        </w:rPr>
        <w:t>主要有</w:t>
      </w:r>
      <w:r>
        <w:rPr>
          <w:rFonts w:hint="eastAsia" w:ascii="宋体" w:hAnsi="宋体" w:eastAsia="宋体" w:cs="宋体"/>
          <w:color w:val="auto"/>
          <w:sz w:val="21"/>
          <w:szCs w:val="21"/>
          <w:u w:val="none"/>
          <w:lang w:val="en-US" w:eastAsia="zh-CN"/>
        </w:rPr>
        <w:t>设计</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采购</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施工总承包</w:t>
      </w:r>
      <w:r>
        <w:rPr>
          <w:rFonts w:hint="eastAsia" w:ascii="宋体" w:hAnsi="宋体" w:cs="宋体"/>
          <w:color w:val="auto"/>
          <w:sz w:val="21"/>
          <w:szCs w:val="21"/>
          <w:u w:val="none"/>
          <w:lang w:val="en-US" w:eastAsia="zh-CN"/>
        </w:rPr>
        <w:t>（EPC）、设计-采购-施工管理（E+P+CM）、设计-施工（D-B）、设计-采购（E-P）、采购-施工</w:t>
      </w:r>
      <w:r>
        <w:rPr>
          <w:rFonts w:hint="eastAsia" w:ascii="宋体" w:hAnsi="宋体" w:eastAsia="宋体" w:cs="宋体"/>
          <w:color w:val="auto"/>
          <w:sz w:val="21"/>
          <w:szCs w:val="21"/>
          <w:u w:val="none"/>
          <w:lang w:val="en-US" w:eastAsia="zh-CN"/>
        </w:rPr>
        <w:t>总承包</w:t>
      </w:r>
      <w:r>
        <w:rPr>
          <w:rFonts w:hint="eastAsia" w:ascii="宋体" w:hAnsi="宋体" w:cs="宋体"/>
          <w:color w:val="auto"/>
          <w:sz w:val="21"/>
          <w:szCs w:val="21"/>
          <w:u w:val="none"/>
          <w:lang w:val="en-US" w:eastAsia="zh-CN"/>
        </w:rPr>
        <w:t>（P-C）等方式】</w:t>
      </w:r>
      <w:r>
        <w:rPr>
          <w:rFonts w:hint="eastAsia" w:ascii="宋体" w:hAnsi="宋体" w:eastAsia="宋体" w:cs="宋体"/>
          <w:color w:val="auto"/>
          <w:sz w:val="28"/>
          <w:szCs w:val="28"/>
          <w:u w:val="none"/>
          <w:lang w:val="en-US" w:eastAsia="zh-CN"/>
        </w:rPr>
        <w:t>，</w:t>
      </w:r>
      <w:r>
        <w:rPr>
          <w:rFonts w:hint="eastAsia" w:ascii="宋体" w:hAnsi="宋体" w:eastAsia="宋体" w:cs="宋体"/>
          <w:sz w:val="28"/>
          <w:szCs w:val="28"/>
          <w:u w:val="none"/>
          <w:lang w:val="en-US" w:eastAsia="zh-CN"/>
        </w:rPr>
        <w:t>可得</w:t>
      </w:r>
      <w:r>
        <w:rPr>
          <w:rFonts w:hint="eastAsia" w:ascii="宋体" w:hAnsi="宋体" w:eastAsia="Times New Roman" w:cs="宋体"/>
          <w:sz w:val="28"/>
          <w:szCs w:val="28"/>
          <w:u w:val="none"/>
          <w:lang w:val="en-US" w:eastAsia="zh-CN"/>
        </w:rPr>
        <w:t>0</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5</w:t>
      </w:r>
      <w:r>
        <w:rPr>
          <w:rFonts w:hint="eastAsia" w:ascii="宋体" w:hAnsi="宋体" w:eastAsia="宋体" w:cs="宋体"/>
          <w:sz w:val="28"/>
          <w:szCs w:val="28"/>
          <w:u w:val="none"/>
          <w:lang w:val="en-US" w:eastAsia="zh-CN"/>
        </w:rPr>
        <w:t>分。</w:t>
      </w:r>
    </w:p>
    <w:p>
      <w:pPr>
        <w:jc w:val="both"/>
        <w:rPr>
          <w:rFonts w:hint="default"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pStyle w:val="2"/>
        <w:rPr>
          <w:rFonts w:hint="eastAsia" w:ascii="宋体" w:hAnsi="宋体" w:eastAsia="宋体" w:cs="宋体"/>
          <w:b/>
          <w:bCs w:val="0"/>
          <w:sz w:val="32"/>
          <w:szCs w:val="32"/>
          <w:lang w:val="en-US" w:eastAsia="zh-CN"/>
        </w:rPr>
      </w:pPr>
    </w:p>
    <w:p>
      <w:pPr>
        <w:jc w:val="both"/>
        <w:rPr>
          <w:rFonts w:hint="eastAsia" w:ascii="宋体" w:hAnsi="宋体" w:eastAsia="宋体" w:cs="宋体"/>
          <w:b/>
          <w:bCs w:val="0"/>
          <w:szCs w:val="32"/>
          <w:lang w:val="en-US" w:eastAsia="zh-CN"/>
        </w:rPr>
      </w:pPr>
    </w:p>
    <w:p>
      <w:pPr>
        <w:pStyle w:val="3"/>
        <w:rPr>
          <w:rFonts w:hint="eastAsia" w:ascii="宋体" w:hAnsi="宋体" w:eastAsia="宋体" w:cs="宋体"/>
          <w:sz w:val="28"/>
          <w:szCs w:val="28"/>
          <w:u w:val="single"/>
          <w:lang w:val="en-US" w:eastAsia="zh-CN"/>
        </w:rPr>
      </w:pPr>
      <w:bookmarkStart w:id="530" w:name="_Toc30558"/>
      <w:bookmarkStart w:id="531" w:name="_Toc9135"/>
      <w:bookmarkStart w:id="532" w:name="_Toc3240"/>
      <w:bookmarkStart w:id="533" w:name="_Toc5014"/>
      <w:bookmarkStart w:id="534" w:name="_Toc11241"/>
      <w:bookmarkStart w:id="535" w:name="_Toc25742"/>
      <w:bookmarkStart w:id="536" w:name="_Toc14144"/>
      <w:bookmarkStart w:id="537" w:name="_Toc21825"/>
      <w:bookmarkStart w:id="538" w:name="_Toc28094"/>
      <w:bookmarkStart w:id="539" w:name="_Toc6473"/>
      <w:bookmarkStart w:id="540" w:name="_Toc24377"/>
      <w:bookmarkStart w:id="541" w:name="_Toc2113"/>
      <w:bookmarkStart w:id="542" w:name="_Toc11779"/>
      <w:r>
        <w:rPr>
          <w:rFonts w:hint="eastAsia"/>
          <w:lang w:val="en-US" w:eastAsia="zh-CN"/>
        </w:rPr>
        <w:t>附录</w:t>
      </w:r>
      <w:r>
        <w:rPr>
          <w:rFonts w:hint="eastAsia"/>
          <w:lang w:val="en-US" w:eastAsia="zh-CN"/>
        </w:rPr>
        <w:tab/>
      </w:r>
      <w:r>
        <w:rPr>
          <w:rFonts w:hint="eastAsia"/>
          <w:lang w:val="en-US" w:eastAsia="zh-CN"/>
        </w:rPr>
        <w:t>A 装修设计文件承诺达标函</w:t>
      </w:r>
      <w:bookmarkEnd w:id="530"/>
      <w:bookmarkEnd w:id="531"/>
      <w:bookmarkEnd w:id="532"/>
      <w:bookmarkEnd w:id="533"/>
      <w:bookmarkEnd w:id="534"/>
      <w:bookmarkEnd w:id="535"/>
      <w:bookmarkEnd w:id="536"/>
      <w:bookmarkEnd w:id="537"/>
      <w:bookmarkEnd w:id="538"/>
      <w:bookmarkEnd w:id="539"/>
      <w:bookmarkEnd w:id="540"/>
      <w:bookmarkEnd w:id="541"/>
      <w:bookmarkEnd w:id="54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（施工图</w:t>
      </w:r>
      <w:r>
        <w:rPr>
          <w:rFonts w:hint="eastAsia" w:ascii="宋体" w:hAnsi="宋体" w:eastAsia="宋体" w:cs="宋体"/>
          <w:sz w:val="28"/>
          <w:szCs w:val="28"/>
          <w:u w:val="single"/>
          <w:lang w:val="en-US" w:eastAsia="zh-CN"/>
        </w:rPr>
        <w:t>审</w:t>
      </w:r>
      <w:r>
        <w:rPr>
          <w:rFonts w:hint="eastAsia" w:ascii="宋体" w:hAnsi="宋体" w:cs="宋体"/>
          <w:sz w:val="28"/>
          <w:szCs w:val="28"/>
          <w:u w:val="single"/>
          <w:lang w:val="en-US" w:eastAsia="zh-CN"/>
        </w:rPr>
        <w:t>查</w:t>
      </w:r>
      <w:r>
        <w:rPr>
          <w:rFonts w:hint="eastAsia" w:ascii="宋体" w:hAnsi="宋体" w:eastAsia="宋体" w:cs="宋体"/>
          <w:sz w:val="28"/>
          <w:szCs w:val="28"/>
          <w:u w:val="single"/>
          <w:lang w:val="en-US" w:eastAsia="zh-CN"/>
        </w:rPr>
        <w:t>机构</w:t>
      </w:r>
      <w:r>
        <w:rPr>
          <w:rFonts w:hint="eastAsia" w:ascii="宋体" w:hAnsi="宋体" w:cs="宋体"/>
          <w:sz w:val="28"/>
          <w:szCs w:val="28"/>
          <w:u w:val="single"/>
          <w:lang w:val="en-US" w:eastAsia="zh-CN"/>
        </w:rPr>
        <w:t>）</w:t>
      </w:r>
      <w:r>
        <w:rPr>
          <w:rFonts w:hint="eastAsia" w:ascii="宋体" w:hAnsi="宋体" w:eastAsia="宋体" w:cs="宋体"/>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我单位送审的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项目，因装修设计文件未完成，</w:t>
      </w:r>
      <w:r>
        <w:rPr>
          <w:rFonts w:hint="eastAsia" w:ascii="宋体" w:hAnsi="宋体" w:cs="宋体"/>
          <w:sz w:val="28"/>
          <w:szCs w:val="28"/>
          <w:u w:val="none"/>
          <w:lang w:val="en-US" w:eastAsia="zh-CN"/>
        </w:rPr>
        <w:t>无法证明项目满足广东省标准《装配式建筑评价标准》中全装修项得分要求，</w:t>
      </w:r>
      <w:r>
        <w:rPr>
          <w:rFonts w:hint="eastAsia" w:ascii="宋体" w:hAnsi="宋体" w:eastAsia="宋体" w:cs="宋体"/>
          <w:sz w:val="28"/>
          <w:szCs w:val="28"/>
          <w:u w:val="none"/>
          <w:lang w:val="en-US" w:eastAsia="zh-CN"/>
        </w:rPr>
        <w:t>现</w:t>
      </w:r>
      <w:r>
        <w:rPr>
          <w:rFonts w:hint="eastAsia" w:ascii="宋体" w:hAnsi="宋体" w:cs="宋体"/>
          <w:sz w:val="28"/>
          <w:szCs w:val="28"/>
          <w:u w:val="none"/>
          <w:lang w:val="en-US" w:eastAsia="zh-CN"/>
        </w:rPr>
        <w:t>我单位</w:t>
      </w:r>
      <w:r>
        <w:rPr>
          <w:rFonts w:hint="eastAsia" w:ascii="宋体" w:hAnsi="宋体" w:eastAsia="宋体" w:cs="宋体"/>
          <w:sz w:val="28"/>
          <w:szCs w:val="28"/>
          <w:u w:val="none"/>
          <w:lang w:val="en-US" w:eastAsia="zh-CN"/>
        </w:rPr>
        <w:t>承诺</w:t>
      </w:r>
      <w:r>
        <w:rPr>
          <w:rFonts w:hint="eastAsia"/>
          <w:color w:val="auto"/>
          <w:sz w:val="28"/>
          <w:szCs w:val="28"/>
          <w:lang w:val="en-US" w:eastAsia="zh-CN"/>
        </w:rPr>
        <w:t>将符合</w:t>
      </w:r>
      <w:r>
        <w:rPr>
          <w:rFonts w:hint="eastAsia" w:ascii="宋体" w:hAnsi="宋体" w:cs="宋体"/>
          <w:sz w:val="28"/>
          <w:szCs w:val="28"/>
          <w:u w:val="none"/>
          <w:lang w:val="en-US" w:eastAsia="zh-CN"/>
        </w:rPr>
        <w:t>全装修</w:t>
      </w:r>
      <w:r>
        <w:rPr>
          <w:rFonts w:hint="eastAsia"/>
          <w:color w:val="auto"/>
          <w:sz w:val="28"/>
          <w:szCs w:val="28"/>
          <w:lang w:val="en-US" w:eastAsia="zh-CN"/>
        </w:rPr>
        <w:t>要求的装修设计文件</w:t>
      </w:r>
      <w:r>
        <w:rPr>
          <w:rFonts w:hint="eastAsia" w:ascii="宋体" w:hAnsi="宋体" w:cs="宋体"/>
          <w:sz w:val="28"/>
          <w:szCs w:val="28"/>
          <w:u w:val="none"/>
          <w:lang w:val="en-US" w:eastAsia="zh-CN"/>
        </w:rPr>
        <w:t>在</w:t>
      </w:r>
      <w:r>
        <w:rPr>
          <w:rFonts w:hint="eastAsia"/>
          <w:color w:val="auto"/>
          <w:sz w:val="28"/>
          <w:szCs w:val="28"/>
          <w:lang w:val="en-US" w:eastAsia="zh-CN"/>
        </w:rPr>
        <w:t>施工图合格证书出具后</w:t>
      </w:r>
      <w:r>
        <w:rPr>
          <w:rFonts w:hint="eastAsia" w:eastAsia="Times New Roman"/>
          <w:color w:val="auto"/>
          <w:sz w:val="28"/>
          <w:szCs w:val="28"/>
          <w:lang w:val="en-US" w:eastAsia="zh-CN"/>
        </w:rPr>
        <w:t>90</w:t>
      </w:r>
      <w:r>
        <w:rPr>
          <w:rFonts w:hint="eastAsia"/>
          <w:color w:val="auto"/>
          <w:sz w:val="28"/>
          <w:szCs w:val="28"/>
          <w:lang w:val="en-US" w:eastAsia="zh-CN"/>
        </w:rPr>
        <w:t>天内送交至贵司审查，且我单位保证按审查通过的装修施工图施工</w:t>
      </w:r>
      <w:r>
        <w:rPr>
          <w:rFonts w:hint="eastAsia" w:ascii="宋体" w:hAnsi="宋体" w:eastAsia="宋体" w:cs="宋体"/>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上述如</w:t>
      </w:r>
      <w:r>
        <w:rPr>
          <w:rFonts w:hint="eastAsia" w:ascii="宋体" w:hAnsi="宋体" w:eastAsia="宋体" w:cs="宋体"/>
          <w:sz w:val="28"/>
          <w:szCs w:val="28"/>
          <w:u w:val="none"/>
          <w:lang w:val="en-US" w:eastAsia="zh-CN"/>
        </w:rPr>
        <w:t>未履行承诺，</w:t>
      </w:r>
      <w:r>
        <w:rPr>
          <w:rFonts w:hint="eastAsia" w:ascii="宋体" w:hAnsi="宋体" w:cs="宋体"/>
          <w:sz w:val="28"/>
          <w:szCs w:val="28"/>
          <w:u w:val="none"/>
          <w:lang w:val="en-US" w:eastAsia="zh-CN"/>
        </w:rPr>
        <w:t>我单位</w:t>
      </w:r>
      <w:r>
        <w:rPr>
          <w:rFonts w:hint="eastAsia" w:ascii="宋体" w:hAnsi="宋体" w:eastAsia="宋体" w:cs="宋体"/>
          <w:sz w:val="28"/>
          <w:szCs w:val="28"/>
          <w:u w:val="none"/>
          <w:lang w:val="en-US" w:eastAsia="zh-CN"/>
        </w:rPr>
        <w:t>愿意承担</w:t>
      </w:r>
      <w:r>
        <w:rPr>
          <w:rFonts w:hint="eastAsia" w:ascii="宋体" w:hAnsi="宋体" w:cs="宋体"/>
          <w:sz w:val="28"/>
          <w:szCs w:val="28"/>
          <w:u w:val="none"/>
          <w:lang w:val="en-US" w:eastAsia="zh-CN"/>
        </w:rPr>
        <w:t>由此引起的一切后果及</w:t>
      </w:r>
      <w:r>
        <w:rPr>
          <w:rFonts w:hint="eastAsia" w:ascii="宋体" w:hAnsi="宋体" w:eastAsia="宋体" w:cs="宋体"/>
          <w:sz w:val="28"/>
          <w:szCs w:val="28"/>
          <w:u w:val="none"/>
          <w:lang w:val="en-US" w:eastAsia="zh-CN"/>
        </w:rPr>
        <w:t>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u w:val="none"/>
          <w:lang w:val="en-US" w:eastAsia="zh-CN"/>
        </w:rPr>
      </w:pPr>
    </w:p>
    <w:p>
      <w:pPr>
        <w:jc w:val="left"/>
        <w:rPr>
          <w:rFonts w:hint="eastAsia"/>
          <w:sz w:val="28"/>
          <w:szCs w:val="28"/>
          <w:u w:val="single"/>
          <w:lang w:val="en-US" w:eastAsia="zh-CN"/>
        </w:rPr>
      </w:pPr>
      <w:r>
        <w:rPr>
          <w:rFonts w:hint="eastAsia"/>
          <w:sz w:val="28"/>
          <w:szCs w:val="28"/>
          <w:u w:val="none"/>
          <w:lang w:val="en-US" w:eastAsia="zh-CN"/>
        </w:rPr>
        <w:t xml:space="preserve">                                   建设单位（盖章）</w:t>
      </w:r>
      <w:r>
        <w:rPr>
          <w:rFonts w:hint="eastAsia"/>
          <w:sz w:val="28"/>
          <w:szCs w:val="28"/>
          <w:u w:val="single"/>
          <w:lang w:val="en-US" w:eastAsia="zh-CN"/>
        </w:rPr>
        <w:t xml:space="preserve">        </w:t>
      </w:r>
    </w:p>
    <w:p>
      <w:pPr>
        <w:wordWrap w:val="0"/>
        <w:ind w:firstLine="560" w:firstLineChars="200"/>
        <w:jc w:val="both"/>
        <w:rPr>
          <w:rFonts w:hint="eastAsia" w:ascii="宋体" w:hAnsi="宋体" w:cs="宋体"/>
          <w:sz w:val="28"/>
          <w:szCs w:val="28"/>
          <w:u w:val="single"/>
          <w:lang w:val="en-US" w:eastAsia="zh-CN"/>
        </w:rPr>
      </w:pPr>
      <w:r>
        <w:rPr>
          <w:rFonts w:hint="eastAsia"/>
          <w:sz w:val="28"/>
          <w:szCs w:val="28"/>
          <w:u w:val="none"/>
          <w:lang w:val="en-US" w:eastAsia="zh-CN"/>
        </w:rPr>
        <w:t xml:space="preserve">                               </w:t>
      </w:r>
      <w:r>
        <w:rPr>
          <w:rFonts w:hint="eastAsia" w:ascii="宋体" w:hAnsi="宋体" w:cs="宋体"/>
          <w:sz w:val="28"/>
          <w:szCs w:val="28"/>
          <w:u w:val="none"/>
          <w:lang w:val="en-US" w:eastAsia="zh-CN"/>
        </w:rPr>
        <w:t>法人代表（签名）：</w:t>
      </w:r>
      <w:r>
        <w:rPr>
          <w:rFonts w:hint="eastAsia" w:ascii="宋体" w:hAnsi="宋体" w:cs="宋体"/>
          <w:sz w:val="28"/>
          <w:szCs w:val="28"/>
          <w:u w:val="single"/>
          <w:lang w:val="en-US" w:eastAsia="zh-CN"/>
        </w:rPr>
        <w:t xml:space="preserve">      </w:t>
      </w:r>
    </w:p>
    <w:p>
      <w:pPr>
        <w:wordWrap w:val="0"/>
        <w:ind w:firstLine="4200" w:firstLineChars="1500"/>
        <w:jc w:val="both"/>
        <w:rPr>
          <w:rFonts w:hint="default"/>
          <w:sz w:val="28"/>
          <w:szCs w:val="28"/>
          <w:u w:val="none"/>
          <w:lang w:val="en-US" w:eastAsia="zh-CN"/>
        </w:rPr>
      </w:pPr>
      <w:r>
        <w:rPr>
          <w:rFonts w:hint="eastAsia"/>
          <w:sz w:val="28"/>
          <w:szCs w:val="28"/>
          <w:u w:val="none"/>
          <w:lang w:val="en-US" w:eastAsia="zh-CN"/>
        </w:rPr>
        <w:t xml:space="preserve">                  年   月   日</w:t>
      </w: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pStyle w:val="3"/>
        <w:rPr>
          <w:rFonts w:hint="eastAsia" w:ascii="宋体" w:hAnsi="宋体" w:eastAsia="宋体" w:cs="宋体"/>
          <w:sz w:val="28"/>
          <w:szCs w:val="28"/>
          <w:u w:val="single"/>
          <w:lang w:val="en-US" w:eastAsia="zh-CN"/>
        </w:rPr>
      </w:pPr>
      <w:bookmarkStart w:id="543" w:name="_Toc9176"/>
      <w:bookmarkStart w:id="544" w:name="_Toc19852"/>
      <w:bookmarkStart w:id="545" w:name="_Toc24455"/>
      <w:bookmarkStart w:id="546" w:name="_Toc25371"/>
      <w:bookmarkStart w:id="547" w:name="_Toc20748"/>
      <w:bookmarkStart w:id="548" w:name="_Toc23215"/>
      <w:bookmarkStart w:id="549" w:name="_Toc7761"/>
      <w:bookmarkStart w:id="550" w:name="_Toc14262"/>
      <w:bookmarkStart w:id="551" w:name="_Toc12026"/>
      <w:bookmarkStart w:id="552" w:name="_Toc25413"/>
      <w:bookmarkStart w:id="553" w:name="_Toc18575"/>
      <w:bookmarkStart w:id="554" w:name="_Toc5151"/>
      <w:bookmarkStart w:id="555" w:name="_Toc19843"/>
      <w:r>
        <w:rPr>
          <w:rFonts w:hint="eastAsia"/>
          <w:lang w:val="en-US" w:eastAsia="zh-CN"/>
        </w:rPr>
        <w:t>附录</w:t>
      </w:r>
      <w:r>
        <w:rPr>
          <w:rFonts w:hint="eastAsia"/>
          <w:lang w:val="en-US" w:eastAsia="zh-CN"/>
        </w:rPr>
        <w:tab/>
      </w:r>
      <w:r>
        <w:rPr>
          <w:rFonts w:hint="eastAsia"/>
          <w:lang w:val="en-US" w:eastAsia="zh-CN"/>
        </w:rPr>
        <w:t>B 绿色建筑（施工阶段BIM信息模型、智能化系统、绿色施工）承诺达标函</w:t>
      </w:r>
      <w:bookmarkEnd w:id="543"/>
      <w:bookmarkEnd w:id="544"/>
      <w:bookmarkEnd w:id="545"/>
      <w:bookmarkEnd w:id="546"/>
      <w:bookmarkEnd w:id="547"/>
      <w:bookmarkEnd w:id="548"/>
      <w:bookmarkEnd w:id="549"/>
      <w:bookmarkEnd w:id="550"/>
      <w:bookmarkEnd w:id="551"/>
      <w:bookmarkEnd w:id="552"/>
      <w:bookmarkEnd w:id="553"/>
      <w:bookmarkEnd w:id="554"/>
      <w:bookmarkEnd w:id="555"/>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（施工图</w:t>
      </w:r>
      <w:r>
        <w:rPr>
          <w:rFonts w:hint="eastAsia" w:ascii="宋体" w:hAnsi="宋体" w:eastAsia="宋体" w:cs="宋体"/>
          <w:sz w:val="28"/>
          <w:szCs w:val="28"/>
          <w:u w:val="single"/>
          <w:lang w:val="en-US" w:eastAsia="zh-CN"/>
        </w:rPr>
        <w:t>审</w:t>
      </w:r>
      <w:r>
        <w:rPr>
          <w:rFonts w:hint="eastAsia" w:ascii="宋体" w:hAnsi="宋体" w:cs="宋体"/>
          <w:sz w:val="28"/>
          <w:szCs w:val="28"/>
          <w:u w:val="single"/>
          <w:lang w:val="en-US" w:eastAsia="zh-CN"/>
        </w:rPr>
        <w:t>查</w:t>
      </w:r>
      <w:r>
        <w:rPr>
          <w:rFonts w:hint="eastAsia" w:ascii="宋体" w:hAnsi="宋体" w:eastAsia="宋体" w:cs="宋体"/>
          <w:sz w:val="28"/>
          <w:szCs w:val="28"/>
          <w:u w:val="single"/>
          <w:lang w:val="en-US" w:eastAsia="zh-CN"/>
        </w:rPr>
        <w:t>机构</w:t>
      </w:r>
      <w:r>
        <w:rPr>
          <w:rFonts w:hint="eastAsia" w:ascii="宋体" w:hAnsi="宋体" w:cs="宋体"/>
          <w:sz w:val="28"/>
          <w:szCs w:val="28"/>
          <w:u w:val="single"/>
          <w:lang w:val="en-US" w:eastAsia="zh-CN"/>
        </w:rPr>
        <w:t>）</w:t>
      </w:r>
      <w:r>
        <w:rPr>
          <w:rFonts w:hint="eastAsia" w:ascii="宋体" w:hAnsi="宋体" w:eastAsia="宋体" w:cs="宋体"/>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我单位送审的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项目，</w:t>
      </w:r>
      <w:r>
        <w:rPr>
          <w:rFonts w:hint="eastAsia" w:ascii="宋体" w:hAnsi="宋体" w:cs="宋体"/>
          <w:sz w:val="28"/>
          <w:szCs w:val="28"/>
          <w:u w:val="none"/>
          <w:lang w:val="en-US" w:eastAsia="zh-CN"/>
        </w:rPr>
        <w:t>我单位承诺本项目</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绿色建筑通过</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星级绿色建筑设计预评价；</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施工阶段实施</w:t>
      </w:r>
      <w:r>
        <w:rPr>
          <w:rFonts w:hint="eastAsia" w:ascii="宋体" w:hAnsi="宋体" w:cs="宋体"/>
          <w:b w:val="0"/>
          <w:bCs/>
          <w:sz w:val="28"/>
          <w:szCs w:val="28"/>
          <w:lang w:val="en-US" w:eastAsia="zh-CN"/>
        </w:rPr>
        <w:t>BIM信息模型，在项目竣工验收时，提供的资料可满足使用方在运营、维护阶段的主要需求；</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智能化系统满足国家标准《智能建筑设计标准》GB </w:t>
      </w:r>
      <w:r>
        <w:rPr>
          <w:rFonts w:hint="eastAsia" w:ascii="宋体" w:hAnsi="宋体" w:eastAsia="Times New Roman" w:cs="宋体"/>
          <w:sz w:val="28"/>
          <w:szCs w:val="28"/>
          <w:u w:val="none"/>
          <w:lang w:val="en-US" w:eastAsia="zh-CN"/>
        </w:rPr>
        <w:t>50314</w:t>
      </w:r>
      <w:r>
        <w:rPr>
          <w:rFonts w:hint="eastAsia" w:ascii="宋体" w:hAnsi="宋体" w:cs="宋体"/>
          <w:sz w:val="28"/>
          <w:szCs w:val="28"/>
          <w:u w:val="none"/>
          <w:lang w:val="en-US" w:eastAsia="zh-CN"/>
        </w:rPr>
        <w:t xml:space="preserve"> 里对应类建筑智能化系统的配置要求；</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绿色施工评价等级为</w:t>
      </w:r>
      <w:r>
        <w:rPr>
          <w:rFonts w:hint="eastAsia" w:ascii="宋体" w:hAnsi="宋体" w:cs="宋体"/>
          <w:sz w:val="28"/>
          <w:szCs w:val="28"/>
          <w:u w:val="single"/>
          <w:lang w:val="en-US" w:eastAsia="zh-CN"/>
        </w:rPr>
        <w:t xml:space="preserve">    </w:t>
      </w:r>
      <w:r>
        <w:rPr>
          <w:rFonts w:hint="eastAsia" w:ascii="宋体" w:hAnsi="宋体" w:cs="宋体"/>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上述如</w:t>
      </w:r>
      <w:r>
        <w:rPr>
          <w:rFonts w:hint="eastAsia" w:ascii="宋体" w:hAnsi="宋体" w:eastAsia="宋体" w:cs="宋体"/>
          <w:sz w:val="28"/>
          <w:szCs w:val="28"/>
          <w:u w:val="none"/>
          <w:lang w:val="en-US" w:eastAsia="zh-CN"/>
        </w:rPr>
        <w:t>未履行承诺，</w:t>
      </w:r>
      <w:r>
        <w:rPr>
          <w:rFonts w:hint="eastAsia" w:ascii="宋体" w:hAnsi="宋体" w:cs="宋体"/>
          <w:sz w:val="28"/>
          <w:szCs w:val="28"/>
          <w:u w:val="none"/>
          <w:lang w:val="en-US" w:eastAsia="zh-CN"/>
        </w:rPr>
        <w:t>我单位</w:t>
      </w:r>
      <w:r>
        <w:rPr>
          <w:rFonts w:hint="eastAsia" w:ascii="宋体" w:hAnsi="宋体" w:eastAsia="宋体" w:cs="宋体"/>
          <w:sz w:val="28"/>
          <w:szCs w:val="28"/>
          <w:u w:val="none"/>
          <w:lang w:val="en-US" w:eastAsia="zh-CN"/>
        </w:rPr>
        <w:t>愿意承担</w:t>
      </w:r>
      <w:r>
        <w:rPr>
          <w:rFonts w:hint="eastAsia" w:ascii="宋体" w:hAnsi="宋体" w:cs="宋体"/>
          <w:sz w:val="28"/>
          <w:szCs w:val="28"/>
          <w:u w:val="none"/>
          <w:lang w:val="en-US" w:eastAsia="zh-CN"/>
        </w:rPr>
        <w:t>由此引起的一切后果及</w:t>
      </w:r>
      <w:r>
        <w:rPr>
          <w:rFonts w:hint="eastAsia" w:ascii="宋体" w:hAnsi="宋体" w:eastAsia="宋体" w:cs="宋体"/>
          <w:sz w:val="28"/>
          <w:szCs w:val="28"/>
          <w:u w:val="none"/>
          <w:lang w:val="en-US" w:eastAsia="zh-CN"/>
        </w:rPr>
        <w:t>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u w:val="none"/>
          <w:lang w:val="en-US" w:eastAsia="zh-CN"/>
        </w:rPr>
      </w:pPr>
    </w:p>
    <w:p>
      <w:pPr>
        <w:jc w:val="center"/>
        <w:rPr>
          <w:rFonts w:hint="eastAsia"/>
          <w:sz w:val="28"/>
          <w:szCs w:val="28"/>
          <w:u w:val="single"/>
          <w:lang w:val="en-US" w:eastAsia="zh-CN"/>
        </w:rPr>
      </w:pPr>
      <w:r>
        <w:rPr>
          <w:rFonts w:hint="eastAsia"/>
          <w:sz w:val="28"/>
          <w:szCs w:val="28"/>
          <w:u w:val="none"/>
          <w:lang w:val="en-US" w:eastAsia="zh-CN"/>
        </w:rPr>
        <w:t xml:space="preserve">                           建设单位（盖章）</w:t>
      </w:r>
      <w:r>
        <w:rPr>
          <w:rFonts w:hint="eastAsia"/>
          <w:sz w:val="28"/>
          <w:szCs w:val="28"/>
          <w:u w:val="single"/>
          <w:lang w:val="en-US" w:eastAsia="zh-CN"/>
        </w:rPr>
        <w:t xml:space="preserve">           </w:t>
      </w:r>
    </w:p>
    <w:p>
      <w:pPr>
        <w:jc w:val="center"/>
        <w:rPr>
          <w:rFonts w:hint="eastAsia" w:ascii="宋体" w:hAnsi="宋体" w:eastAsia="宋体" w:cs="宋体"/>
          <w:b/>
          <w:bCs w:val="0"/>
          <w:sz w:val="32"/>
          <w:szCs w:val="32"/>
          <w:lang w:val="en-US" w:eastAsia="zh-CN"/>
        </w:rPr>
      </w:pPr>
      <w:r>
        <w:rPr>
          <w:rFonts w:hint="eastAsia"/>
          <w:sz w:val="28"/>
          <w:szCs w:val="28"/>
          <w:u w:val="none"/>
          <w:lang w:val="en-US" w:eastAsia="zh-CN"/>
        </w:rPr>
        <w:t xml:space="preserve">                             </w:t>
      </w:r>
      <w:r>
        <w:rPr>
          <w:rFonts w:hint="eastAsia" w:ascii="宋体" w:hAnsi="宋体" w:cs="宋体"/>
          <w:sz w:val="28"/>
          <w:szCs w:val="28"/>
          <w:u w:val="none"/>
          <w:lang w:val="en-US" w:eastAsia="zh-CN"/>
        </w:rPr>
        <w:t>法人代表（签名）：</w:t>
      </w:r>
      <w:r>
        <w:rPr>
          <w:rFonts w:hint="eastAsia" w:ascii="宋体" w:hAnsi="宋体" w:cs="宋体"/>
          <w:sz w:val="28"/>
          <w:szCs w:val="28"/>
          <w:u w:val="single"/>
          <w:lang w:val="en-US" w:eastAsia="zh-CN"/>
        </w:rPr>
        <w:t xml:space="preserve">       </w:t>
      </w:r>
      <w:r>
        <w:rPr>
          <w:rFonts w:hint="eastAsia"/>
          <w:sz w:val="28"/>
          <w:szCs w:val="28"/>
          <w:u w:val="none"/>
          <w:lang w:val="en-US" w:eastAsia="zh-CN"/>
        </w:rPr>
        <w:t xml:space="preserve">       </w:t>
      </w:r>
    </w:p>
    <w:p>
      <w:pPr>
        <w:wordWrap w:val="0"/>
        <w:jc w:val="right"/>
        <w:rPr>
          <w:rFonts w:hint="default"/>
          <w:sz w:val="28"/>
          <w:szCs w:val="28"/>
          <w:u w:val="none"/>
          <w:lang w:val="en-US" w:eastAsia="zh-CN"/>
        </w:rPr>
      </w:pPr>
      <w:r>
        <w:rPr>
          <w:rFonts w:hint="eastAsia"/>
          <w:sz w:val="28"/>
          <w:szCs w:val="28"/>
          <w:u w:val="none"/>
          <w:lang w:val="en-US" w:eastAsia="zh-CN"/>
        </w:rPr>
        <w:t xml:space="preserve">   年   月   日</w:t>
      </w: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Cs w:val="32"/>
          <w:lang w:val="en-US" w:eastAsia="zh-CN"/>
        </w:rPr>
      </w:pPr>
    </w:p>
    <w:p>
      <w:pPr>
        <w:pStyle w:val="3"/>
        <w:spacing w:beforeLines="0" w:afterLines="0"/>
        <w:rPr>
          <w:rFonts w:ascii="仿宋" w:hAnsi="仿宋" w:eastAsia="仿宋"/>
          <w:sz w:val="32"/>
          <w:szCs w:val="32"/>
        </w:rPr>
      </w:pPr>
      <w:bookmarkStart w:id="556" w:name="_Toc5772"/>
      <w:bookmarkStart w:id="557" w:name="_Toc14103"/>
      <w:bookmarkStart w:id="558" w:name="_Toc12540"/>
      <w:bookmarkStart w:id="559" w:name="_Toc17069"/>
      <w:bookmarkStart w:id="560" w:name="_Toc699"/>
      <w:bookmarkStart w:id="561" w:name="_Toc32396"/>
      <w:bookmarkStart w:id="562" w:name="_Toc1790"/>
      <w:bookmarkStart w:id="563" w:name="_Toc23176"/>
      <w:bookmarkStart w:id="564" w:name="_Toc21706"/>
      <w:bookmarkStart w:id="565" w:name="_Toc3029"/>
      <w:bookmarkStart w:id="566" w:name="_Toc13523"/>
      <w:bookmarkStart w:id="567" w:name="_Toc21133"/>
      <w:bookmarkStart w:id="568" w:name="_Toc4166"/>
      <w:r>
        <w:rPr>
          <w:rFonts w:hint="eastAsia"/>
          <w:lang w:val="en-US" w:eastAsia="zh-CN"/>
        </w:rPr>
        <w:t>附录C 《中山市住房和城乡建设局关于开展装配式建筑评价工作（试行）的通知》（中建通[</w:t>
      </w:r>
      <w:r>
        <w:rPr>
          <w:rFonts w:hint="eastAsia" w:eastAsia="Times New Roman"/>
          <w:lang w:val="en-US" w:eastAsia="zh-CN"/>
        </w:rPr>
        <w:t>2019</w:t>
      </w:r>
      <w:r>
        <w:rPr>
          <w:rFonts w:hint="eastAsia"/>
          <w:lang w:val="en-US" w:eastAsia="zh-CN"/>
        </w:rPr>
        <w:t>]</w:t>
      </w:r>
      <w:r>
        <w:rPr>
          <w:rFonts w:hint="eastAsia" w:eastAsia="Times New Roman"/>
          <w:lang w:val="en-US" w:eastAsia="zh-CN"/>
        </w:rPr>
        <w:t>126</w:t>
      </w:r>
      <w:r>
        <w:rPr>
          <w:rFonts w:hint="eastAsia"/>
          <w:lang w:val="en-US" w:eastAsia="zh-CN"/>
        </w:rPr>
        <w:t>号）</w:t>
      </w:r>
      <w:bookmarkEnd w:id="556"/>
      <w:bookmarkEnd w:id="557"/>
      <w:bookmarkEnd w:id="558"/>
      <w:bookmarkEnd w:id="559"/>
      <w:bookmarkEnd w:id="560"/>
      <w:bookmarkEnd w:id="561"/>
      <w:bookmarkEnd w:id="562"/>
      <w:bookmarkEnd w:id="563"/>
      <w:bookmarkEnd w:id="564"/>
      <w:bookmarkEnd w:id="565"/>
      <w:bookmarkEnd w:id="566"/>
      <w:bookmarkEnd w:id="567"/>
      <w:bookmarkEnd w:id="568"/>
    </w:p>
    <w:p>
      <w:pPr>
        <w:spacing w:beforeLines="0" w:afterLines="0" w:line="560" w:lineRule="exact"/>
        <w:rPr>
          <w:rFonts w:ascii="仿宋" w:hAnsi="仿宋" w:eastAsia="仿宋"/>
          <w:sz w:val="32"/>
          <w:szCs w:val="32"/>
        </w:rPr>
      </w:pPr>
      <w:r>
        <w:rPr>
          <w:rFonts w:hint="eastAsia" w:ascii="仿宋" w:hAnsi="仿宋" w:eastAsia="仿宋"/>
          <w:sz w:val="32"/>
          <w:szCs w:val="32"/>
        </w:rPr>
        <w:t>各有关单位：</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为保障我市装配式建筑评价工作规范有序，根据《国务院办公厅关于大力发展装配式建筑的指导意见》（国办发〔2016〕71号）、《广东省人民政府办公厅关于大力发展装配式建筑的实施意见》（粤府办〔2017〕28号）、《中山市人民政府办公室关于加快发展装配式建筑的实施意见》（中府办〔</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47</w:t>
      </w:r>
      <w:r>
        <w:rPr>
          <w:rFonts w:hint="eastAsia" w:ascii="仿宋" w:hAnsi="仿宋" w:eastAsia="仿宋"/>
          <w:sz w:val="32"/>
          <w:szCs w:val="32"/>
        </w:rPr>
        <w:t>号）等文件要求，现就有关事项通知如下：</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一、本通知所称装配式建筑评价，是指为鼓励装配式建筑的实施和推广，</w:t>
      </w:r>
      <w:r>
        <w:rPr>
          <w:rFonts w:hint="eastAsia" w:ascii="仿宋" w:hAnsi="仿宋" w:eastAsia="仿宋"/>
          <w:sz w:val="32"/>
          <w:szCs w:val="32"/>
          <w:lang w:eastAsia="zh-CN"/>
        </w:rPr>
        <w:t>由</w:t>
      </w:r>
      <w:r>
        <w:rPr>
          <w:rFonts w:hint="eastAsia" w:ascii="仿宋" w:hAnsi="仿宋" w:eastAsia="仿宋"/>
          <w:sz w:val="32"/>
          <w:szCs w:val="32"/>
          <w:lang w:val="en-US" w:eastAsia="zh-CN"/>
        </w:rPr>
        <w:t>我</w:t>
      </w:r>
      <w:r>
        <w:rPr>
          <w:rFonts w:hint="eastAsia" w:ascii="仿宋" w:hAnsi="仿宋" w:eastAsia="仿宋"/>
          <w:sz w:val="32"/>
          <w:szCs w:val="32"/>
        </w:rPr>
        <w:t>局组织有关专家依照装配式建筑的相关要求对装配式建筑项目有关资料进行评审，并出具评价意见书的活动。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二、装配式建筑评价分为预评价和竣工评价。预评价在项目初步设计完成或项目施工图设计完成后进行；竣工评价在项目竣工验收完成后进行。</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我</w:t>
      </w:r>
      <w:r>
        <w:rPr>
          <w:rFonts w:hint="eastAsia" w:ascii="仿宋" w:hAnsi="仿宋" w:eastAsia="仿宋"/>
          <w:sz w:val="32"/>
          <w:szCs w:val="32"/>
        </w:rPr>
        <w:t>局负责监督管理全市装配式建筑评价工作。项目建设单位向</w:t>
      </w:r>
      <w:r>
        <w:rPr>
          <w:rFonts w:hint="eastAsia" w:ascii="仿宋" w:hAnsi="仿宋" w:eastAsia="仿宋"/>
          <w:sz w:val="32"/>
          <w:szCs w:val="32"/>
          <w:lang w:eastAsia="zh-CN"/>
        </w:rPr>
        <w:t>我</w:t>
      </w:r>
      <w:r>
        <w:rPr>
          <w:rFonts w:hint="eastAsia" w:ascii="仿宋" w:hAnsi="仿宋" w:eastAsia="仿宋"/>
          <w:sz w:val="32"/>
          <w:szCs w:val="32"/>
        </w:rPr>
        <w:t>局提交装配式建筑评价的申请材料。</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、下列装配式建筑项目按需进行评价</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（一）土地出让文件、城市更新单元规划批复等政府文件规定按装配式建筑要求实施的项目。</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（二）政府投资单体建筑面积大于（含）</w:t>
      </w:r>
      <w:r>
        <w:rPr>
          <w:rFonts w:ascii="仿宋" w:hAnsi="仿宋" w:eastAsia="仿宋"/>
          <w:sz w:val="32"/>
          <w:szCs w:val="32"/>
        </w:rPr>
        <w:t xml:space="preserve">3000 </w:t>
      </w:r>
      <w:r>
        <w:rPr>
          <w:rFonts w:hint="eastAsia" w:ascii="仿宋" w:hAnsi="仿宋" w:eastAsia="仿宋"/>
          <w:sz w:val="32"/>
          <w:szCs w:val="32"/>
        </w:rPr>
        <w:t>平方米的新建建筑和纳入市保障性住房建设计划的项目。</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（三）建设单位在自有土地上实施装配式建筑，并申请建筑面积奖励的项目。</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、装配式建筑项目设计的有关要求</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在方案设计阶段，设计单位应当按照装配式建筑技术要求进行设计。方案设计文件应当对实施装配式建筑的建筑面积、结构类型和装配率等内容进行专篇说明。申请建筑面积奖励的装配式建筑项目，还应当对申请奖励的住宅面积和比例等内容予以说明。</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在初步设计阶段，建设单位应当编制装配式建筑项目装配率计算书及实施方案。依法应当进行超限高层建筑工程抗震设防专项审查的项目，应当先完成专项审查。设计文件应当对实施装配式建筑的建筑面积、结构类型、预制构件种类、装配式施工技术、装配率等内容进行专篇说明。</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（三）在施工图设计阶段，各专业设计说明和设计图纸中应有装配式建筑专项内容。设计图纸需用不同图例注明预制构件的种类，标示预制构件的位置，列明所用预制构件的清单表。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（四）建设单位委托施工图审查机构审查时，应当明确将装配率作为审查内容。施工图审查机构应当对装配率进行审查，并出具意见书。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、装配式建筑项目设计阶段预</w:t>
      </w:r>
      <w:r>
        <w:rPr>
          <w:rFonts w:ascii="仿宋" w:hAnsi="仿宋" w:eastAsia="仿宋"/>
          <w:sz w:val="32"/>
          <w:szCs w:val="32"/>
        </w:rPr>
        <w:t>评价</w:t>
      </w:r>
      <w:r>
        <w:rPr>
          <w:rFonts w:hint="eastAsia" w:ascii="仿宋" w:hAnsi="仿宋" w:eastAsia="仿宋"/>
          <w:sz w:val="32"/>
          <w:szCs w:val="32"/>
        </w:rPr>
        <w:t>流程</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（一）项目初步设计完成后，建设单位向</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提出申请，并提供以下材料</w:t>
      </w:r>
      <w:r>
        <w:rPr>
          <w:rFonts w:hint="eastAsia" w:ascii="仿宋" w:hAnsi="仿宋" w:eastAsia="仿宋"/>
          <w:sz w:val="32"/>
          <w:szCs w:val="32"/>
          <w:lang w:eastAsia="zh-CN"/>
        </w:rPr>
        <w:t>（详见附件）</w:t>
      </w:r>
      <w:r>
        <w:rPr>
          <w:rFonts w:hint="eastAsia" w:ascii="仿宋" w:hAnsi="仿宋" w:eastAsia="仿宋"/>
          <w:sz w:val="32"/>
          <w:szCs w:val="32"/>
        </w:rPr>
        <w:t>：</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1.《中山市装配式建筑项目设计阶段预</w:t>
      </w:r>
      <w:r>
        <w:rPr>
          <w:rFonts w:ascii="仿宋" w:hAnsi="仿宋" w:eastAsia="仿宋"/>
          <w:sz w:val="32"/>
          <w:szCs w:val="32"/>
        </w:rPr>
        <w:t>评价</w:t>
      </w:r>
      <w:r>
        <w:rPr>
          <w:rFonts w:hint="eastAsia" w:ascii="仿宋" w:hAnsi="仿宋" w:eastAsia="仿宋"/>
          <w:sz w:val="32"/>
          <w:szCs w:val="32"/>
        </w:rPr>
        <w:t>申请表》；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2.《中山市装配式建筑项目装配率计算书》；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3.《中山市装配式建筑项目实施方案》；</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4.《中山市装配式建筑项目装配率评价专家意见》；</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5.《中山市装配式建筑项目实施方案技术评价要点》；</w:t>
      </w:r>
    </w:p>
    <w:p>
      <w:pPr>
        <w:spacing w:beforeLines="0" w:afterLines="0"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.《中山市装配式建筑项目设计阶段预评价意见书》；</w:t>
      </w:r>
    </w:p>
    <w:p>
      <w:pPr>
        <w:spacing w:beforeLines="0" w:afterLines="0"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项目设计文件。</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 收到前项所述材料后，</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组织装配式建筑设计、生产、施工等相关专家按照广东</w:t>
      </w:r>
      <w:r>
        <w:rPr>
          <w:rFonts w:ascii="仿宋" w:hAnsi="仿宋" w:eastAsia="仿宋"/>
          <w:sz w:val="32"/>
          <w:szCs w:val="32"/>
        </w:rPr>
        <w:t>省标准</w:t>
      </w:r>
      <w:r>
        <w:rPr>
          <w:rFonts w:hint="eastAsia" w:ascii="仿宋" w:hAnsi="仿宋" w:eastAsia="仿宋"/>
          <w:sz w:val="32"/>
          <w:szCs w:val="32"/>
        </w:rPr>
        <w:t>《装配式</w:t>
      </w:r>
      <w:r>
        <w:rPr>
          <w:rFonts w:ascii="仿宋" w:hAnsi="仿宋" w:eastAsia="仿宋"/>
          <w:sz w:val="32"/>
          <w:szCs w:val="32"/>
        </w:rPr>
        <w:t>建筑评价标准</w:t>
      </w:r>
      <w:r>
        <w:rPr>
          <w:rFonts w:hint="eastAsia" w:ascii="仿宋" w:hAnsi="仿宋" w:eastAsia="仿宋"/>
          <w:sz w:val="32"/>
          <w:szCs w:val="32"/>
        </w:rPr>
        <w:t>》的审查要点对上述材料进行技术评审，并出具设计阶段预</w:t>
      </w:r>
      <w:r>
        <w:rPr>
          <w:rFonts w:ascii="仿宋" w:hAnsi="仿宋" w:eastAsia="仿宋"/>
          <w:sz w:val="32"/>
          <w:szCs w:val="32"/>
        </w:rPr>
        <w:t>评价</w:t>
      </w:r>
      <w:r>
        <w:rPr>
          <w:rFonts w:hint="eastAsia" w:ascii="仿宋" w:hAnsi="仿宋" w:eastAsia="仿宋"/>
          <w:sz w:val="32"/>
          <w:szCs w:val="32"/>
        </w:rPr>
        <w:t>意见书。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（三）组建市装配式建筑专家委员会，强化专业技术指导。专家委员</w:t>
      </w:r>
      <w:r>
        <w:rPr>
          <w:rFonts w:ascii="仿宋" w:hAnsi="仿宋" w:eastAsia="仿宋"/>
          <w:sz w:val="32"/>
          <w:szCs w:val="32"/>
        </w:rPr>
        <w:t>会</w:t>
      </w:r>
      <w:r>
        <w:rPr>
          <w:rFonts w:hint="eastAsia" w:ascii="仿宋" w:hAnsi="仿宋" w:eastAsia="仿宋"/>
          <w:sz w:val="32"/>
          <w:szCs w:val="32"/>
        </w:rPr>
        <w:t>成员主要由从事装配式建筑设计、施工、生产、管理的专业技术骨干组成，包括规划与建筑、结构、暖通、给排水、电气、建材、工程管理、装饰装修等专业领域。</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评审专家数量不少于5名，可根据申请项目开展评价的实际技术需要适当增加。</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评审专家实施回避制度，凡参与申报项目设计、施工、咨询或其他关联工作的，不得参加评审工作。</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、装配式建筑项目设计阶段预</w:t>
      </w:r>
      <w:r>
        <w:rPr>
          <w:rFonts w:ascii="仿宋" w:hAnsi="仿宋" w:eastAsia="仿宋"/>
          <w:sz w:val="32"/>
          <w:szCs w:val="32"/>
        </w:rPr>
        <w:t>评价</w:t>
      </w:r>
      <w:r>
        <w:rPr>
          <w:rFonts w:hint="eastAsia" w:ascii="仿宋" w:hAnsi="仿宋" w:eastAsia="仿宋"/>
          <w:sz w:val="32"/>
          <w:szCs w:val="32"/>
        </w:rPr>
        <w:t>的后续要求</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（一）在项目施工图设计完成后，建设单位应当将施工图设计文件以及主管部门出具的预评价意见书、装配式建筑项目设计阶段预</w:t>
      </w:r>
      <w:r>
        <w:rPr>
          <w:rFonts w:ascii="仿宋" w:hAnsi="仿宋" w:eastAsia="仿宋"/>
          <w:sz w:val="32"/>
          <w:szCs w:val="32"/>
        </w:rPr>
        <w:t>评价</w:t>
      </w:r>
      <w:r>
        <w:rPr>
          <w:rFonts w:hint="eastAsia" w:ascii="仿宋" w:hAnsi="仿宋" w:eastAsia="仿宋"/>
          <w:sz w:val="32"/>
          <w:szCs w:val="32"/>
        </w:rPr>
        <w:t>申请表、装配式建筑项目装配率计算书、装配式建筑项目实施方案等相关材料提交至施工图审查机构审查。</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施工图审查机构应当对项目装配率等装配式建筑相关要求进行审查，经审查合格的，才能出具施工图设计文件审查合格书，并在施工图设计文件审查合格书和审查报告中注明“本工程施工图设计文件符合广东省</w:t>
      </w:r>
      <w:r>
        <w:rPr>
          <w:rFonts w:ascii="仿宋" w:hAnsi="仿宋" w:eastAsia="仿宋"/>
          <w:sz w:val="32"/>
          <w:szCs w:val="32"/>
        </w:rPr>
        <w:t>《</w:t>
      </w:r>
      <w:r>
        <w:rPr>
          <w:rFonts w:hint="eastAsia" w:ascii="仿宋" w:hAnsi="仿宋" w:eastAsia="仿宋"/>
          <w:sz w:val="32"/>
          <w:szCs w:val="32"/>
        </w:rPr>
        <w:t>装配式</w:t>
      </w:r>
      <w:r>
        <w:rPr>
          <w:rFonts w:ascii="仿宋" w:hAnsi="仿宋" w:eastAsia="仿宋"/>
          <w:sz w:val="32"/>
          <w:szCs w:val="32"/>
        </w:rPr>
        <w:t>建筑评价标准》</w:t>
      </w:r>
      <w:r>
        <w:rPr>
          <w:rFonts w:hint="eastAsia" w:ascii="仿宋" w:hAnsi="仿宋" w:eastAsia="仿宋"/>
          <w:sz w:val="32"/>
          <w:szCs w:val="32"/>
        </w:rPr>
        <w:t>装配率等装配式建筑相关要求”的字样。</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在项目实施阶段，建设单位应当建立首批预制构件样板和首个装配式标准层结构联合验收制度。施工单位应当根据施工图设计文件编制装配式建筑专项施工方案，并组织实施。监理单位应当根据施工图设计文件，结合装配式建筑专项施工方案，编制装配式建筑监理实施细则，并加强对预制构件生产和安装的检查。工程质量安全监督机构应当对工程建设各责任主体是否遵循施工图设计文件进行监督抽查。施工图设计文件涉及装配率等重要变更的，建设单位应当报原施工图审查机构重新审查。</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在项目竣工阶段，建设单位应当在工程竣工验收报告中对实施装配式建筑的单体建筑位置和面积、结构类型、预制构件种类、装配式施工技术、装配率等内容进行专篇说明，并注明各指标是否符合施工图设计文件和装配式建筑的相关要求。竣工验收报告须经工程建设各责任主体签字确认。工程质量安全监督机构负责对竣工验收活动进行监督。</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、装配式</w:t>
      </w:r>
      <w:r>
        <w:rPr>
          <w:rFonts w:ascii="仿宋" w:hAnsi="仿宋" w:eastAsia="仿宋"/>
          <w:sz w:val="32"/>
          <w:szCs w:val="32"/>
        </w:rPr>
        <w:t>建筑</w:t>
      </w:r>
      <w:r>
        <w:rPr>
          <w:rFonts w:hint="eastAsia" w:ascii="仿宋" w:hAnsi="仿宋" w:eastAsia="仿宋"/>
          <w:sz w:val="32"/>
          <w:szCs w:val="32"/>
        </w:rPr>
        <w:t>竣工</w:t>
      </w:r>
      <w:r>
        <w:rPr>
          <w:rFonts w:ascii="仿宋" w:hAnsi="仿宋" w:eastAsia="仿宋"/>
          <w:sz w:val="32"/>
          <w:szCs w:val="32"/>
        </w:rPr>
        <w:t>评价流程</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（一）项目竣工</w:t>
      </w:r>
      <w:r>
        <w:rPr>
          <w:rFonts w:ascii="仿宋" w:hAnsi="仿宋" w:eastAsia="仿宋"/>
          <w:sz w:val="32"/>
          <w:szCs w:val="32"/>
        </w:rPr>
        <w:t>验收</w:t>
      </w:r>
      <w:r>
        <w:rPr>
          <w:rFonts w:hint="eastAsia" w:ascii="仿宋" w:hAnsi="仿宋" w:eastAsia="仿宋"/>
          <w:sz w:val="32"/>
          <w:szCs w:val="32"/>
        </w:rPr>
        <w:t>完成后，建设单位向</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提出评价申请，并提供以下材料：</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1.《中山市装配式建筑</w:t>
      </w:r>
      <w:r>
        <w:rPr>
          <w:rFonts w:ascii="仿宋" w:hAnsi="仿宋" w:eastAsia="仿宋"/>
          <w:sz w:val="32"/>
          <w:szCs w:val="32"/>
        </w:rPr>
        <w:t>评价</w:t>
      </w:r>
      <w:r>
        <w:rPr>
          <w:rFonts w:hint="eastAsia" w:ascii="仿宋" w:hAnsi="仿宋" w:eastAsia="仿宋"/>
          <w:sz w:val="32"/>
          <w:szCs w:val="32"/>
        </w:rPr>
        <w:t>申请表》；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Cs/>
          <w:sz w:val="32"/>
          <w:szCs w:val="32"/>
        </w:rPr>
        <w:t>中山市装配式建筑项目设计阶段预</w:t>
      </w:r>
      <w:r>
        <w:rPr>
          <w:rFonts w:ascii="仿宋" w:hAnsi="仿宋" w:eastAsia="仿宋"/>
          <w:bCs/>
          <w:sz w:val="32"/>
          <w:szCs w:val="32"/>
        </w:rPr>
        <w:t>评价</w:t>
      </w:r>
      <w:r>
        <w:rPr>
          <w:rFonts w:hint="eastAsia" w:ascii="仿宋" w:hAnsi="仿宋" w:eastAsia="仿宋"/>
          <w:bCs/>
          <w:sz w:val="32"/>
          <w:szCs w:val="32"/>
        </w:rPr>
        <w:t>意见书</w:t>
      </w:r>
      <w:r>
        <w:rPr>
          <w:rFonts w:hint="eastAsia" w:ascii="仿宋" w:hAnsi="仿宋" w:eastAsia="仿宋"/>
          <w:sz w:val="32"/>
          <w:szCs w:val="32"/>
        </w:rPr>
        <w:t>》；</w:t>
      </w:r>
      <w:r>
        <w:rPr>
          <w:rFonts w:ascii="仿宋" w:hAnsi="仿宋" w:eastAsia="仿宋"/>
          <w:sz w:val="32"/>
          <w:szCs w:val="32"/>
        </w:rPr>
        <w:t xml:space="preserve"> </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项目</w:t>
      </w:r>
      <w:r>
        <w:rPr>
          <w:rFonts w:ascii="仿宋" w:hAnsi="仿宋" w:eastAsia="仿宋"/>
          <w:sz w:val="32"/>
          <w:szCs w:val="32"/>
        </w:rPr>
        <w:t>竣工验收报告</w:t>
      </w:r>
      <w:r>
        <w:rPr>
          <w:rFonts w:hint="eastAsia" w:ascii="仿宋" w:hAnsi="仿宋" w:eastAsia="仿宋"/>
          <w:sz w:val="32"/>
          <w:szCs w:val="32"/>
        </w:rPr>
        <w:t>；</w:t>
      </w:r>
    </w:p>
    <w:p>
      <w:pPr>
        <w:spacing w:beforeLines="0" w:afterLines="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《工程现场施工质量监督任务完成告知书》。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 收到前项所述材料后，</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按照广东</w:t>
      </w:r>
      <w:r>
        <w:rPr>
          <w:rFonts w:ascii="仿宋" w:hAnsi="仿宋" w:eastAsia="仿宋"/>
          <w:sz w:val="32"/>
          <w:szCs w:val="32"/>
        </w:rPr>
        <w:t>省标准</w:t>
      </w:r>
      <w:r>
        <w:rPr>
          <w:rFonts w:hint="eastAsia" w:ascii="仿宋" w:hAnsi="仿宋" w:eastAsia="仿宋"/>
          <w:sz w:val="32"/>
          <w:szCs w:val="32"/>
        </w:rPr>
        <w:t>《装配式</w:t>
      </w:r>
      <w:r>
        <w:rPr>
          <w:rFonts w:ascii="仿宋" w:hAnsi="仿宋" w:eastAsia="仿宋"/>
          <w:sz w:val="32"/>
          <w:szCs w:val="32"/>
        </w:rPr>
        <w:t>建筑评价标准</w:t>
      </w:r>
      <w:r>
        <w:rPr>
          <w:rFonts w:hint="eastAsia" w:ascii="仿宋" w:hAnsi="仿宋" w:eastAsia="仿宋"/>
          <w:sz w:val="32"/>
          <w:szCs w:val="32"/>
        </w:rPr>
        <w:t>》对上述材料进行审核，并出具竣工</w:t>
      </w:r>
      <w:r>
        <w:rPr>
          <w:rFonts w:ascii="仿宋" w:hAnsi="仿宋" w:eastAsia="仿宋"/>
          <w:sz w:val="32"/>
          <w:szCs w:val="32"/>
        </w:rPr>
        <w:t>评价</w:t>
      </w:r>
      <w:r>
        <w:rPr>
          <w:rFonts w:hint="eastAsia" w:ascii="仿宋" w:hAnsi="仿宋" w:eastAsia="仿宋"/>
          <w:sz w:val="32"/>
          <w:szCs w:val="32"/>
        </w:rPr>
        <w:t>意见书。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、通过装配式建筑评价的项目，可在本市建筑行业相关评优评奖、绿色建筑评价等工作中优先推荐和享受装配式建筑的政策支持。</w:t>
      </w:r>
    </w:p>
    <w:p>
      <w:pPr>
        <w:spacing w:line="560" w:lineRule="exact"/>
        <w:ind w:firstLine="640" w:firstLineChars="200"/>
        <w:rPr>
          <w:rFonts w:hint="eastAsia"/>
        </w:rPr>
      </w:pPr>
      <w:r>
        <w:rPr>
          <w:rFonts w:hint="eastAsia" w:ascii="仿宋" w:hAnsi="仿宋" w:eastAsia="仿宋"/>
          <w:sz w:val="32"/>
          <w:szCs w:val="32"/>
          <w:lang w:eastAsia="zh-CN"/>
        </w:rPr>
        <w:t>十</w:t>
      </w:r>
      <w:r>
        <w:rPr>
          <w:rFonts w:hint="eastAsia" w:ascii="仿宋" w:hAnsi="仿宋" w:eastAsia="仿宋"/>
          <w:sz w:val="32"/>
          <w:szCs w:val="32"/>
        </w:rPr>
        <w:t>、本通知自印发之日起实施。</w:t>
      </w:r>
    </w:p>
    <w:p>
      <w:pPr>
        <w:spacing w:beforeLines="0" w:afterLines="0" w:line="560" w:lineRule="exact"/>
        <w:ind w:left="1598" w:leftChars="304" w:hanging="960" w:hangingChars="300"/>
        <w:rPr>
          <w:rFonts w:hint="eastAsia" w:ascii="仿宋" w:hAnsi="仿宋" w:eastAsia="仿宋"/>
          <w:sz w:val="32"/>
          <w:szCs w:val="32"/>
          <w:lang w:eastAsia="zh-CN"/>
        </w:rPr>
      </w:pPr>
    </w:p>
    <w:p>
      <w:pPr>
        <w:spacing w:beforeLines="0" w:afterLines="0" w:line="560" w:lineRule="exact"/>
        <w:ind w:left="1598" w:leftChars="304" w:hanging="960" w:hangingChars="300"/>
        <w:rPr>
          <w:rFonts w:hint="eastAsia" w:ascii="仿宋" w:hAnsi="仿宋" w:eastAsia="仿宋"/>
          <w:sz w:val="32"/>
          <w:szCs w:val="32"/>
        </w:rPr>
      </w:pPr>
      <w:r>
        <w:rPr>
          <w:rFonts w:hint="eastAsia" w:ascii="仿宋" w:hAnsi="仿宋" w:eastAsia="仿宋"/>
          <w:sz w:val="32"/>
          <w:szCs w:val="32"/>
          <w:lang w:eastAsia="zh-CN"/>
        </w:rPr>
        <w:t>附件：</w:t>
      </w:r>
      <w:r>
        <w:rPr>
          <w:rFonts w:hint="eastAsia" w:ascii="仿宋" w:hAnsi="仿宋" w:eastAsia="仿宋"/>
          <w:sz w:val="32"/>
          <w:szCs w:val="32"/>
        </w:rPr>
        <w:t>1.中山市装配式建筑项目设计阶段预评价申请</w:t>
      </w:r>
    </w:p>
    <w:p>
      <w:pPr>
        <w:spacing w:beforeLines="0" w:afterLines="0" w:line="560" w:lineRule="exact"/>
        <w:ind w:left="1596" w:leftChars="760" w:firstLine="0" w:firstLineChars="0"/>
        <w:rPr>
          <w:rFonts w:hint="eastAsia" w:ascii="仿宋" w:hAnsi="仿宋" w:eastAsia="仿宋"/>
          <w:sz w:val="32"/>
          <w:szCs w:val="32"/>
        </w:rPr>
      </w:pPr>
      <w:r>
        <w:rPr>
          <w:rFonts w:hint="eastAsia" w:ascii="仿宋" w:hAnsi="仿宋" w:eastAsia="仿宋"/>
          <w:sz w:val="32"/>
          <w:szCs w:val="32"/>
        </w:rPr>
        <w:t>2.中山市装配式建筑项目装配率计算书</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3.中山市装配式建筑项目实施方案</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4.中山市装配式建筑项目装配率评价专家意见</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5.中山市装配式建筑项目实施方案技术评价要点</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6.中山市装配式建筑项目设计阶段预评价意见书</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7. 项目设计文件</w:t>
      </w:r>
    </w:p>
    <w:p>
      <w:pPr>
        <w:spacing w:beforeLines="0" w:afterLines="0" w:line="560" w:lineRule="exact"/>
        <w:ind w:firstLine="640" w:firstLineChars="200"/>
        <w:rPr>
          <w:rFonts w:hint="eastAsia" w:ascii="仿宋" w:hAnsi="仿宋" w:eastAsia="仿宋"/>
          <w:sz w:val="32"/>
          <w:szCs w:val="32"/>
        </w:rPr>
      </w:pPr>
    </w:p>
    <w:p>
      <w:pPr>
        <w:spacing w:beforeLines="0" w:afterLines="0" w:line="560" w:lineRule="exact"/>
        <w:ind w:firstLine="640" w:firstLineChars="200"/>
        <w:jc w:val="right"/>
        <w:rPr>
          <w:rFonts w:hint="eastAsia" w:ascii="仿宋" w:hAnsi="仿宋" w:eastAsia="仿宋"/>
          <w:sz w:val="32"/>
          <w:szCs w:val="32"/>
          <w:lang w:eastAsia="zh-CN"/>
        </w:rPr>
      </w:pPr>
    </w:p>
    <w:p>
      <w:pPr>
        <w:spacing w:beforeLines="0" w:afterLines="0" w:line="560" w:lineRule="exact"/>
        <w:ind w:firstLine="640" w:firstLineChars="200"/>
        <w:jc w:val="right"/>
        <w:rPr>
          <w:rFonts w:hint="eastAsia" w:ascii="仿宋" w:hAnsi="仿宋" w:eastAsia="仿宋"/>
          <w:sz w:val="32"/>
          <w:szCs w:val="32"/>
          <w:lang w:eastAsia="zh-CN"/>
        </w:rPr>
      </w:pPr>
    </w:p>
    <w:p>
      <w:pPr>
        <w:spacing w:beforeLines="0" w:afterLines="0" w:line="560" w:lineRule="exact"/>
        <w:ind w:firstLine="640" w:firstLineChars="200"/>
        <w:jc w:val="right"/>
        <w:rPr>
          <w:rFonts w:hint="eastAsia" w:ascii="仿宋" w:hAnsi="仿宋" w:eastAsia="仿宋"/>
          <w:sz w:val="32"/>
          <w:szCs w:val="32"/>
          <w:lang w:eastAsia="zh-CN"/>
        </w:rPr>
      </w:pPr>
      <w:r>
        <w:rPr>
          <w:rFonts w:hint="eastAsia" w:ascii="仿宋" w:hAnsi="仿宋" w:eastAsia="仿宋"/>
          <w:sz w:val="32"/>
          <w:szCs w:val="32"/>
          <w:lang w:eastAsia="zh-CN"/>
        </w:rPr>
        <w:t>中山市住房和城乡建设局</w:t>
      </w:r>
    </w:p>
    <w:p>
      <w:pPr>
        <w:spacing w:beforeLines="0" w:afterLines="0" w:line="560" w:lineRule="exact"/>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2019年11月19日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spacing w:beforeLines="0" w:after="0" w:afterLines="0" w:line="600" w:lineRule="exact"/>
        <w:rPr>
          <w:rFonts w:hint="eastAsia" w:ascii="仿宋_GB2312" w:hAnsi="仿宋_GB2312" w:eastAsia="仿宋_GB2312" w:cs="仿宋_GB2312"/>
          <w:snapToGrid w:val="0"/>
          <w:spacing w:val="6"/>
          <w:kern w:val="32"/>
          <w:sz w:val="32"/>
          <w:szCs w:val="32"/>
        </w:rPr>
      </w:pPr>
      <w:r>
        <w:rPr>
          <w:rFonts w:hint="eastAsia" w:ascii="黑体" w:hAnsi="黑体" w:eastAsia="黑体" w:cs="黑体"/>
          <w:snapToGrid w:val="0"/>
          <w:spacing w:val="6"/>
          <w:kern w:val="32"/>
          <w:sz w:val="32"/>
          <w:szCs w:val="32"/>
          <w:lang w:eastAsia="zh-CN"/>
        </w:rPr>
        <w:t>公</w:t>
      </w:r>
      <w:r>
        <w:rPr>
          <w:rFonts w:hint="eastAsia" w:ascii="黑体" w:hAnsi="黑体" w:eastAsia="黑体" w:cs="黑体"/>
          <w:snapToGrid w:val="0"/>
          <w:spacing w:val="6"/>
          <w:kern w:val="32"/>
          <w:sz w:val="32"/>
          <w:szCs w:val="32"/>
        </w:rPr>
        <w:t>开方式：</w:t>
      </w:r>
      <w:r>
        <w:rPr>
          <w:rFonts w:hint="eastAsia" w:ascii="仿宋_GB2312" w:hAnsi="仿宋_GB2312" w:eastAsia="仿宋_GB2312" w:cs="仿宋_GB2312"/>
          <w:snapToGrid w:val="0"/>
          <w:spacing w:val="6"/>
          <w:kern w:val="32"/>
          <w:sz w:val="32"/>
          <w:szCs w:val="32"/>
          <w:lang w:eastAsia="zh-CN"/>
        </w:rPr>
        <w:t>主动</w:t>
      </w:r>
      <w:r>
        <w:rPr>
          <w:rFonts w:hint="eastAsia" w:ascii="仿宋_GB2312" w:hAnsi="仿宋_GB2312" w:eastAsia="仿宋_GB2312" w:cs="仿宋_GB2312"/>
          <w:snapToGrid w:val="0"/>
          <w:spacing w:val="6"/>
          <w:kern w:val="32"/>
          <w:sz w:val="32"/>
          <w:szCs w:val="32"/>
        </w:rPr>
        <w:t>公开</w:t>
      </w:r>
    </w:p>
    <w:p>
      <w:pPr>
        <w:numPr>
          <w:ilvl w:val="0"/>
          <w:numId w:val="0"/>
        </w:numPr>
        <w:overflowPunct/>
        <w:autoSpaceDE/>
        <w:autoSpaceDN/>
        <w:adjustRightInd/>
        <w:snapToGrid/>
        <w:spacing w:beforeLines="0" w:afterLines="0" w:line="600" w:lineRule="exact"/>
        <w:ind w:right="0"/>
        <w:jc w:val="left"/>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napToGrid w:val="0"/>
          <w:spacing w:val="6"/>
          <w:kern w:val="32"/>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7" name="直接连接符 7"/>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pt;height:1.2pt;width:441pt;z-index:251664384;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ean11AAAAAYBAAAPAAAAAAAAAAEAIAAAACIAAABkcnMvZG93bnJldi54&#10;bWxQSwECFAAUAAAACACHTuJAi2A3Gv4BAAD2AwAADgAAAAAAAAABACAAAAAj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spacing w:val="6"/>
          <w:kern w:val="3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68580</wp:posOffset>
                </wp:positionV>
                <wp:extent cx="5600700" cy="15240"/>
                <wp:effectExtent l="0" t="4445" r="0" b="8890"/>
                <wp:wrapNone/>
                <wp:docPr id="5" name="直接连接符 5"/>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4pt;height:1.2pt;width:441pt;z-index:251663360;mso-width-relative:page;mso-height-relative:page;" filled="f" stroked="t" coordsize="21600,21600" o:gfxdata="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GDDQLTAAAABgEAAA8AAAAAAAAAAQAgAAAAIgAAAGRycy9kb3ducmV2Lnht&#10;bFBLAQIUABQAAAAIAIdO4kCP3ouz/gEAAPYDAAAOAAAAAAAAAAEAIAAAACI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spacing w:val="6"/>
          <w:kern w:val="32"/>
          <w:sz w:val="32"/>
          <w:szCs w:val="32"/>
        </w:rPr>
        <w:t>中山市住房和城乡建设局办公室     2019年</w:t>
      </w:r>
      <w:r>
        <w:rPr>
          <w:rFonts w:hint="eastAsia" w:ascii="仿宋_GB2312" w:hAnsi="仿宋_GB2312" w:eastAsia="仿宋_GB2312" w:cs="仿宋_GB2312"/>
          <w:snapToGrid w:val="0"/>
          <w:spacing w:val="6"/>
          <w:kern w:val="32"/>
          <w:sz w:val="32"/>
          <w:szCs w:val="32"/>
          <w:lang w:val="en-US" w:eastAsia="zh-CN"/>
        </w:rPr>
        <w:t>11</w:t>
      </w:r>
      <w:r>
        <w:rPr>
          <w:rFonts w:hint="eastAsia" w:ascii="仿宋_GB2312" w:hAnsi="仿宋_GB2312" w:eastAsia="仿宋_GB2312" w:cs="仿宋_GB2312"/>
          <w:snapToGrid w:val="0"/>
          <w:spacing w:val="6"/>
          <w:kern w:val="32"/>
          <w:sz w:val="32"/>
          <w:szCs w:val="32"/>
        </w:rPr>
        <w:t>月</w:t>
      </w:r>
      <w:r>
        <w:rPr>
          <w:rFonts w:hint="eastAsia" w:ascii="仿宋_GB2312" w:hAnsi="仿宋_GB2312" w:eastAsia="仿宋_GB2312" w:cs="仿宋_GB2312"/>
          <w:snapToGrid w:val="0"/>
          <w:spacing w:val="6"/>
          <w:kern w:val="32"/>
          <w:sz w:val="32"/>
          <w:szCs w:val="32"/>
          <w:lang w:val="en-US" w:eastAsia="zh-CN"/>
        </w:rPr>
        <w:t>21</w:t>
      </w:r>
      <w:r>
        <w:rPr>
          <w:rFonts w:hint="eastAsia" w:ascii="仿宋_GB2312" w:hAnsi="仿宋_GB2312" w:eastAsia="仿宋_GB2312" w:cs="仿宋_GB2312"/>
          <w:snapToGrid w:val="0"/>
          <w:spacing w:val="6"/>
          <w:kern w:val="32"/>
          <w:sz w:val="32"/>
          <w:szCs w:val="32"/>
        </w:rPr>
        <w:t>日印发</w:t>
      </w:r>
    </w:p>
    <w:p>
      <w:pPr>
        <w:rPr>
          <w:rFonts w:ascii="仿宋_GB2312" w:hAnsi="仿宋_GB2312" w:eastAsia="仿宋_GB2312" w:cs="仿宋_GB2312"/>
          <w:bCs/>
          <w:snapToGrid w:val="0"/>
          <w:sz w:val="32"/>
          <w:szCs w:val="32"/>
        </w:rPr>
      </w:pPr>
      <w:r>
        <w:rPr>
          <w:rFonts w:ascii="仿宋" w:hAnsi="仿宋" w:eastAsia="仿宋"/>
          <w:sz w:val="32"/>
          <w:szCs w:val="32"/>
        </w:rPr>
        <w:br w:type="page"/>
      </w:r>
      <w:r>
        <w:rPr>
          <w:rFonts w:hint="eastAsia" w:ascii="仿宋_GB2312" w:hAnsi="仿宋_GB2312" w:eastAsia="仿宋_GB2312" w:cs="仿宋_GB2312"/>
          <w:bCs/>
          <w:snapToGrid w:val="0"/>
          <w:sz w:val="32"/>
          <w:szCs w:val="32"/>
        </w:rPr>
        <w:t>附件1</w:t>
      </w:r>
    </w:p>
    <w:p>
      <w:pPr>
        <w:jc w:val="center"/>
        <w:rPr>
          <w:rFonts w:ascii="仿宋_GB2312" w:hAnsi="仿宋_GB2312" w:eastAsia="仿宋_GB2312" w:cs="仿宋_GB2312"/>
          <w:b/>
          <w:bCs/>
          <w:sz w:val="52"/>
          <w:szCs w:val="52"/>
        </w:rPr>
      </w:pPr>
    </w:p>
    <w:p>
      <w:pPr>
        <w:jc w:val="center"/>
        <w:rPr>
          <w:rFonts w:ascii="仿宋_GB2312" w:hAnsi="仿宋_GB2312" w:eastAsia="仿宋_GB2312" w:cs="仿宋_GB2312"/>
          <w:b/>
          <w:bCs/>
          <w:sz w:val="52"/>
          <w:szCs w:val="52"/>
        </w:rPr>
      </w:pPr>
    </w:p>
    <w:p>
      <w:pPr>
        <w:jc w:val="center"/>
        <w:rPr>
          <w:rFonts w:ascii="仿宋_GB2312" w:hAnsi="仿宋_GB2312" w:eastAsia="仿宋_GB2312" w:cs="仿宋_GB2312"/>
          <w:b/>
          <w:bCs/>
          <w:sz w:val="52"/>
          <w:szCs w:val="52"/>
        </w:rPr>
      </w:pPr>
    </w:p>
    <w:p>
      <w:pPr>
        <w:jc w:val="center"/>
        <w:rPr>
          <w:rFonts w:ascii="宋体" w:hAnsi="宋体" w:cs="宋体"/>
          <w:b/>
          <w:bCs/>
          <w:sz w:val="44"/>
          <w:szCs w:val="44"/>
        </w:rPr>
      </w:pPr>
      <w:r>
        <w:rPr>
          <w:rFonts w:hint="eastAsia" w:ascii="宋体" w:hAnsi="宋体" w:cs="宋体"/>
          <w:b/>
          <w:bCs/>
          <w:sz w:val="44"/>
          <w:szCs w:val="44"/>
        </w:rPr>
        <w:t>中山市装配式建筑项目</w:t>
      </w:r>
    </w:p>
    <w:p>
      <w:pPr>
        <w:jc w:val="center"/>
        <w:rPr>
          <w:rFonts w:ascii="宋体" w:hAnsi="宋体" w:cs="宋体"/>
          <w:b/>
          <w:bCs/>
          <w:sz w:val="44"/>
          <w:szCs w:val="44"/>
        </w:rPr>
      </w:pPr>
      <w:r>
        <w:rPr>
          <w:rFonts w:hint="eastAsia" w:ascii="宋体" w:hAnsi="宋体" w:cs="宋体"/>
          <w:b/>
          <w:bCs/>
          <w:sz w:val="44"/>
          <w:szCs w:val="44"/>
        </w:rPr>
        <w:t>设计阶段预评价申请表</w:t>
      </w:r>
    </w:p>
    <w:p>
      <w:pPr>
        <w:spacing w:line="60" w:lineRule="auto"/>
        <w:jc w:val="center"/>
        <w:rPr>
          <w:rFonts w:ascii="宋体" w:hAnsi="宋体" w:cs="宋体"/>
          <w:bCs/>
          <w:sz w:val="28"/>
          <w:szCs w:val="28"/>
        </w:rPr>
      </w:pPr>
      <w:r>
        <w:rPr>
          <w:rFonts w:hint="eastAsia" w:ascii="宋体" w:hAnsi="宋体" w:cs="宋体"/>
          <w:bCs/>
          <w:sz w:val="28"/>
          <w:szCs w:val="28"/>
        </w:rPr>
        <w:t>（参考格式）</w:t>
      </w:r>
    </w:p>
    <w:p>
      <w:pPr>
        <w:spacing w:line="60" w:lineRule="auto"/>
        <w:jc w:val="left"/>
        <w:rPr>
          <w:rFonts w:ascii="仿宋_GB2312" w:hAnsi="仿宋_GB2312" w:eastAsia="仿宋_GB2312" w:cs="仿宋_GB2312"/>
          <w:b/>
          <w:sz w:val="44"/>
          <w:szCs w:val="22"/>
        </w:rPr>
      </w:pPr>
    </w:p>
    <w:p>
      <w:pPr>
        <w:spacing w:line="60" w:lineRule="auto"/>
        <w:jc w:val="center"/>
        <w:rPr>
          <w:rFonts w:ascii="仿宋_GB2312" w:hAnsi="仿宋_GB2312" w:eastAsia="仿宋_GB2312" w:cs="仿宋_GB2312"/>
          <w:b/>
          <w:sz w:val="44"/>
          <w:szCs w:val="22"/>
        </w:rPr>
      </w:pPr>
    </w:p>
    <w:p>
      <w:pPr>
        <w:spacing w:line="60" w:lineRule="auto"/>
        <w:jc w:val="center"/>
        <w:rPr>
          <w:rFonts w:ascii="仿宋_GB2312" w:hAnsi="仿宋_GB2312" w:eastAsia="仿宋_GB2312" w:cs="仿宋_GB2312"/>
          <w:b/>
          <w:sz w:val="44"/>
          <w:szCs w:val="22"/>
        </w:rPr>
      </w:pPr>
    </w:p>
    <w:p>
      <w:pPr>
        <w:spacing w:line="60" w:lineRule="auto"/>
        <w:rPr>
          <w:rFonts w:ascii="仿宋_GB2312" w:hAnsi="仿宋_GB2312" w:eastAsia="仿宋_GB2312" w:cs="仿宋_GB2312"/>
          <w:b/>
          <w:sz w:val="44"/>
          <w:szCs w:val="22"/>
        </w:rPr>
      </w:pPr>
    </w:p>
    <w:p>
      <w:pPr>
        <w:spacing w:line="60" w:lineRule="auto"/>
        <w:ind w:right="913"/>
        <w:rPr>
          <w:rFonts w:ascii="宋体" w:hAnsi="宋体" w:cs="宋体"/>
          <w:bCs/>
          <w:sz w:val="32"/>
          <w:szCs w:val="32"/>
        </w:rPr>
      </w:pPr>
      <w:r>
        <w:rPr>
          <w:rFonts w:hint="eastAsia" w:ascii="仿宋_GB2312" w:hAnsi="仿宋_GB2312" w:eastAsia="仿宋_GB2312" w:cs="仿宋_GB2312"/>
          <w:bCs/>
          <w:sz w:val="32"/>
          <w:szCs w:val="22"/>
        </w:rPr>
        <w:t xml:space="preserve">           </w:t>
      </w:r>
      <w:r>
        <w:rPr>
          <w:rFonts w:hint="eastAsia" w:ascii="宋体" w:hAnsi="宋体" w:cs="宋体"/>
          <w:bCs/>
          <w:sz w:val="32"/>
          <w:szCs w:val="32"/>
        </w:rPr>
        <w:t xml:space="preserve"> 项目名称：</w:t>
      </w:r>
      <w:r>
        <w:rPr>
          <w:rFonts w:hint="eastAsia" w:ascii="宋体" w:hAnsi="宋体" w:cs="宋体"/>
          <w:bCs/>
          <w:sz w:val="32"/>
          <w:szCs w:val="32"/>
          <w:u w:val="single"/>
        </w:rPr>
        <w:t xml:space="preserve"> </w:t>
      </w:r>
      <w:r>
        <w:rPr>
          <w:rFonts w:hint="eastAsia" w:ascii="宋体" w:hAnsi="宋体" w:cs="宋体"/>
          <w:sz w:val="32"/>
          <w:szCs w:val="32"/>
          <w:u w:val="single"/>
        </w:rPr>
        <w:t xml:space="preserve">                    </w:t>
      </w:r>
      <w:r>
        <w:rPr>
          <w:rFonts w:hint="eastAsia" w:ascii="宋体" w:hAnsi="宋体" w:cs="宋体"/>
          <w:bCs/>
          <w:sz w:val="32"/>
          <w:szCs w:val="32"/>
          <w:u w:val="single"/>
        </w:rPr>
        <w:t xml:space="preserve"> </w:t>
      </w:r>
    </w:p>
    <w:p>
      <w:pPr>
        <w:spacing w:line="60" w:lineRule="auto"/>
        <w:ind w:right="913"/>
        <w:rPr>
          <w:rFonts w:ascii="宋体" w:hAnsi="宋体" w:cs="宋体"/>
          <w:bCs/>
          <w:sz w:val="32"/>
          <w:szCs w:val="32"/>
        </w:rPr>
      </w:pPr>
      <w:r>
        <w:rPr>
          <w:rFonts w:hint="eastAsia" w:ascii="宋体" w:hAnsi="宋体" w:cs="宋体"/>
          <w:bCs/>
          <w:sz w:val="32"/>
          <w:szCs w:val="32"/>
        </w:rPr>
        <w:t xml:space="preserve">            建设单位：</w:t>
      </w:r>
      <w:r>
        <w:rPr>
          <w:rFonts w:hint="eastAsia" w:ascii="宋体" w:hAnsi="宋体" w:cs="宋体"/>
          <w:bCs/>
          <w:sz w:val="32"/>
          <w:szCs w:val="32"/>
          <w:u w:val="single"/>
        </w:rPr>
        <w:t xml:space="preserve">                      </w:t>
      </w:r>
    </w:p>
    <w:p>
      <w:pPr>
        <w:spacing w:line="60" w:lineRule="auto"/>
        <w:rPr>
          <w:rFonts w:ascii="宋体" w:hAnsi="宋体" w:cs="宋体"/>
          <w:bCs/>
          <w:sz w:val="32"/>
          <w:szCs w:val="32"/>
        </w:rPr>
      </w:pPr>
    </w:p>
    <w:p>
      <w:pPr>
        <w:spacing w:line="60" w:lineRule="auto"/>
        <w:rPr>
          <w:rFonts w:ascii="仿宋_GB2312" w:hAnsi="仿宋_GB2312" w:eastAsia="仿宋_GB2312" w:cs="仿宋_GB2312"/>
          <w:bCs/>
          <w:sz w:val="32"/>
          <w:szCs w:val="22"/>
        </w:rPr>
      </w:pPr>
    </w:p>
    <w:p>
      <w:pPr>
        <w:spacing w:line="60" w:lineRule="auto"/>
        <w:rPr>
          <w:rFonts w:ascii="仿宋_GB2312" w:hAnsi="仿宋_GB2312" w:eastAsia="仿宋_GB2312" w:cs="仿宋_GB2312"/>
          <w:bCs/>
          <w:sz w:val="32"/>
          <w:szCs w:val="22"/>
        </w:rPr>
      </w:pPr>
    </w:p>
    <w:p>
      <w:pPr>
        <w:spacing w:line="60" w:lineRule="auto"/>
        <w:jc w:val="center"/>
        <w:rPr>
          <w:rFonts w:ascii="宋体" w:hAnsi="宋体" w:cs="宋体"/>
          <w:bCs/>
          <w:sz w:val="32"/>
          <w:szCs w:val="22"/>
        </w:rPr>
      </w:pPr>
      <w:r>
        <w:rPr>
          <w:rFonts w:hint="eastAsia" w:ascii="宋体" w:hAnsi="宋体" w:cs="宋体"/>
          <w:bCs/>
          <w:sz w:val="32"/>
          <w:szCs w:val="22"/>
        </w:rPr>
        <w:t>申请日期：</w:t>
      </w:r>
      <w:r>
        <w:rPr>
          <w:rFonts w:hint="eastAsia" w:ascii="宋体" w:hAnsi="宋体" w:cs="宋体"/>
          <w:bCs/>
          <w:sz w:val="32"/>
          <w:szCs w:val="22"/>
          <w:u w:val="single"/>
        </w:rPr>
        <w:t xml:space="preserve">     </w:t>
      </w:r>
      <w:r>
        <w:rPr>
          <w:rFonts w:hint="eastAsia" w:ascii="宋体" w:hAnsi="宋体" w:cs="宋体"/>
          <w:bCs/>
          <w:sz w:val="32"/>
          <w:szCs w:val="22"/>
        </w:rPr>
        <w:t>年</w:t>
      </w:r>
      <w:r>
        <w:rPr>
          <w:rFonts w:hint="eastAsia" w:ascii="宋体" w:hAnsi="宋体" w:cs="宋体"/>
          <w:bCs/>
          <w:sz w:val="32"/>
          <w:szCs w:val="22"/>
          <w:u w:val="single"/>
        </w:rPr>
        <w:t xml:space="preserve">    </w:t>
      </w:r>
      <w:r>
        <w:rPr>
          <w:rFonts w:hint="eastAsia" w:ascii="宋体" w:hAnsi="宋体" w:cs="宋体"/>
          <w:bCs/>
          <w:sz w:val="32"/>
          <w:szCs w:val="22"/>
        </w:rPr>
        <w:t>月</w:t>
      </w:r>
      <w:r>
        <w:rPr>
          <w:rFonts w:hint="eastAsia" w:ascii="宋体" w:hAnsi="宋体" w:cs="宋体"/>
          <w:bCs/>
          <w:sz w:val="32"/>
          <w:szCs w:val="22"/>
          <w:u w:val="single"/>
        </w:rPr>
        <w:t xml:space="preserve">    </w:t>
      </w:r>
      <w:r>
        <w:rPr>
          <w:rFonts w:hint="eastAsia" w:ascii="宋体" w:hAnsi="宋体" w:cs="宋体"/>
          <w:bCs/>
          <w:sz w:val="32"/>
          <w:szCs w:val="22"/>
        </w:rPr>
        <w:t>日</w:t>
      </w:r>
    </w:p>
    <w:p>
      <w:pPr>
        <w:spacing w:line="60" w:lineRule="auto"/>
        <w:rPr>
          <w:rFonts w:ascii="仿宋_GB2312" w:hAnsi="仿宋_GB2312" w:eastAsia="仿宋_GB2312" w:cs="仿宋_GB2312"/>
          <w:b/>
          <w:sz w:val="28"/>
          <w:szCs w:val="22"/>
        </w:rPr>
      </w:pPr>
    </w:p>
    <w:p>
      <w:pPr>
        <w:spacing w:line="60" w:lineRule="auto"/>
        <w:jc w:val="center"/>
        <w:rPr>
          <w:rFonts w:ascii="宋体" w:hAnsi="宋体" w:cs="宋体"/>
          <w:b/>
          <w:sz w:val="28"/>
          <w:szCs w:val="22"/>
        </w:rPr>
      </w:pPr>
      <w:r>
        <w:rPr>
          <w:rFonts w:hint="eastAsia" w:ascii="宋体" w:hAnsi="宋体" w:cs="宋体"/>
          <w:b/>
          <w:sz w:val="28"/>
          <w:szCs w:val="22"/>
        </w:rPr>
        <w:t>中山市住房和城乡建设管理局印制</w:t>
      </w:r>
    </w:p>
    <w:p>
      <w:pPr>
        <w:autoSpaceDE w:val="0"/>
        <w:autoSpaceDN w:val="0"/>
        <w:adjustRightInd w:val="0"/>
        <w:jc w:val="left"/>
        <w:rPr>
          <w:rFonts w:ascii="仿宋_GB2312" w:hAnsi="仿宋_GB2312" w:eastAsia="仿宋_GB2312" w:cs="仿宋_GB2312"/>
          <w:kern w:val="0"/>
          <w:sz w:val="24"/>
        </w:rPr>
        <w:sectPr>
          <w:footerReference r:id="rId10" w:type="default"/>
          <w:footerReference r:id="rId11" w:type="even"/>
          <w:pgSz w:w="11850" w:h="16783"/>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520" w:lineRule="exact"/>
        <w:ind w:left="540"/>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填写说明</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32"/>
        </w:rPr>
        <w:t>1.统一按A4</w:t>
      </w:r>
      <w:r>
        <w:rPr>
          <w:rFonts w:hint="eastAsia" w:ascii="仿宋_GB2312" w:hAnsi="仿宋_GB2312" w:eastAsia="仿宋_GB2312" w:cs="仿宋_GB2312"/>
          <w:bCs/>
          <w:sz w:val="32"/>
          <w:szCs w:val="22"/>
        </w:rPr>
        <w:t>纸规格双面填写、打印。</w:t>
      </w:r>
    </w:p>
    <w:p>
      <w:pPr>
        <w:adjustRightInd w:val="0"/>
        <w:snapToGrid w:val="0"/>
        <w:spacing w:line="520" w:lineRule="exact"/>
        <w:jc w:val="lef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2.申报材料的项目名称和建设单位须与《建设工程规划许可证》一致。</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3.建设单位应在封面、骑缝、申报单位意见中盖章。</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22"/>
        </w:rPr>
        <w:t>建设单位应对提交的全部申请资料的真实性负相关责任。</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5.申请资料清单：</w:t>
      </w:r>
    </w:p>
    <w:tbl>
      <w:tblPr>
        <w:tblStyle w:val="20"/>
        <w:tblW w:w="0" w:type="auto"/>
        <w:tblInd w:w="-103" w:type="dxa"/>
        <w:tblLayout w:type="fixed"/>
        <w:tblCellMar>
          <w:top w:w="0" w:type="dxa"/>
          <w:left w:w="0" w:type="dxa"/>
          <w:bottom w:w="0" w:type="dxa"/>
          <w:right w:w="0" w:type="dxa"/>
        </w:tblCellMar>
      </w:tblPr>
      <w:tblGrid>
        <w:gridCol w:w="2156"/>
        <w:gridCol w:w="2490"/>
        <w:gridCol w:w="1433"/>
        <w:gridCol w:w="1433"/>
        <w:gridCol w:w="1222"/>
      </w:tblGrid>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bookmarkStart w:id="569" w:name="OLE_LINK4"/>
            <w:r>
              <w:rPr>
                <w:rFonts w:hint="eastAsia"/>
                <w:b/>
                <w:szCs w:val="21"/>
              </w:rPr>
              <w:t>材料名称</w:t>
            </w:r>
          </w:p>
        </w:tc>
        <w:tc>
          <w:tcPr>
            <w:tcW w:w="2490"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要求</w:t>
            </w:r>
          </w:p>
        </w:tc>
        <w:tc>
          <w:tcPr>
            <w:tcW w:w="1433"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原件</w:t>
            </w:r>
            <w:r>
              <w:rPr>
                <w:rFonts w:hint="eastAsia"/>
                <w:b/>
                <w:szCs w:val="21"/>
              </w:rPr>
              <w:br w:type="textWrapping"/>
            </w:r>
            <w:r>
              <w:rPr>
                <w:rFonts w:hint="eastAsia"/>
                <w:b/>
                <w:szCs w:val="21"/>
              </w:rPr>
              <w:t>份数（份/套）</w:t>
            </w:r>
          </w:p>
        </w:tc>
        <w:tc>
          <w:tcPr>
            <w:tcW w:w="1433"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复印件</w:t>
            </w:r>
            <w:r>
              <w:rPr>
                <w:rFonts w:hint="eastAsia"/>
                <w:b/>
                <w:szCs w:val="21"/>
              </w:rPr>
              <w:br w:type="textWrapping"/>
            </w:r>
            <w:r>
              <w:rPr>
                <w:rFonts w:hint="eastAsia"/>
                <w:b/>
                <w:szCs w:val="21"/>
              </w:rPr>
              <w:t>份数（份/套）</w:t>
            </w:r>
          </w:p>
        </w:tc>
        <w:tc>
          <w:tcPr>
            <w:tcW w:w="1222"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法人代表身份证件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1</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书面委托书</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委托办理的提供</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1</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被委托人身份证件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委托办理的提供</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1</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《中山市装配式建筑项目设计阶段预评价申请表》</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rPr>
                <w:szCs w:val="21"/>
              </w:rPr>
            </w:pPr>
            <w:r>
              <w:rPr>
                <w:rFonts w:hint="eastAsia"/>
                <w:szCs w:val="21"/>
              </w:rPr>
              <w:t>纸质：一式三份，加盖建设单位公章</w:t>
            </w:r>
          </w:p>
          <w:p>
            <w:pPr>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《中山市装配式建筑项目装配率计算书》</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rPr>
                <w:szCs w:val="21"/>
              </w:rPr>
            </w:pPr>
            <w:r>
              <w:rPr>
                <w:rFonts w:hint="eastAsia"/>
                <w:szCs w:val="21"/>
              </w:rPr>
              <w:t>纸质：一式三份，加盖建设单位、设计单位公章、施工图审查机构技术审查章</w:t>
            </w:r>
          </w:p>
          <w:p>
            <w:pPr>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《中山市装配式建筑项目装配率评价专家意见》</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纸质：一式三份，加盖施工图审查机构技术审查章</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《中山市装配式建筑项目实施方案》</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纸质：一式三份，加盖建设单位公章</w:t>
            </w:r>
          </w:p>
          <w:p>
            <w:pPr>
              <w:jc w:val="left"/>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项目设计文件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一式两套，封面加盖设计单位公章</w:t>
            </w:r>
          </w:p>
          <w:p>
            <w:pPr>
              <w:jc w:val="left"/>
              <w:rPr>
                <w:szCs w:val="21"/>
              </w:rPr>
            </w:pPr>
            <w:r>
              <w:rPr>
                <w:rFonts w:hint="eastAsia"/>
                <w:szCs w:val="21"/>
              </w:rPr>
              <w:t>电子版：cad格式，光盘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2</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bookmarkEnd w:id="569"/>
    </w:tbl>
    <w:p>
      <w:pPr>
        <w:autoSpaceDE w:val="0"/>
        <w:autoSpaceDN w:val="0"/>
        <w:adjustRightInd w:val="0"/>
        <w:snapToGrid w:val="0"/>
        <w:spacing w:line="520" w:lineRule="exac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32"/>
          <w:szCs w:val="32"/>
        </w:rPr>
        <w:br w:type="page"/>
      </w:r>
      <w:r>
        <w:rPr>
          <w:rFonts w:hint="eastAsia" w:ascii="仿宋_GB2312" w:hAnsi="仿宋_GB2312" w:eastAsia="仿宋_GB2312" w:cs="仿宋_GB2312"/>
          <w:b/>
          <w:bCs/>
          <w:kern w:val="0"/>
          <w:sz w:val="32"/>
          <w:szCs w:val="32"/>
        </w:rPr>
        <w:t>一、申报单位基本情况</w:t>
      </w:r>
    </w:p>
    <w:tbl>
      <w:tblPr>
        <w:tblStyle w:val="20"/>
        <w:tblpPr w:leftFromText="180" w:rightFromText="180" w:vertAnchor="text" w:horzAnchor="page" w:tblpXSpec="center" w:tblpY="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52"/>
        <w:gridCol w:w="188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建设单位</w:t>
            </w:r>
          </w:p>
        </w:tc>
        <w:tc>
          <w:tcPr>
            <w:tcW w:w="6892"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通讯地址</w:t>
            </w:r>
          </w:p>
        </w:tc>
        <w:tc>
          <w:tcPr>
            <w:tcW w:w="6892"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企业法人代表</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电话</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传真</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邮箱</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设计单位</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资质及证号</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施工图审查机构</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资质及证号</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bl>
    <w:p>
      <w:pPr>
        <w:autoSpaceDE w:val="0"/>
        <w:autoSpaceDN w:val="0"/>
        <w:adjustRightInd w:val="0"/>
        <w:snapToGrid w:val="0"/>
        <w:spacing w:line="520" w:lineRule="exact"/>
        <w:jc w:val="left"/>
        <w:rPr>
          <w:rFonts w:ascii="仿宋_GB2312" w:hAnsi="仿宋_GB2312" w:eastAsia="仿宋_GB2312" w:cs="仿宋_GB2312"/>
          <w:b/>
          <w:bCs/>
          <w:kern w:val="0"/>
          <w:sz w:val="28"/>
          <w:szCs w:val="28"/>
        </w:rPr>
      </w:pPr>
    </w:p>
    <w:p>
      <w:pPr>
        <w:autoSpaceDE w:val="0"/>
        <w:autoSpaceDN w:val="0"/>
        <w:adjustRightInd w:val="0"/>
        <w:snapToGrid w:val="0"/>
        <w:spacing w:line="520" w:lineRule="exact"/>
        <w:jc w:val="left"/>
        <w:rPr>
          <w:rFonts w:ascii="仿宋_GB2312" w:hAnsi="仿宋_GB2312" w:eastAsia="仿宋_GB2312" w:cs="仿宋_GB2312"/>
          <w:b/>
          <w:bCs/>
          <w:kern w:val="0"/>
          <w:sz w:val="28"/>
          <w:szCs w:val="28"/>
        </w:rPr>
      </w:pPr>
    </w:p>
    <w:p>
      <w:pPr>
        <w:autoSpaceDE w:val="0"/>
        <w:autoSpaceDN w:val="0"/>
        <w:adjustRightInd w:val="0"/>
        <w:snapToGrid w:val="0"/>
        <w:spacing w:line="52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二、项目基本情况</w:t>
      </w:r>
    </w:p>
    <w:p>
      <w:pPr>
        <w:autoSpaceDE w:val="0"/>
        <w:autoSpaceDN w:val="0"/>
        <w:adjustRightInd w:val="0"/>
        <w:snapToGrid w:val="0"/>
        <w:spacing w:line="520" w:lineRule="exact"/>
        <w:jc w:val="righ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90"/>
        <w:gridCol w:w="1553"/>
        <w:gridCol w:w="30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restart"/>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基</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本</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况</w:t>
            </w: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6089"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项目位置</w:t>
            </w:r>
          </w:p>
        </w:tc>
        <w:tc>
          <w:tcPr>
            <w:tcW w:w="6089"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用地规划许可证号</w:t>
            </w: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用地性质</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总用地面积</w:t>
            </w: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总建筑面积</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各楼栋号</w:t>
            </w:r>
          </w:p>
          <w:p>
            <w:pPr>
              <w:adjustRightInd w:val="0"/>
              <w:snapToGrid w:val="0"/>
              <w:spacing w:line="520" w:lineRule="exact"/>
              <w:jc w:val="center"/>
              <w:rPr>
                <w:rFonts w:ascii="仿宋_GB2312" w:hAnsi="仿宋_GB2312" w:eastAsia="仿宋_GB2312" w:cs="仿宋_GB2312"/>
                <w:b/>
                <w:bCs/>
                <w:sz w:val="28"/>
                <w:szCs w:val="28"/>
              </w:rPr>
            </w:pP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容积率</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669" w:type="dxa"/>
            <w:vMerge w:val="restart"/>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配</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式</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况</w:t>
            </w: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装配式建筑面积</w:t>
            </w:r>
          </w:p>
        </w:tc>
        <w:tc>
          <w:tcPr>
            <w:tcW w:w="1553" w:type="dxa"/>
            <w:noWrap w:val="0"/>
            <w:vAlign w:val="center"/>
          </w:tcPr>
          <w:p>
            <w:pPr>
              <w:adjustRightInd w:val="0"/>
              <w:snapToGrid w:val="0"/>
              <w:spacing w:line="520" w:lineRule="exact"/>
              <w:jc w:val="center"/>
              <w:rPr>
                <w:rFonts w:ascii="仿宋_GB2312" w:hAnsi="仿宋_GB2312" w:eastAsia="仿宋_GB2312" w:cs="仿宋_GB2312"/>
                <w:bCs/>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申请应计容但不计容建筑面积</w:t>
            </w:r>
          </w:p>
          <w:p>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（申请项目）</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装配式建筑类型</w:t>
            </w: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装配式建筑楼栋号</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bl>
    <w:p>
      <w:pPr>
        <w:autoSpaceDE w:val="0"/>
        <w:autoSpaceDN w:val="0"/>
        <w:adjustRightInd w:val="0"/>
        <w:snapToGrid w:val="0"/>
        <w:spacing w:line="52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28"/>
          <w:szCs w:val="28"/>
        </w:rPr>
        <w:t>备注：对于申请应计容但不计容面积的项目，装配式建筑面积应包含应计容但不计容面积。</w:t>
      </w:r>
    </w:p>
    <w:p>
      <w:pPr>
        <w:autoSpaceDE w:val="0"/>
        <w:autoSpaceDN w:val="0"/>
        <w:adjustRightInd w:val="0"/>
        <w:spacing w:line="320" w:lineRule="exact"/>
        <w:jc w:val="left"/>
        <w:rPr>
          <w:rFonts w:ascii="仿宋_GB2312" w:hAnsi="仿宋_GB2312" w:eastAsia="仿宋_GB2312" w:cs="仿宋_GB2312"/>
          <w:b/>
          <w:bCs/>
          <w:kern w:val="0"/>
          <w:sz w:val="32"/>
          <w:szCs w:val="32"/>
        </w:rPr>
        <w:sectPr>
          <w:pgSz w:w="11850" w:h="16783"/>
          <w:pgMar w:top="1440" w:right="1800" w:bottom="117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32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三、装配式建筑各单体建筑关键指标统计表</w:t>
      </w:r>
    </w:p>
    <w:p>
      <w:pPr>
        <w:autoSpaceDE w:val="0"/>
        <w:autoSpaceDN w:val="0"/>
        <w:adjustRightInd w:val="0"/>
        <w:spacing w:line="320" w:lineRule="exact"/>
        <w:jc w:val="left"/>
        <w:rPr>
          <w:rFonts w:ascii="仿宋_GB2312" w:hAnsi="仿宋_GB2312" w:eastAsia="仿宋_GB2312" w:cs="仿宋_GB2312"/>
          <w:b/>
          <w:bCs/>
          <w:kern w:val="0"/>
          <w:sz w:val="28"/>
          <w:szCs w:val="28"/>
        </w:rPr>
      </w:pPr>
    </w:p>
    <w:tbl>
      <w:tblPr>
        <w:tblStyle w:val="20"/>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8"/>
        <w:gridCol w:w="784"/>
        <w:gridCol w:w="1136"/>
        <w:gridCol w:w="1733"/>
        <w:gridCol w:w="1110"/>
        <w:gridCol w:w="2258"/>
        <w:gridCol w:w="172"/>
        <w:gridCol w:w="129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29"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238"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评价项</w:t>
            </w:r>
          </w:p>
        </w:tc>
        <w:tc>
          <w:tcPr>
            <w:tcW w:w="1920" w:type="dxa"/>
            <w:gridSpan w:val="2"/>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最低分值</w:t>
            </w:r>
          </w:p>
        </w:tc>
        <w:tc>
          <w:tcPr>
            <w:tcW w:w="2843" w:type="dxa"/>
            <w:gridSpan w:val="2"/>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评价项子项实施情况    </w:t>
            </w:r>
          </w:p>
        </w:tc>
        <w:tc>
          <w:tcPr>
            <w:tcW w:w="2430" w:type="dxa"/>
            <w:gridSpan w:val="2"/>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预制构件种类</w:t>
            </w:r>
          </w:p>
        </w:tc>
        <w:tc>
          <w:tcPr>
            <w:tcW w:w="1290"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自评得分</w:t>
            </w:r>
          </w:p>
        </w:tc>
        <w:tc>
          <w:tcPr>
            <w:tcW w:w="1714"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其它情况说明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1</w:t>
            </w:r>
          </w:p>
        </w:tc>
        <w:tc>
          <w:tcPr>
            <w:tcW w:w="223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主体结构</w:t>
            </w:r>
          </w:p>
        </w:tc>
        <w:tc>
          <w:tcPr>
            <w:tcW w:w="1920"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2</w:t>
            </w:r>
          </w:p>
        </w:tc>
        <w:tc>
          <w:tcPr>
            <w:tcW w:w="223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围护墙和内隔墙</w:t>
            </w:r>
          </w:p>
        </w:tc>
        <w:tc>
          <w:tcPr>
            <w:tcW w:w="1920"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3</w:t>
            </w:r>
          </w:p>
        </w:tc>
        <w:tc>
          <w:tcPr>
            <w:tcW w:w="223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装修和设备管线</w:t>
            </w:r>
          </w:p>
        </w:tc>
        <w:tc>
          <w:tcPr>
            <w:tcW w:w="1920"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w:t>
            </w:r>
          </w:p>
        </w:tc>
        <w:tc>
          <w:tcPr>
            <w:tcW w:w="2238" w:type="dxa"/>
            <w:noWrap w:val="0"/>
            <w:vAlign w:val="center"/>
          </w:tcPr>
          <w:p>
            <w:pPr>
              <w:jc w:val="center"/>
              <w:rPr>
                <w:rFonts w:ascii="仿宋_GB2312" w:hAnsi="仿宋_GB2312" w:eastAsia="仿宋_GB2312" w:cs="仿宋_GB2312"/>
                <w:sz w:val="24"/>
              </w:rPr>
            </w:pPr>
          </w:p>
        </w:tc>
        <w:tc>
          <w:tcPr>
            <w:tcW w:w="1920" w:type="dxa"/>
            <w:gridSpan w:val="2"/>
            <w:noWrap w:val="0"/>
            <w:vAlign w:val="center"/>
          </w:tcPr>
          <w:p>
            <w:pPr>
              <w:jc w:val="center"/>
              <w:rPr>
                <w:rFonts w:ascii="仿宋_GB2312" w:hAnsi="仿宋_GB2312" w:eastAsia="仿宋_GB2312" w:cs="仿宋_GB2312"/>
                <w:sz w:val="24"/>
              </w:rPr>
            </w:pP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264" w:type="dxa"/>
            <w:gridSpan w:val="10"/>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单体建筑的装配率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sz w:val="24"/>
              </w:rPr>
              <w:t>建筑高度（单位：m）</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sz w:val="24"/>
              </w:rPr>
              <w:t>结构类型</w:t>
            </w:r>
          </w:p>
        </w:tc>
        <w:tc>
          <w:tcPr>
            <w:tcW w:w="3176" w:type="dxa"/>
            <w:gridSpan w:val="3"/>
            <w:noWrap w:val="0"/>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单体建筑的建筑面积（单位：m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装配式建筑面积（单位：m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3176" w:type="dxa"/>
            <w:gridSpan w:val="3"/>
            <w:noWrap w:val="0"/>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装配式建筑综合得分（自评）</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单体建筑的装配率（自评）</w:t>
            </w:r>
          </w:p>
        </w:tc>
        <w:tc>
          <w:tcPr>
            <w:tcW w:w="3176" w:type="dxa"/>
            <w:gridSpan w:val="3"/>
            <w:noWrap w:val="0"/>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单体建筑竖向构件铝模应用面积（单位：m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单体建筑铝模应用总面积（单位：m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3176" w:type="dxa"/>
            <w:gridSpan w:val="3"/>
            <w:noWrap w:val="0"/>
            <w:vAlign w:val="center"/>
          </w:tcPr>
          <w:p>
            <w:pPr>
              <w:jc w:val="center"/>
              <w:rPr>
                <w:rFonts w:ascii="仿宋_GB2312" w:hAnsi="仿宋_GB2312" w:eastAsia="仿宋_GB2312" w:cs="仿宋_GB2312"/>
                <w:b/>
                <w:sz w:val="24"/>
              </w:rPr>
            </w:pPr>
          </w:p>
        </w:tc>
      </w:tr>
    </w:tbl>
    <w:p>
      <w:pPr>
        <w:autoSpaceDE w:val="0"/>
        <w:autoSpaceDN w:val="0"/>
        <w:adjustRightInd w:val="0"/>
        <w:spacing w:line="480" w:lineRule="auto"/>
        <w:jc w:val="left"/>
        <w:rPr>
          <w:rFonts w:ascii="仿宋_GB2312" w:hAnsi="仿宋_GB2312" w:eastAsia="仿宋_GB2312" w:cs="仿宋_GB2312"/>
          <w:b/>
          <w:bCs/>
          <w:kern w:val="0"/>
          <w:sz w:val="28"/>
          <w:szCs w:val="28"/>
        </w:rPr>
        <w:sectPr>
          <w:pgSz w:w="16783" w:h="11850"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b/>
          <w:bCs/>
          <w:kern w:val="0"/>
          <w:sz w:val="28"/>
          <w:szCs w:val="28"/>
        </w:rPr>
        <w:t>备注：每栋单独列表，依次排列（表2、表3......）。</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四、申报单位意见</w:t>
      </w:r>
    </w:p>
    <w:p>
      <w:pPr>
        <w:rPr>
          <w:rFonts w:ascii="仿宋_GB2312" w:hAnsi="仿宋_GB2312" w:eastAsia="仿宋_GB2312" w:cs="仿宋_GB2312"/>
          <w:b/>
          <w:bCs/>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8382" w:type="dxa"/>
            <w:noWrap w:val="0"/>
            <w:vAlign w:val="center"/>
          </w:tcPr>
          <w:p>
            <w:pPr>
              <w:spacing w:line="520" w:lineRule="exact"/>
              <w:rPr>
                <w:rFonts w:ascii="仿宋_GB2312" w:hAnsi="仿宋_GB2312" w:eastAsia="仿宋_GB2312" w:cs="仿宋_GB2312"/>
                <w:b/>
                <w:sz w:val="28"/>
                <w:szCs w:val="28"/>
              </w:rPr>
            </w:pP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（栋号）实施装配式建筑，装配率符合中山市装配式建筑现行相关要求，现申请预评价。</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申报单位（名称及盖章）：</w:t>
            </w:r>
          </w:p>
          <w:p>
            <w:pPr>
              <w:autoSpaceDE w:val="0"/>
              <w:autoSpaceDN w:val="0"/>
              <w:adjustRightInd w:val="0"/>
              <w:spacing w:after="70" w:line="5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p>
          <w:p>
            <w:pPr>
              <w:spacing w:line="720" w:lineRule="auto"/>
              <w:rPr>
                <w:rFonts w:ascii="仿宋_GB2312" w:hAnsi="仿宋_GB2312" w:eastAsia="仿宋_GB2312" w:cs="仿宋_GB2312"/>
                <w:b/>
                <w:bCs/>
                <w:szCs w:val="22"/>
              </w:rPr>
            </w:pPr>
            <w:r>
              <w:rPr>
                <w:rFonts w:hint="eastAsia" w:ascii="仿宋_GB2312" w:hAnsi="仿宋_GB2312" w:eastAsia="仿宋_GB2312" w:cs="仿宋_GB2312"/>
                <w:bCs/>
                <w:sz w:val="28"/>
                <w:szCs w:val="28"/>
              </w:rPr>
              <w:t xml:space="preserve">                                       年    月    日</w:t>
            </w:r>
          </w:p>
        </w:tc>
      </w:tr>
    </w:tbl>
    <w:p>
      <w:pPr>
        <w:rPr>
          <w:szCs w:val="22"/>
        </w:rPr>
      </w:pPr>
    </w:p>
    <w:p>
      <w:pPr>
        <w:widowControl/>
        <w:adjustRightInd/>
        <w:snapToGrid/>
        <w:jc w:val="left"/>
        <w:rPr>
          <w:rFonts w:ascii="仿宋_GB2312" w:hAnsi="仿宋_GB2312" w:eastAsia="仿宋_GB2312" w:cs="仿宋_GB2312"/>
          <w:bCs/>
          <w:snapToGrid w:val="0"/>
          <w:sz w:val="32"/>
          <w:szCs w:val="32"/>
        </w:rPr>
      </w:pPr>
      <w:r>
        <w:rPr>
          <w:rFonts w:ascii="仿宋" w:hAnsi="仿宋" w:eastAsia="仿宋"/>
          <w:sz w:val="32"/>
          <w:szCs w:val="32"/>
        </w:rPr>
        <w:br w:type="page"/>
      </w:r>
      <w:r>
        <w:rPr>
          <w:rFonts w:hint="eastAsia" w:ascii="仿宋_GB2312" w:hAnsi="仿宋_GB2312" w:eastAsia="仿宋_GB2312" w:cs="仿宋_GB2312"/>
          <w:bCs/>
          <w:snapToGrid w:val="0"/>
          <w:sz w:val="32"/>
          <w:szCs w:val="32"/>
        </w:rPr>
        <w:t>附件2</w:t>
      </w:r>
    </w:p>
    <w:p>
      <w:pPr>
        <w:adjustRightInd w:val="0"/>
        <w:snapToGrid w:val="0"/>
        <w:jc w:val="center"/>
        <w:rPr>
          <w:rFonts w:eastAsia="黑体"/>
          <w:b/>
          <w:snapToGrid w:val="0"/>
          <w:sz w:val="52"/>
          <w:szCs w:val="52"/>
        </w:rPr>
      </w:pPr>
    </w:p>
    <w:p>
      <w:pPr>
        <w:adjustRightInd w:val="0"/>
        <w:snapToGrid w:val="0"/>
        <w:jc w:val="center"/>
        <w:rPr>
          <w:rFonts w:eastAsia="黑体"/>
          <w:b/>
          <w:snapToGrid w:val="0"/>
          <w:sz w:val="52"/>
          <w:szCs w:val="52"/>
        </w:rPr>
      </w:pPr>
    </w:p>
    <w:p>
      <w:pPr>
        <w:adjustRightInd w:val="0"/>
        <w:snapToGrid w:val="0"/>
        <w:jc w:val="center"/>
        <w:rPr>
          <w:rFonts w:ascii="宋体" w:hAnsi="宋体" w:cs="宋体"/>
          <w:b/>
          <w:snapToGrid w:val="0"/>
          <w:sz w:val="44"/>
          <w:szCs w:val="44"/>
        </w:rPr>
      </w:pPr>
    </w:p>
    <w:p>
      <w:pPr>
        <w:adjustRightInd w:val="0"/>
        <w:snapToGrid w:val="0"/>
        <w:jc w:val="center"/>
        <w:rPr>
          <w:rFonts w:ascii="宋体" w:hAnsi="宋体" w:cs="宋体"/>
          <w:b/>
          <w:snapToGrid w:val="0"/>
          <w:sz w:val="44"/>
          <w:szCs w:val="44"/>
        </w:rPr>
      </w:pPr>
      <w:r>
        <w:rPr>
          <w:rFonts w:hint="eastAsia" w:ascii="宋体" w:hAnsi="宋体" w:cs="宋体"/>
          <w:b/>
          <w:snapToGrid w:val="0"/>
          <w:sz w:val="44"/>
          <w:szCs w:val="44"/>
        </w:rPr>
        <w:t>中山市装配式建筑项目</w:t>
      </w:r>
    </w:p>
    <w:p>
      <w:pPr>
        <w:adjustRightInd w:val="0"/>
        <w:snapToGrid w:val="0"/>
        <w:jc w:val="center"/>
        <w:rPr>
          <w:rFonts w:ascii="宋体" w:hAnsi="宋体" w:cs="宋体"/>
          <w:b/>
          <w:snapToGrid w:val="0"/>
          <w:sz w:val="44"/>
          <w:szCs w:val="44"/>
        </w:rPr>
      </w:pPr>
      <w:r>
        <w:rPr>
          <w:rFonts w:hint="eastAsia" w:ascii="宋体" w:hAnsi="宋体" w:cs="宋体"/>
          <w:b/>
          <w:snapToGrid w:val="0"/>
          <w:sz w:val="44"/>
          <w:szCs w:val="44"/>
        </w:rPr>
        <w:t>装配率计算书</w:t>
      </w:r>
    </w:p>
    <w:p>
      <w:pPr>
        <w:adjustRightInd w:val="0"/>
        <w:snapToGrid w:val="0"/>
        <w:jc w:val="center"/>
        <w:rPr>
          <w:rFonts w:ascii="宋体" w:hAnsi="宋体" w:cs="宋体"/>
          <w:sz w:val="28"/>
          <w:szCs w:val="28"/>
        </w:rPr>
      </w:pPr>
      <w:r>
        <w:rPr>
          <w:rFonts w:hint="eastAsia" w:ascii="宋体" w:hAnsi="宋体" w:cs="宋体"/>
          <w:snapToGrid w:val="0"/>
          <w:sz w:val="28"/>
          <w:szCs w:val="28"/>
        </w:rPr>
        <w:t>（参考格式）</w:t>
      </w: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tabs>
          <w:tab w:val="left" w:pos="6300"/>
        </w:tabs>
        <w:adjustRightInd w:val="0"/>
        <w:snapToGrid w:val="0"/>
        <w:spacing w:line="480" w:lineRule="auto"/>
        <w:ind w:firstLine="1238" w:firstLineChars="387"/>
        <w:jc w:val="left"/>
        <w:rPr>
          <w:rFonts w:ascii="宋体" w:hAnsi="宋体" w:cs="宋体"/>
          <w:snapToGrid w:val="0"/>
          <w:sz w:val="32"/>
          <w:szCs w:val="32"/>
          <w:u w:val="single"/>
        </w:rPr>
      </w:pPr>
      <w:r>
        <w:rPr>
          <w:rFonts w:hint="eastAsia" w:ascii="宋体" w:hAnsi="宋体" w:cs="宋体"/>
          <w:snapToGrid w:val="0"/>
          <w:sz w:val="32"/>
          <w:szCs w:val="32"/>
        </w:rPr>
        <w:t>项目名称：________________________</w:t>
      </w:r>
    </w:p>
    <w:p>
      <w:pPr>
        <w:tabs>
          <w:tab w:val="left" w:pos="6300"/>
        </w:tabs>
        <w:adjustRightInd w:val="0"/>
        <w:snapToGrid w:val="0"/>
        <w:spacing w:line="480" w:lineRule="auto"/>
        <w:ind w:firstLine="1238" w:firstLineChars="387"/>
        <w:rPr>
          <w:rFonts w:ascii="宋体" w:hAnsi="宋体" w:cs="宋体"/>
          <w:snapToGrid w:val="0"/>
          <w:sz w:val="32"/>
          <w:szCs w:val="32"/>
          <w:u w:val="single"/>
        </w:rPr>
      </w:pPr>
      <w:r>
        <w:rPr>
          <w:rFonts w:hint="eastAsia" w:ascii="宋体" w:hAnsi="宋体" w:cs="宋体"/>
          <w:snapToGrid w:val="0"/>
          <w:sz w:val="32"/>
          <w:szCs w:val="32"/>
        </w:rPr>
        <w:t>建设单位：________________________</w:t>
      </w:r>
    </w:p>
    <w:p>
      <w:pPr>
        <w:tabs>
          <w:tab w:val="left" w:pos="6300"/>
        </w:tabs>
        <w:adjustRightInd w:val="0"/>
        <w:snapToGrid w:val="0"/>
        <w:spacing w:line="480" w:lineRule="auto"/>
        <w:ind w:firstLine="1238" w:firstLineChars="387"/>
        <w:rPr>
          <w:rFonts w:ascii="宋体" w:hAnsi="宋体" w:cs="宋体"/>
          <w:snapToGrid w:val="0"/>
          <w:sz w:val="32"/>
          <w:szCs w:val="32"/>
        </w:rPr>
      </w:pPr>
      <w:r>
        <w:rPr>
          <w:rFonts w:hint="eastAsia" w:ascii="宋体" w:hAnsi="宋体" w:cs="宋体"/>
          <w:snapToGrid w:val="0"/>
          <w:sz w:val="32"/>
          <w:szCs w:val="32"/>
        </w:rPr>
        <w:t>设计单位：________________________</w:t>
      </w:r>
    </w:p>
    <w:p>
      <w:pPr>
        <w:tabs>
          <w:tab w:val="left" w:pos="6300"/>
        </w:tabs>
        <w:adjustRightInd w:val="0"/>
        <w:snapToGrid w:val="0"/>
        <w:spacing w:line="480" w:lineRule="auto"/>
        <w:ind w:firstLine="1238" w:firstLineChars="387"/>
        <w:rPr>
          <w:rFonts w:ascii="宋体" w:hAnsi="宋体" w:cs="宋体"/>
          <w:snapToGrid w:val="0"/>
          <w:sz w:val="32"/>
          <w:szCs w:val="32"/>
          <w:u w:val="single"/>
        </w:rPr>
      </w:pPr>
      <w:r>
        <w:rPr>
          <w:rFonts w:hint="eastAsia" w:ascii="宋体" w:hAnsi="宋体" w:cs="宋体"/>
          <w:snapToGrid w:val="0"/>
          <w:sz w:val="32"/>
          <w:szCs w:val="32"/>
        </w:rPr>
        <w:t>日    期：________________________</w:t>
      </w: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pStyle w:val="30"/>
        <w:adjustRightInd w:val="0"/>
        <w:snapToGrid w:val="0"/>
        <w:spacing w:before="0"/>
        <w:jc w:val="center"/>
        <w:rPr>
          <w:rFonts w:hint="eastAsia" w:ascii="仿宋_GB2312" w:hAnsi="仿宋_GB2312" w:eastAsia="仿宋_GB2312" w:cs="仿宋_GB2312"/>
          <w:color w:val="auto"/>
          <w:sz w:val="44"/>
          <w:szCs w:val="44"/>
          <w:lang w:val="zh-CN"/>
        </w:rPr>
      </w:pPr>
      <w:bookmarkStart w:id="570" w:name="_Toc3736"/>
      <w:bookmarkStart w:id="571" w:name="_Toc28818"/>
      <w:bookmarkStart w:id="572" w:name="_Toc11411"/>
      <w:bookmarkStart w:id="573" w:name="_Toc3291"/>
      <w:r>
        <w:rPr>
          <w:rFonts w:hint="eastAsia" w:ascii="仿宋_GB2312" w:hAnsi="仿宋_GB2312" w:eastAsia="仿宋_GB2312" w:cs="仿宋_GB2312"/>
          <w:color w:val="auto"/>
          <w:sz w:val="44"/>
          <w:szCs w:val="44"/>
          <w:lang w:val="zh-CN"/>
        </w:rPr>
        <w:t>目录</w:t>
      </w:r>
      <w:bookmarkEnd w:id="570"/>
      <w:bookmarkEnd w:id="571"/>
      <w:bookmarkEnd w:id="572"/>
      <w:bookmarkEnd w:id="573"/>
    </w:p>
    <w:p>
      <w:pPr>
        <w:pStyle w:val="2"/>
        <w:rPr>
          <w:lang w:val="zh-CN"/>
        </w:rPr>
      </w:pPr>
    </w:p>
    <w:p>
      <w:pPr>
        <w:pStyle w:val="14"/>
        <w:tabs>
          <w:tab w:val="right" w:leader="dot" w:pos="8306"/>
        </w:tabs>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fldChar w:fldCharType="begin"/>
      </w:r>
      <w:r>
        <w:instrText xml:space="preserve"> HYPERLINK \l "_Toc436" </w:instrText>
      </w:r>
      <w:r>
        <w:fldChar w:fldCharType="separate"/>
      </w: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14"/>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"_Toc1200" </w:instrText>
      </w:r>
      <w:r>
        <w:fldChar w:fldCharType="separate"/>
      </w:r>
      <w:r>
        <w:rPr>
          <w:rFonts w:hint="eastAsia" w:ascii="仿宋_GB2312" w:hAnsi="仿宋_GB2312" w:eastAsia="仿宋_GB2312" w:cs="仿宋_GB2312"/>
          <w:sz w:val="32"/>
          <w:szCs w:val="32"/>
        </w:rPr>
        <w:t>二、装配率计算依据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14"/>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"_Toc27346" </w:instrText>
      </w:r>
      <w:r>
        <w:fldChar w:fldCharType="separate"/>
      </w:r>
      <w:r>
        <w:rPr>
          <w:rFonts w:hint="eastAsia" w:ascii="仿宋_GB2312" w:hAnsi="仿宋_GB2312" w:eastAsia="仿宋_GB2312" w:cs="仿宋_GB2312"/>
          <w:sz w:val="32"/>
          <w:szCs w:val="32"/>
        </w:rPr>
        <w:t>三、装配率的详细计算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14"/>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"_Toc31119" </w:instrText>
      </w:r>
      <w:r>
        <w:fldChar w:fldCharType="separate"/>
      </w:r>
      <w:r>
        <w:rPr>
          <w:rFonts w:hint="eastAsia" w:ascii="仿宋_GB2312" w:hAnsi="仿宋_GB2312" w:eastAsia="仿宋_GB2312" w:cs="仿宋_GB2312"/>
          <w:sz w:val="32"/>
          <w:szCs w:val="32"/>
        </w:rPr>
        <w:t>四、结论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adjustRightInd w:val="0"/>
        <w:snapToGrid w:val="0"/>
        <w:rPr>
          <w:sz w:val="28"/>
          <w:szCs w:val="28"/>
        </w:rPr>
      </w:pPr>
      <w:r>
        <w:rPr>
          <w:rFonts w:hint="eastAsia" w:ascii="仿宋_GB2312" w:hAnsi="仿宋_GB2312" w:eastAsia="仿宋_GB2312" w:cs="仿宋_GB2312"/>
          <w:sz w:val="32"/>
          <w:szCs w:val="32"/>
        </w:rPr>
        <w:fldChar w:fldCharType="end"/>
      </w: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pStyle w:val="3"/>
        <w:adjustRightInd w:val="0"/>
        <w:snapToGrid w:val="0"/>
        <w:spacing w:before="0" w:after="0" w:line="240" w:lineRule="auto"/>
        <w:rPr>
          <w:rFonts w:ascii="仿宋_GB2312" w:hAnsi="仿宋_GB2312" w:eastAsia="仿宋_GB2312" w:cs="仿宋_GB2312"/>
          <w:sz w:val="32"/>
          <w:szCs w:val="32"/>
        </w:rPr>
        <w:sectPr>
          <w:footerReference r:id="rId12" w:type="default"/>
          <w:footerReference r:id="rId13"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项目位于中山市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区，共有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栋塔楼，其中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层实施装配式建筑。</w:t>
      </w:r>
    </w:p>
    <w:p>
      <w:pPr>
        <w:adjustRightInd w:val="0"/>
        <w:snapToGrid w:val="0"/>
        <w:spacing w:line="5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栋塔楼建筑高度</w:t>
      </w:r>
      <w:bookmarkStart w:id="574" w:name="OLE_LINK136"/>
      <w:r>
        <w:rPr>
          <w:rFonts w:hint="eastAsia" w:ascii="仿宋_GB2312" w:hAnsi="仿宋_GB2312" w:eastAsia="仿宋_GB2312" w:cs="仿宋_GB2312"/>
          <w:sz w:val="28"/>
          <w:szCs w:val="28"/>
          <w:u w:val="single"/>
        </w:rPr>
        <w:t xml:space="preserve">     </w:t>
      </w:r>
      <w:bookmarkEnd w:id="574"/>
      <w:r>
        <w:rPr>
          <w:rFonts w:hint="eastAsia" w:ascii="仿宋_GB2312" w:hAnsi="仿宋_GB2312" w:eastAsia="仿宋_GB2312" w:cs="仿宋_GB2312"/>
          <w:sz w:val="28"/>
          <w:szCs w:val="28"/>
        </w:rPr>
        <w:t>米，单体建筑面积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栋塔楼建筑高度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米，单体建筑面积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b/>
          <w:bCs/>
          <w:sz w:val="28"/>
          <w:szCs w:val="28"/>
        </w:rPr>
        <w:t>对于楼层不高、难以界定标准层的建筑（如别墅），可按单栋计算装配率。例如项目位于中山市</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区，共有</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栋别墅，其中</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栋至</w:t>
      </w:r>
      <w:bookmarkStart w:id="575" w:name="OLE_LINK25"/>
      <w:r>
        <w:rPr>
          <w:rFonts w:hint="eastAsia" w:ascii="仿宋_GB2312" w:hAnsi="仿宋_GB2312" w:eastAsia="仿宋_GB2312" w:cs="仿宋_GB2312"/>
          <w:b/>
          <w:bCs/>
          <w:sz w:val="28"/>
          <w:szCs w:val="28"/>
          <w:u w:val="single"/>
        </w:rPr>
        <w:t xml:space="preserve">    </w:t>
      </w:r>
      <w:bookmarkEnd w:id="575"/>
      <w:r>
        <w:rPr>
          <w:rFonts w:hint="eastAsia" w:ascii="仿宋_GB2312" w:hAnsi="仿宋_GB2312" w:eastAsia="仿宋_GB2312" w:cs="仿宋_GB2312"/>
          <w:b/>
          <w:bCs/>
          <w:sz w:val="28"/>
          <w:szCs w:val="28"/>
        </w:rPr>
        <w:t>栋实施装配式建筑。）</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（一）本项目采用预制构件种类</w:t>
      </w:r>
    </w:p>
    <w:p>
      <w:pPr>
        <w:adjustRightInd w:val="0"/>
        <w:snapToGrid w:val="0"/>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本项目采用预制构件种类有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（如：预制剪力墙、预制外挂墙板、预制叠合楼板、预制内隔墙板、预制阳台、预制楼梯段、预制叠合梁等）</w:t>
      </w:r>
    </w:p>
    <w:p>
      <w:pPr>
        <w:adjustRightInd w:val="0"/>
        <w:snapToGrid w:val="0"/>
        <w:spacing w:line="520" w:lineRule="exact"/>
        <w:ind w:left="-105" w:lef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（二）本项目采用定型装配式模板</w:t>
      </w:r>
    </w:p>
    <w:p>
      <w:pPr>
        <w:adjustRightInd w:val="0"/>
        <w:snapToGrid w:val="0"/>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本项目采用定型装配式模板是</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（如:铝合金模板、大钢模模板、塑料模板等）</w:t>
      </w:r>
    </w:p>
    <w:p>
      <w:pPr>
        <w:adjustRightInd w:val="0"/>
        <w:snapToGrid w:val="0"/>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（三）本项目各标准层预制构件分布图 </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（标准层预制构件分布不同，每种分布均应有分布图）</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1.X栋X层预制构件分布图：</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2.X栋X-XX层预制构件分布图：</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二、标准层装配率计算依据</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（一）装配率计算依据：</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按照广东</w:t>
      </w:r>
      <w:r>
        <w:rPr>
          <w:rFonts w:ascii="仿宋_GB2312" w:hAnsi="仿宋_GB2312" w:eastAsia="仿宋_GB2312" w:cs="仿宋_GB2312"/>
          <w:sz w:val="28"/>
          <w:szCs w:val="28"/>
        </w:rPr>
        <w:t>省</w:t>
      </w:r>
      <w:r>
        <w:rPr>
          <w:rFonts w:hint="eastAsia" w:ascii="仿宋_GB2312" w:hAnsi="仿宋_GB2312" w:eastAsia="仿宋_GB2312" w:cs="仿宋_GB2312"/>
          <w:sz w:val="28"/>
          <w:szCs w:val="28"/>
        </w:rPr>
        <w:t>《装配式建筑评价标准》关于装配率计算的相关办法。</w:t>
      </w:r>
    </w:p>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三、装配率的详细计算</w:t>
      </w:r>
    </w:p>
    <w:p>
      <w:pPr>
        <w:keepNext/>
        <w:keepLines/>
        <w:adjustRightInd w:val="0"/>
        <w:snapToGrid w:val="0"/>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（注：装配率应分楼栋进行统计。）</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（一）主体结构竖向构件的体积及应用比例统计表</w:t>
      </w:r>
    </w:p>
    <w:tbl>
      <w:tblPr>
        <w:tblStyle w:val="20"/>
        <w:tblW w:w="0" w:type="auto"/>
        <w:jc w:val="center"/>
        <w:tblLayout w:type="fixed"/>
        <w:tblCellMar>
          <w:top w:w="15" w:type="dxa"/>
          <w:left w:w="15" w:type="dxa"/>
          <w:bottom w:w="15" w:type="dxa"/>
          <w:right w:w="15" w:type="dxa"/>
        </w:tblCellMar>
      </w:tblPr>
      <w:tblGrid>
        <w:gridCol w:w="931"/>
        <w:gridCol w:w="1325"/>
        <w:gridCol w:w="1363"/>
        <w:gridCol w:w="1606"/>
        <w:gridCol w:w="1320"/>
        <w:gridCol w:w="1699"/>
      </w:tblGrid>
      <w:tr>
        <w:tblPrEx>
          <w:tblCellMar>
            <w:top w:w="15" w:type="dxa"/>
            <w:left w:w="15" w:type="dxa"/>
            <w:bottom w:w="15" w:type="dxa"/>
            <w:right w:w="15" w:type="dxa"/>
          </w:tblCellMar>
        </w:tblPrEx>
        <w:trPr>
          <w:trHeight w:val="43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b/>
                <w:bCs/>
                <w:szCs w:val="21"/>
              </w:rPr>
              <w:t>X栋 主体结构预制构件的体积统计表</w:t>
            </w:r>
          </w:p>
        </w:tc>
      </w:tr>
      <w:tr>
        <w:tblPrEx>
          <w:tblCellMar>
            <w:top w:w="15" w:type="dxa"/>
            <w:left w:w="15" w:type="dxa"/>
            <w:bottom w:w="15" w:type="dxa"/>
            <w:right w:w="15" w:type="dxa"/>
          </w:tblCellMar>
        </w:tblPrEx>
        <w:trPr>
          <w:trHeight w:val="43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预制构件类型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预制构件位置（轴号）</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单体建筑内该预制构件数量</w:t>
            </w:r>
            <w:r>
              <w:rPr>
                <w:rFonts w:hint="eastAsia" w:ascii="仿宋_GB2312" w:hAnsi="仿宋_GB2312" w:eastAsia="仿宋_GB2312" w:cs="仿宋_GB2312"/>
                <w:kern w:val="0"/>
                <w:szCs w:val="21"/>
                <w:lang w:bidi="ar"/>
              </w:rPr>
              <w:t>（件）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单件预制构件体积（M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单体建筑内该预制构件总体积（M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V</w:t>
            </w:r>
            <w:r>
              <w:rPr>
                <w:rFonts w:hint="eastAsia" w:ascii="仿宋_GB2312" w:hAnsi="仿宋_GB2312" w:eastAsia="仿宋_GB2312" w:cs="仿宋_GB2312"/>
                <w:szCs w:val="21"/>
                <w:vertAlign w:val="subscript"/>
              </w:rPr>
              <w:t>1a</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702"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柱、支撑、承重墙、延性墙板等主体结构竖向构件混凝土总体积V（M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1a</w:t>
            </w:r>
          </w:p>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（V</w:t>
            </w:r>
            <w:r>
              <w:rPr>
                <w:rFonts w:hint="eastAsia" w:ascii="仿宋_GB2312" w:hAnsi="仿宋_GB2312" w:eastAsia="仿宋_GB2312" w:cs="仿宋_GB2312"/>
                <w:szCs w:val="21"/>
                <w:vertAlign w:val="subscript"/>
              </w:rPr>
              <w:t>1a</w:t>
            </w:r>
            <w:r>
              <w:rPr>
                <w:rFonts w:hint="eastAsia" w:ascii="仿宋_GB2312" w:hAnsi="仿宋_GB2312" w:eastAsia="仿宋_GB2312" w:cs="仿宋_GB2312"/>
                <w:szCs w:val="21"/>
              </w:rPr>
              <w:t>/V</w:t>
            </w:r>
            <w:r>
              <w:rPr>
                <w:rFonts w:ascii="Arial" w:hAnsi="Arial" w:eastAsia="仿宋_GB2312" w:cs="Arial"/>
                <w:szCs w:val="21"/>
              </w:rPr>
              <w:t>×</w:t>
            </w:r>
            <w:r>
              <w:rPr>
                <w:rFonts w:hint="eastAsia" w:ascii="仿宋_GB2312" w:hAnsi="仿宋_GB2312" w:eastAsia="仿宋_GB2312" w:cs="仿宋_GB2312"/>
                <w:szCs w:val="21"/>
              </w:rPr>
              <w:t>100%）</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697"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柱、支撑、承重墙、延性墙板等主体结构非预制竖向构件应用铝模面积（M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（二）主体结构的梁、板、楼梯、阳台、空调板等预制构件面积及应用比例统计表</w:t>
      </w:r>
    </w:p>
    <w:tbl>
      <w:tblPr>
        <w:tblStyle w:val="20"/>
        <w:tblW w:w="0" w:type="auto"/>
        <w:jc w:val="center"/>
        <w:tblLayout w:type="fixed"/>
        <w:tblCellMar>
          <w:top w:w="15" w:type="dxa"/>
          <w:left w:w="15" w:type="dxa"/>
          <w:bottom w:w="15" w:type="dxa"/>
          <w:right w:w="15" w:type="dxa"/>
        </w:tblCellMar>
      </w:tblPr>
      <w:tblGrid>
        <w:gridCol w:w="931"/>
        <w:gridCol w:w="1325"/>
        <w:gridCol w:w="1363"/>
        <w:gridCol w:w="1561"/>
        <w:gridCol w:w="1380"/>
        <w:gridCol w:w="1684"/>
      </w:tblGrid>
      <w:tr>
        <w:tblPrEx>
          <w:tblCellMar>
            <w:top w:w="15" w:type="dxa"/>
            <w:left w:w="15" w:type="dxa"/>
            <w:bottom w:w="15" w:type="dxa"/>
            <w:right w:w="15" w:type="dxa"/>
          </w:tblCellMar>
        </w:tblPrEx>
        <w:trPr>
          <w:trHeight w:val="40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主体结构的梁、板、楼梯、阳台、空调板等预制构件面积及应用比例统计表</w:t>
            </w:r>
          </w:p>
        </w:tc>
      </w:tr>
      <w:tr>
        <w:tblPrEx>
          <w:tblCellMar>
            <w:top w:w="15" w:type="dxa"/>
            <w:left w:w="15" w:type="dxa"/>
            <w:bottom w:w="15" w:type="dxa"/>
            <w:right w:w="15" w:type="dxa"/>
          </w:tblCellMar>
        </w:tblPrEx>
        <w:trPr>
          <w:trHeight w:val="28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预制构件类型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预制构件位置（轴号）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单体建筑内该预制构件数量</w:t>
            </w:r>
            <w:r>
              <w:rPr>
                <w:rFonts w:hint="eastAsia" w:ascii="仿宋_GB2312" w:hAnsi="仿宋_GB2312" w:eastAsia="仿宋_GB2312" w:cs="仿宋_GB2312"/>
                <w:kern w:val="0"/>
                <w:szCs w:val="21"/>
                <w:lang w:bidi="ar"/>
              </w:rPr>
              <w:t>（件）</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1b</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各楼层建筑平面总面积A（M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1b</w:t>
            </w:r>
          </w:p>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1b</w:t>
            </w:r>
            <w:r>
              <w:rPr>
                <w:rFonts w:hint="eastAsia" w:ascii="仿宋_GB2312" w:hAnsi="仿宋_GB2312" w:eastAsia="仿宋_GB2312" w:cs="仿宋_GB2312"/>
                <w:szCs w:val="21"/>
              </w:rPr>
              <w:t>/A</w:t>
            </w:r>
            <w:r>
              <w:rPr>
                <w:rFonts w:ascii="Arial" w:hAnsi="Arial" w:eastAsia="仿宋_GB2312" w:cs="Arial"/>
                <w:szCs w:val="21"/>
              </w:rPr>
              <w:t>×</w:t>
            </w:r>
            <w:r>
              <w:rPr>
                <w:rFonts w:hint="eastAsia" w:ascii="仿宋_GB2312" w:hAnsi="仿宋_GB2312" w:eastAsia="仿宋_GB2312" w:cs="仿宋_GB2312"/>
                <w:szCs w:val="21"/>
              </w:rPr>
              <w:t>100%）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梁、板、楼梯、阳台、空调板等构件应用铝模面积（M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（三）非承重围护墙非砌筑外表面积及应用比例统计表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605"/>
        <w:gridCol w:w="1950"/>
        <w:gridCol w:w="189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非承重围护墙非砌筑外表面积及应用比例统计表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预制构件位置</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（轴号）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9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2a</w:t>
            </w:r>
            <w:r>
              <w:rPr>
                <w:rFonts w:hint="eastAsia" w:ascii="仿宋_GB2312" w:hAnsi="仿宋_GB2312" w:eastAsia="仿宋_GB2312" w:cs="仿宋_GB2312"/>
                <w:szCs w:val="21"/>
              </w:rPr>
              <w:t>＝</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各楼层非承重围护墙外表面总面积A</w:t>
            </w:r>
            <w:r>
              <w:rPr>
                <w:rFonts w:hint="eastAsia" w:ascii="仿宋_GB2312" w:hAnsi="仿宋_GB2312" w:eastAsia="仿宋_GB2312" w:cs="仿宋_GB2312"/>
                <w:szCs w:val="21"/>
                <w:vertAlign w:val="subscript"/>
              </w:rPr>
              <w:t>w1</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2a</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2a</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w1</w:t>
            </w:r>
            <w:r>
              <w:rPr>
                <w:rFonts w:ascii="Arial" w:hAnsi="Arial" w:eastAsia="仿宋_GB2312" w:cs="Arial"/>
                <w:szCs w:val="21"/>
              </w:rPr>
              <w:t>×</w:t>
            </w:r>
            <w:r>
              <w:rPr>
                <w:rFonts w:hint="eastAsia" w:ascii="仿宋_GB2312" w:hAnsi="仿宋_GB2312" w:eastAsia="仿宋_GB2312" w:cs="仿宋_GB2312"/>
                <w:szCs w:val="21"/>
              </w:rPr>
              <w:t>100%）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（四）围护墙采用墙体、保温、隔热、装饰一体化面积及应用比例统计表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605"/>
        <w:gridCol w:w="1575"/>
        <w:gridCol w:w="2274"/>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围护墙采用墙体、保温、隔热、装饰一体化面积及应用比例统计表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采用一体化的墙面位置（轴号）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单体建筑内该围护墙数量</w:t>
            </w:r>
            <w:r>
              <w:rPr>
                <w:rFonts w:hint="eastAsia" w:ascii="仿宋_GB2312" w:hAnsi="仿宋_GB2312" w:eastAsia="仿宋_GB2312" w:cs="仿宋_GB2312"/>
                <w:kern w:val="0"/>
                <w:szCs w:val="21"/>
                <w:lang w:bidi="ar"/>
              </w:rPr>
              <w:t>（件）</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单件一体化墙面面积（M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27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单体建筑内该一体化墙面总面积（M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2b</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各楼层围护墙外表面总面积A</w:t>
            </w:r>
            <w:r>
              <w:rPr>
                <w:rFonts w:hint="eastAsia" w:ascii="仿宋_GB2312" w:hAnsi="仿宋_GB2312" w:eastAsia="仿宋_GB2312" w:cs="仿宋_GB2312"/>
                <w:szCs w:val="21"/>
                <w:vertAlign w:val="subscript"/>
              </w:rPr>
              <w:t>w2</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2b</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2b</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w2</w:t>
            </w:r>
            <w:r>
              <w:rPr>
                <w:rFonts w:ascii="Arial" w:hAnsi="Arial" w:eastAsia="仿宋_GB2312" w:cs="Arial"/>
                <w:szCs w:val="21"/>
              </w:rPr>
              <w:t>×</w:t>
            </w:r>
            <w:r>
              <w:rPr>
                <w:rFonts w:hint="eastAsia" w:ascii="仿宋_GB2312" w:hAnsi="仿宋_GB2312" w:eastAsia="仿宋_GB2312" w:cs="仿宋_GB2312"/>
                <w:szCs w:val="21"/>
              </w:rPr>
              <w:t>100%）</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（五）内隔墙非砌筑外表面积及应用比例统计表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815"/>
        <w:gridCol w:w="1950"/>
        <w:gridCol w:w="168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内隔墙非砌筑外表面积及应用比例统计表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预制构件位置</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（轴号）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8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2c</w:t>
            </w:r>
            <w:r>
              <w:rPr>
                <w:rFonts w:hint="eastAsia" w:ascii="仿宋_GB2312" w:hAnsi="仿宋_GB2312" w:eastAsia="仿宋_GB2312" w:cs="仿宋_GB2312"/>
                <w:szCs w:val="21"/>
              </w:rPr>
              <w:t>＝</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各楼层内隔墙外表面    总面积A</w:t>
            </w:r>
            <w:r>
              <w:rPr>
                <w:rFonts w:hint="eastAsia" w:ascii="仿宋_GB2312" w:hAnsi="仿宋_GB2312" w:eastAsia="仿宋_GB2312" w:cs="仿宋_GB2312"/>
                <w:szCs w:val="21"/>
                <w:vertAlign w:val="subscript"/>
              </w:rPr>
              <w:t>w3</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2c</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2c</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w3</w:t>
            </w:r>
            <w:r>
              <w:rPr>
                <w:rFonts w:ascii="Arial" w:hAnsi="Arial" w:eastAsia="仿宋_GB2312" w:cs="Arial"/>
                <w:szCs w:val="21"/>
              </w:rPr>
              <w:t>×</w:t>
            </w:r>
            <w:r>
              <w:rPr>
                <w:rFonts w:hint="eastAsia" w:ascii="仿宋_GB2312" w:hAnsi="仿宋_GB2312" w:eastAsia="仿宋_GB2312" w:cs="仿宋_GB2312"/>
                <w:szCs w:val="21"/>
              </w:rPr>
              <w:t>100%）</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（六）内隔墙与管线、装修一体化面积及应用比例统计表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605"/>
        <w:gridCol w:w="2370"/>
        <w:gridCol w:w="147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内隔墙与管线、装修一体化面积及应用比例统计表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采用一体化的墙面位置（轴号）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单件一体化墙面面积（M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单体建筑内该一体化墙面总面积（M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47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2d</w:t>
            </w:r>
            <w:r>
              <w:rPr>
                <w:rFonts w:hint="eastAsia" w:ascii="仿宋_GB2312" w:hAnsi="仿宋_GB2312" w:eastAsia="仿宋_GB2312" w:cs="仿宋_GB2312"/>
                <w:szCs w:val="21"/>
              </w:rPr>
              <w:t>＝</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各楼层内隔墙外表面总面积A</w:t>
            </w:r>
            <w:r>
              <w:rPr>
                <w:rFonts w:hint="eastAsia" w:ascii="仿宋_GB2312" w:hAnsi="仿宋_GB2312" w:eastAsia="仿宋_GB2312" w:cs="仿宋_GB2312"/>
                <w:szCs w:val="21"/>
                <w:vertAlign w:val="subscript"/>
              </w:rPr>
              <w:t>w3</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2d</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2d</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w3</w:t>
            </w:r>
            <w:r>
              <w:rPr>
                <w:rFonts w:ascii="Arial" w:hAnsi="Arial" w:eastAsia="仿宋_GB2312" w:cs="Arial"/>
                <w:szCs w:val="21"/>
              </w:rPr>
              <w:t>×</w:t>
            </w:r>
            <w:r>
              <w:rPr>
                <w:rFonts w:hint="eastAsia" w:ascii="仿宋_GB2312" w:hAnsi="仿宋_GB2312" w:eastAsia="仿宋_GB2312" w:cs="仿宋_GB2312"/>
                <w:szCs w:val="21"/>
              </w:rPr>
              <w:t>100%）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（七）干式工法楼面、地面的面积及应用比例统计表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800"/>
        <w:gridCol w:w="1485"/>
        <w:gridCol w:w="216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干式工法楼面、地面的面积及应用比例统计表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干式工法楼（地）面位置（轴号）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单体建筑内该类楼（地）面数量</w:t>
            </w:r>
            <w:r>
              <w:rPr>
                <w:rFonts w:hint="eastAsia" w:ascii="仿宋_GB2312" w:hAnsi="仿宋_GB2312" w:eastAsia="仿宋_GB2312" w:cs="仿宋_GB2312"/>
                <w:kern w:val="0"/>
                <w:szCs w:val="21"/>
                <w:lang w:bidi="ar"/>
              </w:rPr>
              <w:t>（件）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该楼（地）面单块面积（M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16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w:t>
            </w:r>
            <w:r>
              <w:rPr>
                <w:rFonts w:hint="eastAsia" w:ascii="仿宋_GB2312" w:hAnsi="仿宋_GB2312" w:eastAsia="仿宋_GB2312" w:cs="仿宋_GB2312"/>
                <w:szCs w:val="21"/>
              </w:rPr>
              <w:t>类楼（地）面</w:t>
            </w:r>
            <w:r>
              <w:rPr>
                <w:rFonts w:hint="eastAsia" w:ascii="仿宋_GB2312" w:hAnsi="仿宋_GB2312" w:eastAsia="仿宋_GB2312" w:cs="仿宋_GB2312"/>
                <w:kern w:val="0"/>
                <w:szCs w:val="21"/>
                <w:lang w:bidi="ar"/>
              </w:rPr>
              <w:t>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3a</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950"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各楼层建筑平面总面积A（M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3a</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3a</w:t>
            </w:r>
            <w:r>
              <w:rPr>
                <w:rFonts w:hint="eastAsia" w:ascii="仿宋_GB2312" w:hAnsi="仿宋_GB2312" w:eastAsia="仿宋_GB2312" w:cs="仿宋_GB2312"/>
                <w:szCs w:val="21"/>
              </w:rPr>
              <w:t>/A</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（八）集成厨房、卫生间的面积及应用比例统计表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875"/>
        <w:gridCol w:w="1410"/>
        <w:gridCol w:w="216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集成厨房、卫生间的面积及应用比例统计表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集成厨房、卫生间位置（轴号）</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单体建筑内该类厨房、卫生间数量</w:t>
            </w:r>
            <w:r>
              <w:rPr>
                <w:rFonts w:hint="eastAsia" w:ascii="仿宋_GB2312" w:hAnsi="仿宋_GB2312" w:eastAsia="仿宋_GB2312" w:cs="仿宋_GB2312"/>
                <w:kern w:val="0"/>
                <w:szCs w:val="21"/>
                <w:lang w:bidi="ar"/>
              </w:rPr>
              <w:t>（件）</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该厨房、卫生间单个面积（M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16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w:t>
            </w:r>
            <w:r>
              <w:rPr>
                <w:rFonts w:hint="eastAsia" w:ascii="仿宋_GB2312" w:hAnsi="仿宋_GB2312" w:eastAsia="仿宋_GB2312" w:cs="仿宋_GB2312"/>
                <w:szCs w:val="21"/>
              </w:rPr>
              <w:t>类厨房、卫生间</w:t>
            </w:r>
            <w:r>
              <w:rPr>
                <w:rFonts w:hint="eastAsia" w:ascii="仿宋_GB2312" w:hAnsi="仿宋_GB2312" w:eastAsia="仿宋_GB2312" w:cs="仿宋_GB2312"/>
                <w:kern w:val="0"/>
                <w:szCs w:val="21"/>
                <w:lang w:bidi="ar"/>
              </w:rPr>
              <w:t>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3b</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3c</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各楼层厨房的墙面、顶面和地面的总面积A</w:t>
            </w:r>
            <w:r>
              <w:rPr>
                <w:rFonts w:hint="eastAsia" w:ascii="仿宋_GB2312" w:hAnsi="仿宋_GB2312" w:eastAsia="仿宋_GB2312" w:cs="仿宋_GB2312"/>
                <w:kern w:val="0"/>
                <w:szCs w:val="21"/>
                <w:vertAlign w:val="subscript"/>
                <w:lang w:bidi="ar"/>
              </w:rPr>
              <w:t>k</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3b</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3b</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k</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各楼层卫生间的墙面、顶面和地面的总面积A</w:t>
            </w:r>
            <w:r>
              <w:rPr>
                <w:rFonts w:hint="eastAsia" w:ascii="仿宋_GB2312" w:hAnsi="仿宋_GB2312" w:eastAsia="仿宋_GB2312" w:cs="仿宋_GB2312"/>
                <w:kern w:val="0"/>
                <w:szCs w:val="21"/>
                <w:vertAlign w:val="subscript"/>
                <w:lang w:bidi="ar"/>
              </w:rPr>
              <w:t>b</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3c</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3c</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b</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（九）管线分离比例计算</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（十）装配率计算表</w:t>
      </w:r>
    </w:p>
    <w:tbl>
      <w:tblPr>
        <w:tblStyle w:val="20"/>
        <w:tblpPr w:leftFromText="180" w:rightFromText="180" w:vertAnchor="text" w:horzAnchor="page" w:tblpX="1902" w:tblpY="136"/>
        <w:tblOverlap w:val="never"/>
        <w:tblW w:w="0" w:type="auto"/>
        <w:tblInd w:w="0" w:type="dxa"/>
        <w:tblLayout w:type="fixed"/>
        <w:tblCellMar>
          <w:top w:w="15" w:type="dxa"/>
          <w:left w:w="15" w:type="dxa"/>
          <w:bottom w:w="15" w:type="dxa"/>
          <w:right w:w="15" w:type="dxa"/>
        </w:tblCellMar>
      </w:tblPr>
      <w:tblGrid>
        <w:gridCol w:w="852"/>
        <w:gridCol w:w="853"/>
        <w:gridCol w:w="2745"/>
        <w:gridCol w:w="1185"/>
        <w:gridCol w:w="1110"/>
        <w:gridCol w:w="1290"/>
      </w:tblGrid>
      <w:tr>
        <w:tblPrEx>
          <w:tblCellMar>
            <w:top w:w="15" w:type="dxa"/>
            <w:left w:w="15" w:type="dxa"/>
            <w:bottom w:w="15" w:type="dxa"/>
            <w:right w:w="15" w:type="dxa"/>
          </w:tblCellMar>
        </w:tblPrEx>
        <w:trPr>
          <w:trHeight w:val="520" w:hRule="atLeast"/>
        </w:trPr>
        <w:tc>
          <w:tcPr>
            <w:tcW w:w="4450" w:type="dxa"/>
            <w:gridSpan w:val="3"/>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评价项</w:t>
            </w:r>
          </w:p>
        </w:tc>
        <w:tc>
          <w:tcPr>
            <w:tcW w:w="1185"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评价分值</w:t>
            </w:r>
          </w:p>
        </w:tc>
        <w:tc>
          <w:tcPr>
            <w:tcW w:w="1110"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应用比例</w:t>
            </w:r>
          </w:p>
        </w:tc>
        <w:tc>
          <w:tcPr>
            <w:tcW w:w="1290"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评价得分</w:t>
            </w:r>
          </w:p>
        </w:tc>
      </w:tr>
      <w:tr>
        <w:tblPrEx>
          <w:tblCellMar>
            <w:top w:w="15" w:type="dxa"/>
            <w:left w:w="15" w:type="dxa"/>
            <w:bottom w:w="15" w:type="dxa"/>
            <w:right w:w="15" w:type="dxa"/>
          </w:tblCellMar>
        </w:tblPrEx>
        <w:trPr>
          <w:trHeight w:val="520" w:hRule="atLeast"/>
        </w:trPr>
        <w:tc>
          <w:tcPr>
            <w:tcW w:w="4450" w:type="dxa"/>
            <w:gridSpan w:val="3"/>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85"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10"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主体结构（50分）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柱、支撑、承重墙、延性墙板等竖向构件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20-30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梁、板、楼梯、阳台、空调板等构件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围护墙和内隔墙（20分）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非承重围护墙非砌筑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围护墙与保温、隔热、装饰一体化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内隔墙非砌筑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内隔墙与管线、装饰一体化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装修和设备管线（30分）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全装修</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干式工法楼面、地面</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集成厨房</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集成卫生间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管线分离</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细化项</w:t>
            </w:r>
            <w:r>
              <w:rPr>
                <w:rFonts w:ascii="仿宋_GB2312" w:hAnsi="仿宋_GB2312" w:eastAsia="仿宋_GB2312" w:cs="仿宋_GB2312"/>
                <w:szCs w:val="21"/>
              </w:rPr>
              <w:t>（</w:t>
            </w:r>
            <w:r>
              <w:rPr>
                <w:rFonts w:hint="eastAsia" w:ascii="仿宋_GB2312" w:hAnsi="仿宋_GB2312" w:eastAsia="仿宋_GB2312" w:cs="仿宋_GB2312"/>
                <w:szCs w:val="21"/>
              </w:rPr>
              <w:t>22分</w:t>
            </w:r>
            <w:r>
              <w:rPr>
                <w:rFonts w:ascii="仿宋_GB2312" w:hAnsi="仿宋_GB2312" w:eastAsia="仿宋_GB2312" w:cs="仿宋_GB2312"/>
                <w:szCs w:val="21"/>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w w:val="105"/>
                <w:position w:val="2"/>
              </w:rPr>
              <w:t>Q</w:t>
            </w:r>
            <w:r>
              <w:rPr>
                <w:w w:val="105"/>
                <w:position w:val="2"/>
                <w:vertAlign w:val="subscript"/>
              </w:rPr>
              <w:t>51a</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主体结构竖向构件细化项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w w:val="105"/>
                <w:position w:val="2"/>
              </w:rPr>
              <w:t>Q</w:t>
            </w:r>
            <w:r>
              <w:rPr>
                <w:w w:val="105"/>
                <w:position w:val="2"/>
                <w:vertAlign w:val="subscript"/>
              </w:rPr>
              <w:t>51b</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预制外墙板</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围护墙和内隔墙细化项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围护墙与保温、隔热集成一体化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内隔墙与管线集成一体化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装修和设备管线细化项</w:t>
            </w: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干式工法楼面、地面</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集成厨房</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集成卫生间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管线分离</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鼓励项</w:t>
            </w:r>
            <w:r>
              <w:rPr>
                <w:rFonts w:ascii="仿宋_GB2312" w:hAnsi="仿宋_GB2312" w:eastAsia="仿宋_GB2312" w:cs="仿宋_GB2312"/>
                <w:szCs w:val="21"/>
              </w:rPr>
              <w:t>（</w:t>
            </w:r>
            <w:r>
              <w:rPr>
                <w:rFonts w:hint="eastAsia" w:ascii="仿宋_GB2312" w:hAnsi="仿宋_GB2312" w:eastAsia="仿宋_GB2312" w:cs="仿宋_GB2312"/>
                <w:szCs w:val="21"/>
              </w:rPr>
              <w:t>8分</w:t>
            </w:r>
            <w:r>
              <w:rPr>
                <w:rFonts w:ascii="仿宋_GB2312" w:hAnsi="仿宋_GB2312" w:eastAsia="仿宋_GB2312" w:cs="仿宋_GB2312"/>
                <w:szCs w:val="21"/>
              </w:rPr>
              <w:t>）</w:t>
            </w: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标准</w:t>
            </w:r>
            <w:r>
              <w:rPr>
                <w:rFonts w:ascii="仿宋_GB2312" w:hAnsi="仿宋_GB2312" w:eastAsia="仿宋_GB2312" w:cs="仿宋_GB2312"/>
                <w:szCs w:val="21"/>
              </w:rPr>
              <w:t>化设计鼓励项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平面</w:t>
            </w:r>
            <w:r>
              <w:rPr>
                <w:rFonts w:ascii="仿宋_GB2312" w:hAnsi="仿宋_GB2312" w:eastAsia="仿宋_GB2312" w:cs="仿宋_GB2312"/>
                <w:szCs w:val="21"/>
              </w:rPr>
              <w:t>布置标准</w:t>
            </w:r>
            <w:r>
              <w:rPr>
                <w:rFonts w:hint="eastAsia" w:ascii="仿宋_GB2312" w:hAnsi="仿宋_GB2312" w:eastAsia="仿宋_GB2312" w:cs="仿宋_GB2312"/>
                <w:szCs w:val="21"/>
              </w:rPr>
              <w:t>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预制</w:t>
            </w:r>
            <w:r>
              <w:rPr>
                <w:rFonts w:ascii="仿宋_GB2312" w:hAnsi="仿宋_GB2312" w:eastAsia="仿宋_GB2312" w:cs="仿宋_GB2312"/>
                <w:szCs w:val="21"/>
              </w:rPr>
              <w:t>构件与部品标准化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节点</w:t>
            </w:r>
            <w:r>
              <w:rPr>
                <w:rFonts w:ascii="仿宋_GB2312" w:hAnsi="仿宋_GB2312" w:eastAsia="仿宋_GB2312" w:cs="仿宋_GB2312"/>
                <w:szCs w:val="21"/>
              </w:rPr>
              <w:t>标准化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与信息化应用鼓励项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建筑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BI</w:t>
            </w:r>
            <w:r>
              <w:rPr>
                <w:rFonts w:ascii="仿宋_GB2312" w:hAnsi="仿宋_GB2312" w:eastAsia="仿宋_GB2312" w:cs="仿宋_GB2312"/>
                <w:szCs w:val="21"/>
              </w:rPr>
              <w:t>M</w:t>
            </w:r>
            <w:r>
              <w:rPr>
                <w:rFonts w:hint="eastAsia" w:ascii="仿宋_GB2312" w:hAnsi="仿宋_GB2312" w:eastAsia="仿宋_GB2312" w:cs="仿宋_GB2312"/>
                <w:szCs w:val="21"/>
              </w:rPr>
              <w:t>应用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智能化</w:t>
            </w:r>
            <w:r>
              <w:rPr>
                <w:rFonts w:ascii="仿宋_GB2312" w:hAnsi="仿宋_GB2312" w:eastAsia="仿宋_GB2312" w:cs="仿宋_GB2312"/>
                <w:szCs w:val="21"/>
              </w:rPr>
              <w:t>应用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施工</w:t>
            </w:r>
            <w:r>
              <w:rPr>
                <w:rFonts w:ascii="仿宋_GB2312" w:hAnsi="仿宋_GB2312" w:eastAsia="仿宋_GB2312" w:cs="仿宋_GB2312"/>
                <w:szCs w:val="21"/>
              </w:rPr>
              <w:t>与管理鼓励项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施工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工程</w:t>
            </w:r>
            <w:r>
              <w:rPr>
                <w:rFonts w:ascii="仿宋_GB2312" w:hAnsi="仿宋_GB2312" w:eastAsia="仿宋_GB2312" w:cs="仿宋_GB2312"/>
                <w:szCs w:val="21"/>
              </w:rPr>
              <w:t>总承包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五、结论</w:t>
      </w:r>
    </w:p>
    <w:p>
      <w:pPr>
        <w:adjustRightInd w:val="0"/>
        <w:snapToGrid w:val="0"/>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经计算，本项目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栋建筑塔楼</w:t>
      </w:r>
      <w:bookmarkStart w:id="576" w:name="OLE_LINK11"/>
      <w:r>
        <w:rPr>
          <w:rFonts w:hint="eastAsia" w:ascii="仿宋_GB2312" w:hAnsi="仿宋_GB2312" w:eastAsia="仿宋_GB2312" w:cs="仿宋_GB2312"/>
          <w:sz w:val="28"/>
          <w:szCs w:val="28"/>
        </w:rPr>
        <w:t>实施装配式建筑，</w:t>
      </w:r>
      <w:bookmarkEnd w:id="576"/>
      <w:r>
        <w:rPr>
          <w:rFonts w:hint="eastAsia" w:ascii="仿宋_GB2312" w:hAnsi="仿宋_GB2312" w:eastAsia="仿宋_GB2312" w:cs="仿宋_GB2312"/>
          <w:sz w:val="28"/>
          <w:szCs w:val="28"/>
        </w:rPr>
        <w:t>装配率为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栋建筑塔楼实施装配式建筑，装配率为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；装配率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符合广东省《装配式建筑评价</w:t>
      </w:r>
      <w:r>
        <w:rPr>
          <w:rFonts w:ascii="仿宋_GB2312" w:hAnsi="仿宋_GB2312" w:eastAsia="仿宋_GB2312" w:cs="仿宋_GB2312"/>
          <w:sz w:val="28"/>
          <w:szCs w:val="28"/>
        </w:rPr>
        <w:t>标准</w:t>
      </w:r>
      <w:r>
        <w:rPr>
          <w:rFonts w:hint="eastAsia" w:ascii="仿宋_GB2312" w:hAnsi="仿宋_GB2312" w:eastAsia="仿宋_GB2312" w:cs="仿宋_GB2312"/>
          <w:sz w:val="28"/>
          <w:szCs w:val="28"/>
        </w:rPr>
        <w:t>》装配率的要求。</w:t>
      </w:r>
    </w:p>
    <w:p>
      <w:pPr>
        <w:widowControl/>
        <w:spacing w:before="0" w:line="240" w:lineRule="auto"/>
        <w:jc w:val="left"/>
        <w:rPr>
          <w:rFonts w:ascii="宋体" w:hAnsi="宋体" w:cs="宋体"/>
          <w:b/>
          <w:bCs/>
          <w:sz w:val="28"/>
          <w:szCs w:val="28"/>
        </w:rPr>
      </w:pPr>
      <w:r>
        <w:br w:type="page"/>
      </w:r>
      <w:r>
        <w:rPr>
          <w:rFonts w:hint="eastAsia" w:ascii="仿宋_GB2312" w:hAnsi="仿宋_GB2312" w:eastAsia="仿宋_GB2312" w:cs="仿宋_GB2312"/>
          <w:bCs/>
          <w:snapToGrid w:val="0"/>
          <w:sz w:val="32"/>
          <w:szCs w:val="32"/>
        </w:rPr>
        <w:t>附件3</w:t>
      </w:r>
    </w:p>
    <w:p>
      <w:pPr>
        <w:widowControl/>
        <w:spacing w:before="120" w:line="281" w:lineRule="exact"/>
        <w:jc w:val="center"/>
        <w:rPr>
          <w:rFonts w:ascii="宋体" w:hAnsi="宋体" w:cs="宋体"/>
          <w:b/>
          <w:bCs/>
          <w:sz w:val="28"/>
          <w:szCs w:val="28"/>
        </w:rPr>
      </w:pPr>
    </w:p>
    <w:p>
      <w:pPr>
        <w:widowControl/>
        <w:spacing w:before="120"/>
        <w:jc w:val="center"/>
        <w:rPr>
          <w:rFonts w:hint="eastAsia" w:ascii="宋体" w:hAnsi="宋体" w:cs="宋体"/>
          <w:b/>
          <w:bCs/>
          <w:sz w:val="44"/>
          <w:szCs w:val="44"/>
        </w:rPr>
      </w:pPr>
    </w:p>
    <w:p>
      <w:pPr>
        <w:widowControl/>
        <w:spacing w:before="120"/>
        <w:jc w:val="center"/>
        <w:rPr>
          <w:rFonts w:ascii="宋体" w:hAnsi="宋体" w:cs="宋体"/>
          <w:b/>
          <w:bCs/>
          <w:sz w:val="44"/>
          <w:szCs w:val="44"/>
        </w:rPr>
      </w:pPr>
      <w:r>
        <w:rPr>
          <w:rFonts w:hint="eastAsia" w:ascii="宋体" w:hAnsi="宋体" w:cs="宋体"/>
          <w:b/>
          <w:bCs/>
          <w:sz w:val="44"/>
          <w:szCs w:val="44"/>
        </w:rPr>
        <w:t>中山市装配式建筑项目实施方案</w:t>
      </w:r>
    </w:p>
    <w:p>
      <w:pPr>
        <w:widowControl/>
        <w:spacing w:before="120"/>
        <w:jc w:val="center"/>
        <w:rPr>
          <w:rFonts w:ascii="宋体" w:hAnsi="宋体" w:cs="宋体"/>
          <w:b/>
          <w:bCs/>
          <w:sz w:val="28"/>
          <w:szCs w:val="28"/>
        </w:rPr>
      </w:pPr>
      <w:r>
        <w:rPr>
          <w:rFonts w:hint="eastAsia" w:ascii="宋体" w:hAnsi="宋体" w:cs="宋体"/>
          <w:b/>
          <w:bCs/>
          <w:sz w:val="28"/>
          <w:szCs w:val="28"/>
        </w:rPr>
        <w:t>（参考格式）</w:t>
      </w:r>
    </w:p>
    <w:p>
      <w:pPr>
        <w:widowControl/>
        <w:spacing w:before="120"/>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jc w:val="both"/>
        <w:rPr>
          <w:rFonts w:ascii="宋体" w:hAnsi="宋体" w:cs="宋体"/>
          <w:b/>
          <w:bCs/>
          <w:sz w:val="32"/>
          <w:szCs w:val="32"/>
        </w:rPr>
      </w:pPr>
    </w:p>
    <w:p>
      <w:pPr>
        <w:widowControl/>
        <w:adjustRightInd w:val="0"/>
        <w:snapToGrid w:val="0"/>
        <w:spacing w:before="120"/>
        <w:jc w:val="left"/>
        <w:rPr>
          <w:rFonts w:ascii="宋体" w:hAnsi="宋体" w:cs="宋体"/>
          <w:b/>
          <w:bCs/>
          <w:sz w:val="32"/>
          <w:szCs w:val="32"/>
        </w:rPr>
      </w:pPr>
      <w:r>
        <w:rPr>
          <w:rFonts w:hint="eastAsia" w:ascii="宋体" w:hAnsi="宋体" w:cs="宋体"/>
          <w:b/>
          <w:bCs/>
          <w:sz w:val="32"/>
          <w:szCs w:val="32"/>
        </w:rPr>
        <w:t xml:space="preserve">          项目名称：</w:t>
      </w:r>
      <w:r>
        <w:rPr>
          <w:rFonts w:hint="eastAsia" w:ascii="宋体" w:hAnsi="宋体" w:cs="宋体"/>
          <w:b/>
          <w:bCs/>
          <w:sz w:val="32"/>
          <w:szCs w:val="32"/>
          <w:u w:val="single"/>
        </w:rPr>
        <w:t xml:space="preserve">                    </w:t>
      </w:r>
    </w:p>
    <w:p>
      <w:pPr>
        <w:widowControl/>
        <w:adjustRightInd w:val="0"/>
        <w:snapToGrid w:val="0"/>
        <w:spacing w:before="120"/>
        <w:jc w:val="left"/>
        <w:rPr>
          <w:rFonts w:ascii="宋体" w:hAnsi="宋体" w:cs="宋体"/>
          <w:b/>
          <w:bCs/>
          <w:sz w:val="32"/>
          <w:szCs w:val="32"/>
        </w:rPr>
      </w:pPr>
      <w:r>
        <w:rPr>
          <w:rFonts w:hint="eastAsia" w:ascii="宋体" w:hAnsi="宋体" w:cs="宋体"/>
          <w:b/>
          <w:bCs/>
          <w:sz w:val="32"/>
          <w:szCs w:val="32"/>
        </w:rPr>
        <w:t xml:space="preserve">          建设单位：</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spacing w:before="120"/>
        <w:jc w:val="center"/>
        <w:rPr>
          <w:rFonts w:hint="eastAsia" w:ascii="仿宋_GB2312" w:hAnsi="仿宋_GB2312" w:eastAsia="仿宋_GB2312" w:cs="仿宋_GB2312"/>
          <w:color w:val="auto"/>
          <w:sz w:val="44"/>
          <w:szCs w:val="44"/>
          <w:lang w:val="zh-CN"/>
        </w:rPr>
      </w:pPr>
      <w:r>
        <w:rPr>
          <w:rFonts w:hint="eastAsia" w:ascii="宋体" w:hAnsi="宋体" w:cs="宋体"/>
          <w:b/>
          <w:bCs/>
          <w:sz w:val="28"/>
          <w:szCs w:val="28"/>
        </w:rPr>
        <w:t>201</w:t>
      </w:r>
      <w:r>
        <w:rPr>
          <w:rFonts w:ascii="宋体" w:hAnsi="宋体" w:cs="宋体"/>
          <w:b/>
          <w:bCs/>
          <w:sz w:val="28"/>
          <w:szCs w:val="28"/>
        </w:rPr>
        <w:t>9</w:t>
      </w:r>
      <w:r>
        <w:rPr>
          <w:rFonts w:hint="eastAsia" w:ascii="宋体" w:hAnsi="宋体" w:cs="宋体"/>
          <w:b/>
          <w:bCs/>
          <w:sz w:val="28"/>
          <w:szCs w:val="28"/>
        </w:rPr>
        <w:t>年XX月XX日</w:t>
      </w:r>
    </w:p>
    <w:p>
      <w:pPr>
        <w:pStyle w:val="30"/>
        <w:adjustRightInd w:val="0"/>
        <w:snapToGrid w:val="0"/>
        <w:spacing w:before="0"/>
        <w:jc w:val="center"/>
        <w:rPr>
          <w:rFonts w:ascii="仿宋_GB2312" w:hAnsi="仿宋_GB2312" w:eastAsia="仿宋_GB2312" w:cs="仿宋_GB2312"/>
          <w:color w:val="auto"/>
          <w:sz w:val="44"/>
          <w:szCs w:val="44"/>
          <w:lang w:val="zh-CN"/>
        </w:rPr>
      </w:pPr>
      <w:bookmarkStart w:id="577" w:name="_Toc12081"/>
      <w:bookmarkStart w:id="578" w:name="_Toc18836"/>
      <w:bookmarkStart w:id="579" w:name="_Toc31950"/>
      <w:bookmarkStart w:id="580" w:name="_Toc17248"/>
      <w:r>
        <w:rPr>
          <w:rFonts w:hint="eastAsia" w:ascii="仿宋_GB2312" w:hAnsi="仿宋_GB2312" w:eastAsia="仿宋_GB2312" w:cs="仿宋_GB2312"/>
          <w:color w:val="auto"/>
          <w:sz w:val="44"/>
          <w:szCs w:val="44"/>
          <w:lang w:val="zh-CN"/>
        </w:rPr>
        <w:t>目录</w:t>
      </w:r>
      <w:bookmarkEnd w:id="577"/>
      <w:bookmarkEnd w:id="578"/>
      <w:bookmarkEnd w:id="579"/>
      <w:bookmarkEnd w:id="580"/>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一、项目概况</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二、工作机制</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（一）建设单位统筹协调参建各方的工作机制</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（二）装配式建筑验收制度</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三、装配式建筑的设计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（一）建筑设计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（二）结构设计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（三）BIM应用</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四、装配式建筑的施工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（一）施工总平面布置和施工计划</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（二）预制构件生产和运输</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（三）预制构件吊装和安装</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（四）装配式模板施工</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（五）预制内墙板施工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（六）其他装配式施工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五、装配式建筑相关技术应用情况</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新技术、新材料、新设备、新工艺等相关技术的应用情况</w:t>
      </w:r>
    </w:p>
    <w:p>
      <w:pPr>
        <w:numPr>
          <w:ilvl w:val="0"/>
          <w:numId w:val="6"/>
        </w:num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其它需要说明的内容</w:t>
      </w: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装配式建筑项目实施方案应包含并不限于如下内容：</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一、项目概况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（简要介绍项目的基本情况，包括项目位置、用地面积、建筑面积、容积率、项目楼栋情况、装配式建筑楼栋情况、装配式建筑使用预制构件种类说明、装配式施工实施情况等。）</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二、工作机制</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（一）装配式建筑统筹协调及管理人员配置情况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1.建设单位统筹协调参建各方的工作机制</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2.管理人员配置情况（包括参加装配式建筑系列培训情况）</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（二）装配式建筑验收制度</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1.预制构件样板验收制度</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2.装配式标准层结构联合验收制度</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三、装配式建筑的设计</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（一）建筑设计</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1.装配式建筑标准化设计（户型、功能模块、预制构件等）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（1）户型模块标准化</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（2）预制构件标准化</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2.装配式建筑平面、立面设计（总平面、单体平面和立面、预制构件和墙体布置图等，要求至少用A3纸彩打，图示清晰，作为附件。预制构件在设计图纸或BIM中应使用明显的颜色标示）</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3.装配式建筑装饰装修设计（包括水电预留预埋、主要功能区装饰装修）</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（二）结构设计</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1.装配式建筑结构体系</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2.关键节点设计（包括但不限于预制构件安装连接节点、预制构件</w:t>
      </w:r>
      <w:r>
        <w:rPr>
          <w:rFonts w:hint="eastAsia" w:ascii="仿宋_GB2312" w:hAnsi="仿宋_GB2312" w:eastAsia="仿宋_GB2312" w:cs="仿宋_GB2312"/>
          <w:sz w:val="28"/>
          <w:szCs w:val="28"/>
        </w:rPr>
        <w:t>防水节点、外墙保温、墙体防开裂等</w:t>
      </w:r>
      <w:r>
        <w:rPr>
          <w:rFonts w:hint="eastAsia" w:ascii="仿宋_GB2312" w:hAnsi="仿宋_GB2312" w:eastAsia="仿宋_GB2312" w:cs="仿宋_GB2312"/>
          <w:bCs/>
          <w:sz w:val="28"/>
          <w:szCs w:val="28"/>
        </w:rPr>
        <w:t>）</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（三）BIM应用</w:t>
      </w:r>
    </w:p>
    <w:p>
      <w:pPr>
        <w:adjustRightInd w:val="0"/>
        <w:snapToGrid w:val="0"/>
        <w:spacing w:line="52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应用BIM进行建模和分析：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1.装配式建筑设计BIM模型图示</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2.装配式施工安装流程BIM模型演示或视频</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四、装配式建筑的施工</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（一）施工总平面布置图和施工计划</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（包括：项目出入口位置图、施工道路图、各栋塔吊布置图、预制构件堆放场地位置图、施工总体计划和标准层工期安排）</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（二）采用工程总承包组织方式</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提供建设单位与工程总承包单位签订的工程总承包合同以及主体工程的设计、施工分包合同（如有）。</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（二）预制构件生产和运输</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（包括预制构件的生产概况、以及生产、运输、堆放等过程质量控制措施）</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1.预制构件生产概况</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2.预制构件生产的质量控制要点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sz w:val="28"/>
          <w:szCs w:val="28"/>
        </w:rPr>
        <w:t>3.预制构件</w:t>
      </w:r>
      <w:r>
        <w:rPr>
          <w:rFonts w:hint="eastAsia" w:ascii="仿宋_GB2312" w:hAnsi="仿宋_GB2312" w:eastAsia="仿宋_GB2312" w:cs="仿宋_GB2312"/>
          <w:bCs/>
          <w:sz w:val="28"/>
          <w:szCs w:val="28"/>
        </w:rPr>
        <w:t>标示及成品保护措施</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4.预制构件运输路线</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（三）预制构件吊装和安装</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（包括吊装和安装的前期准备工作，以及过程中的质量控制、成品保护等）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1.各栋塔吊选型、预制构件起吊分析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2.吊具准备、各种预制构件的安装</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3.预制构件与装配式模板的连接，钢筋套筒灌浆的连接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（四）装配式模板施工</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（包括选择合适的装配式模板、模板周转套数、模板连接节点、模板平面布置、质量控制措施等）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1.模板类型的选择分析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2.装配式模板平面布置图和竖向布置图</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3.装配式模板安装和拆卸等施工工序</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（五）预制内墙板的施工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（预制内墙板方案应包括内墙板选型分析、平面布置图、墙板防开裂质量控制措施等）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1.预制内墙板类型的选择分析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2.预制内墙板平面布置图</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3.预制内墙板的堆放、运输和安装</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（六）</w:t>
      </w:r>
      <w:r>
        <w:rPr>
          <w:rFonts w:hint="eastAsia" w:ascii="仿宋_GB2312" w:hAnsi="仿宋_GB2312" w:eastAsia="仿宋_GB2312" w:cs="仿宋_GB2312"/>
          <w:b/>
          <w:bCs/>
          <w:sz w:val="28"/>
          <w:szCs w:val="28"/>
        </w:rPr>
        <w:t>其他装配式施工（根据项目装配式施工情况填写）</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1.预制钢筋网施工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2.集成式卫生间、集成式厨房施工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3.工具式脚手架方案</w:t>
      </w:r>
    </w:p>
    <w:p>
      <w:pPr>
        <w:adjustRightInd w:val="0"/>
        <w:snapToGrid w:val="0"/>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五、装配式建筑其他技术应用情况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新技术、新材料、新设备、新工艺等相关技术的应用情况</w:t>
      </w:r>
    </w:p>
    <w:p>
      <w:pPr>
        <w:adjustRightInd w:val="0"/>
        <w:snapToGrid w:val="0"/>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六、其它需要说明的内容</w:t>
      </w:r>
    </w:p>
    <w:p>
      <w:pPr>
        <w:widowControl/>
        <w:jc w:val="left"/>
        <w:rPr>
          <w:rFonts w:ascii="仿宋_GB2312" w:hAnsi="仿宋_GB2312" w:eastAsia="仿宋_GB2312" w:cs="仿宋_GB2312"/>
          <w:sz w:val="32"/>
          <w:szCs w:val="32"/>
        </w:rPr>
      </w:pPr>
      <w:r>
        <w:br w:type="page"/>
      </w:r>
      <w:bookmarkStart w:id="581" w:name="_Toc28511"/>
      <w:r>
        <w:rPr>
          <w:rFonts w:hint="eastAsia" w:ascii="仿宋_GB2312" w:hAnsi="仿宋_GB2312" w:eastAsia="仿宋_GB2312" w:cs="仿宋_GB2312"/>
          <w:sz w:val="32"/>
          <w:szCs w:val="32"/>
        </w:rPr>
        <w:t>附件4</w:t>
      </w:r>
    </w:p>
    <w:bookmarkEnd w:id="581"/>
    <w:p>
      <w:pPr>
        <w:ind w:leftChars="-95" w:right="-143" w:rightChars="-68" w:hanging="199" w:hangingChars="62"/>
        <w:jc w:val="center"/>
        <w:rPr>
          <w:b/>
          <w:bCs/>
          <w:sz w:val="32"/>
          <w:szCs w:val="32"/>
        </w:rPr>
      </w:pPr>
      <w:r>
        <w:rPr>
          <w:rFonts w:hint="eastAsia"/>
          <w:b/>
          <w:bCs/>
          <w:sz w:val="32"/>
          <w:szCs w:val="32"/>
        </w:rPr>
        <w:t>《中山市装配式建筑项目装配率评价专家意见》</w:t>
      </w:r>
    </w:p>
    <w:tbl>
      <w:tblPr>
        <w:tblStyle w:val="20"/>
        <w:tblpPr w:leftFromText="180" w:rightFromText="180" w:vertAnchor="text" w:horzAnchor="page" w:tblpXSpec="center"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3" w:hRule="atLeast"/>
        </w:trPr>
        <w:tc>
          <w:tcPr>
            <w:tcW w:w="8519" w:type="dxa"/>
            <w:noWrap w:val="0"/>
            <w:vAlign w:val="top"/>
          </w:tcPr>
          <w:p>
            <w:pPr>
              <w:jc w:val="center"/>
              <w:rPr>
                <w:rFonts w:ascii="仿宋_GB2312" w:hAnsi="仿宋_GB2312" w:eastAsia="仿宋_GB2312" w:cs="仿宋_GB2312"/>
                <w:bCs/>
                <w:sz w:val="28"/>
                <w:szCs w:val="28"/>
              </w:rPr>
            </w:pPr>
            <w:r>
              <w:rPr>
                <w:rFonts w:hint="eastAsia"/>
                <w:b/>
                <w:bCs/>
                <w:sz w:val="28"/>
                <w:szCs w:val="28"/>
              </w:rPr>
              <w:t>（参考格式）</w:t>
            </w:r>
            <w:r>
              <w:rPr>
                <w:rFonts w:hint="eastAsia" w:ascii="仿宋_GB2312" w:hAnsi="仿宋_GB2312" w:eastAsia="仿宋_GB2312" w:cs="仿宋_GB2312"/>
                <w:bCs/>
                <w:sz w:val="28"/>
                <w:szCs w:val="28"/>
              </w:rPr>
              <w:t>1.该项目</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栋、……实施装配式建筑。</w:t>
            </w: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2.各单体建筑的装配率情况及审查意见：</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10"/>
              <w:gridCol w:w="1447"/>
              <w:gridCol w:w="1200"/>
              <w:gridCol w:w="1043"/>
              <w:gridCol w:w="111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18"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81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栋号</w:t>
                  </w:r>
                </w:p>
              </w:tc>
              <w:tc>
                <w:tcPr>
                  <w:tcW w:w="1447"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单体建筑的建筑面积</w:t>
                  </w:r>
                </w:p>
              </w:tc>
              <w:tc>
                <w:tcPr>
                  <w:tcW w:w="120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标准层</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建筑面积</w:t>
                  </w:r>
                </w:p>
              </w:tc>
              <w:tc>
                <w:tcPr>
                  <w:tcW w:w="1043"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得分</w:t>
                  </w:r>
                </w:p>
              </w:tc>
              <w:tc>
                <w:tcPr>
                  <w:tcW w:w="111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装配率</w:t>
                  </w:r>
                </w:p>
              </w:tc>
              <w:tc>
                <w:tcPr>
                  <w:tcW w:w="213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是否满足</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装配率≥50%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1</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restart"/>
                  <w:noWrap w:val="0"/>
                  <w:vAlign w:val="center"/>
                </w:tcPr>
                <w:p>
                  <w:pP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2</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3</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4</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5</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6</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8" w:type="dxa"/>
                  <w:gridSpan w:val="6"/>
                  <w:noWrap w:val="0"/>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
                      <w:sz w:val="24"/>
                    </w:rPr>
                    <w:t>单体建筑的装配率</w:t>
                  </w:r>
                </w:p>
              </w:tc>
              <w:tc>
                <w:tcPr>
                  <w:tcW w:w="2130" w:type="dxa"/>
                  <w:noWrap w:val="0"/>
                  <w:vAlign w:val="center"/>
                </w:tcPr>
                <w:p>
                  <w:pPr>
                    <w:rPr>
                      <w:rFonts w:ascii="仿宋_GB2312" w:hAnsi="仿宋_GB2312" w:eastAsia="仿宋_GB2312" w:cs="仿宋_GB2312"/>
                      <w:b/>
                      <w:sz w:val="24"/>
                    </w:rPr>
                  </w:pPr>
                  <w:r>
                    <w:rPr>
                      <w:rFonts w:hint="eastAsia" w:ascii="仿宋_GB2312" w:hAnsi="仿宋_GB2312" w:eastAsia="仿宋_GB2312" w:cs="仿宋_GB2312"/>
                      <w:b/>
                      <w:sz w:val="24"/>
                    </w:rPr>
                    <w:t xml:space="preserve">    □符  合</w:t>
                  </w:r>
                </w:p>
                <w:p>
                  <w:pPr>
                    <w:jc w:val="center"/>
                    <w:rPr>
                      <w:rFonts w:ascii="仿宋_GB2312" w:hAnsi="仿宋_GB2312" w:eastAsia="仿宋_GB2312" w:cs="仿宋_GB2312"/>
                      <w:bCs/>
                      <w:sz w:val="24"/>
                    </w:rPr>
                  </w:pPr>
                  <w:r>
                    <w:rPr>
                      <w:rFonts w:hint="eastAsia" w:ascii="仿宋_GB2312" w:hAnsi="仿宋_GB2312" w:eastAsia="仿宋_GB2312" w:cs="仿宋_GB2312"/>
                      <w:b/>
                      <w:sz w:val="24"/>
                    </w:rPr>
                    <w:t>□不符合</w:t>
                  </w:r>
                </w:p>
              </w:tc>
            </w:tr>
          </w:tbl>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（注：如填写内容较多,可另附页）</w:t>
            </w:r>
          </w:p>
          <w:p>
            <w:pPr>
              <w:numPr>
                <w:ilvl w:val="0"/>
                <w:numId w:val="7"/>
              </w:num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其他审查意见：</w:t>
            </w: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专家签名：</w:t>
            </w: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 </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pStyle w:val="45"/>
        <w:adjustRightInd w:val="0"/>
        <w:snapToGrid w:val="0"/>
        <w:spacing w:line="560" w:lineRule="exact"/>
        <w:ind w:firstLine="0" w:firstLineChars="0"/>
        <w:jc w:val="center"/>
        <w:rPr>
          <w:rFonts w:ascii="宋体" w:hAnsi="宋体"/>
          <w:b/>
          <w:sz w:val="32"/>
          <w:szCs w:val="32"/>
        </w:rPr>
      </w:pPr>
      <w:r>
        <w:rPr>
          <w:rFonts w:hint="eastAsia" w:ascii="宋体" w:hAnsi="宋体"/>
          <w:b/>
          <w:sz w:val="32"/>
          <w:szCs w:val="32"/>
        </w:rPr>
        <w:t>中山市装配式建筑项目实施方案技术评价要点</w:t>
      </w:r>
    </w:p>
    <w:p>
      <w:pPr>
        <w:pStyle w:val="45"/>
        <w:adjustRightInd w:val="0"/>
        <w:snapToGrid w:val="0"/>
        <w:spacing w:line="560" w:lineRule="exact"/>
        <w:ind w:firstLine="0" w:firstLineChars="0"/>
        <w:jc w:val="center"/>
        <w:rPr>
          <w:rFonts w:ascii="仿宋" w:hAnsi="仿宋" w:eastAsia="仿宋"/>
          <w:b/>
          <w:sz w:val="36"/>
          <w:szCs w:val="36"/>
        </w:rPr>
      </w:pPr>
    </w:p>
    <w:p>
      <w:pPr>
        <w:pStyle w:val="45"/>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 w:hAnsi="仿宋" w:eastAsia="仿宋"/>
          <w:b/>
          <w:bCs/>
          <w:sz w:val="28"/>
          <w:szCs w:val="28"/>
        </w:rPr>
        <w:t>一、</w:t>
      </w:r>
      <w:r>
        <w:rPr>
          <w:rFonts w:hint="eastAsia" w:ascii="仿宋_GB2312" w:hAnsi="仿宋_GB2312" w:eastAsia="仿宋_GB2312" w:cs="仿宋_GB2312"/>
          <w:b/>
          <w:bCs/>
          <w:sz w:val="32"/>
          <w:szCs w:val="32"/>
        </w:rPr>
        <w:t>技术评价依据</w:t>
      </w:r>
    </w:p>
    <w:p>
      <w:pPr>
        <w:pStyle w:val="45"/>
        <w:adjustRightInd w:val="0"/>
        <w:snapToGri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广东</w:t>
      </w:r>
      <w:r>
        <w:rPr>
          <w:rFonts w:ascii="仿宋_GB2312" w:hAnsi="仿宋_GB2312" w:eastAsia="仿宋_GB2312" w:cs="仿宋_GB2312"/>
          <w:bCs/>
          <w:sz w:val="32"/>
          <w:szCs w:val="32"/>
        </w:rPr>
        <w:t>省</w:t>
      </w:r>
      <w:r>
        <w:rPr>
          <w:rFonts w:hint="eastAsia" w:ascii="仿宋_GB2312" w:hAnsi="仿宋_GB2312" w:eastAsia="仿宋_GB2312" w:cs="仿宋_GB2312"/>
          <w:sz w:val="32"/>
          <w:szCs w:val="32"/>
        </w:rPr>
        <w:t>装配式建筑现行相关规定</w:t>
      </w:r>
    </w:p>
    <w:p>
      <w:pPr>
        <w:pStyle w:val="45"/>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二、审查材料</w:t>
      </w:r>
    </w:p>
    <w:p>
      <w:pPr>
        <w:pStyle w:val="45"/>
        <w:adjustRightInd w:val="0"/>
        <w:snapToGrid w:val="0"/>
        <w:spacing w:line="52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装配式建筑项目设计阶段预评价申请表、装配式建筑项目装配率计算书、装配式建筑项目装配率评价专家意见、装配式建筑项目实施方案、项目设计文件。</w:t>
      </w:r>
    </w:p>
    <w:p>
      <w:pPr>
        <w:pStyle w:val="45"/>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三、审查说明</w:t>
      </w:r>
    </w:p>
    <w:p>
      <w:pPr>
        <w:pStyle w:val="45"/>
        <w:adjustRightInd w:val="0"/>
        <w:snapToGri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1.审查要点分为主控项和一般项，审查结果中未有“不符合”则结论为符合，反之则结论为不符合。</w:t>
      </w:r>
    </w:p>
    <w:p>
      <w:pPr>
        <w:pStyle w:val="45"/>
        <w:adjustRightInd w:val="0"/>
        <w:snapToGrid w:val="0"/>
        <w:spacing w:line="52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2.主控项的审查结果包括：符合、不符合；一般项的审查结果包括：符合、基本符合、不符合。其中：“符合”为实施方案完全满足审查要求的规定；“不符合”为实施方案不满足审查要求的规定；“基本符合”为实施方案大部分内容基本满足审查要求，但需在项目实施过程中进一步细化相关内容。</w:t>
      </w: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32"/>
          <w:szCs w:val="32"/>
        </w:rPr>
        <w:t>四、技术评价要点</w:t>
      </w:r>
    </w:p>
    <w:p>
      <w:pPr>
        <w:rPr>
          <w:rFonts w:ascii="黑体" w:hAnsi="黑体" w:eastAsia="黑体" w:cs="黑体"/>
          <w:b/>
          <w:bCs/>
          <w:sz w:val="32"/>
          <w:szCs w:val="32"/>
        </w:rPr>
      </w:pPr>
      <w:r>
        <w:rPr>
          <w:rFonts w:hint="eastAsia" w:ascii="黑体" w:hAnsi="黑体" w:eastAsia="黑体" w:cs="黑体"/>
          <w:b/>
          <w:bCs/>
          <w:sz w:val="32"/>
          <w:szCs w:val="32"/>
        </w:rPr>
        <w:t>一、主控项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32"/>
        <w:gridCol w:w="441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类别</w:t>
            </w: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编号</w:t>
            </w:r>
          </w:p>
        </w:tc>
        <w:tc>
          <w:tcPr>
            <w:tcW w:w="441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审查内容和要求</w:t>
            </w:r>
          </w:p>
        </w:tc>
        <w:tc>
          <w:tcPr>
            <w:tcW w:w="1417"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审查结果</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noWrap w:val="0"/>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工作机制建立</w:t>
            </w: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编制了装配式建筑统筹协调管理方案，</w:t>
            </w:r>
            <w:r>
              <w:rPr>
                <w:rFonts w:hint="eastAsia" w:ascii="仿宋_GB2312" w:hAnsi="仿宋_GB2312" w:eastAsia="仿宋_GB2312" w:cs="仿宋_GB2312"/>
                <w:bCs/>
                <w:sz w:val="28"/>
                <w:szCs w:val="28"/>
              </w:rPr>
              <w:t>根据装配式建筑的特点，成立了“装配式建筑项目管理团队”</w:t>
            </w:r>
            <w:r>
              <w:rPr>
                <w:rFonts w:hint="eastAsia" w:ascii="仿宋_GB2312" w:hAnsi="仿宋_GB2312" w:eastAsia="仿宋_GB2312" w:cs="仿宋_GB2312"/>
                <w:sz w:val="28"/>
                <w:szCs w:val="28"/>
              </w:rPr>
              <w:t>。</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2" w:type="dxa"/>
            <w:vMerge w:val="restart"/>
            <w:noWrap w:val="0"/>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装配式建筑的设计</w:t>
            </w: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装配率符合广东</w:t>
            </w:r>
            <w:r>
              <w:rPr>
                <w:rFonts w:ascii="仿宋_GB2312" w:hAnsi="仿宋_GB2312" w:eastAsia="仿宋_GB2312" w:cs="仿宋_GB2312"/>
                <w:sz w:val="28"/>
                <w:szCs w:val="28"/>
              </w:rPr>
              <w:t>省</w:t>
            </w:r>
            <w:r>
              <w:rPr>
                <w:rFonts w:hint="eastAsia" w:ascii="仿宋_GB2312" w:hAnsi="仿宋_GB2312" w:eastAsia="仿宋_GB2312" w:cs="仿宋_GB2312"/>
                <w:sz w:val="28"/>
                <w:szCs w:val="28"/>
              </w:rPr>
              <w:t>现行规定，即装配率≥50%，并经施工图审查机构审核确认。</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根据项目特点，原则上应采用预制外墙和楼梯，其他部位应合理选择预制构件，预制构件布置合理。</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装配式建筑结构设计安全可靠，综合考虑生产、运输、安装等过程的实施可行性。</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外墙水平缝和竖向缝、预制构件与现浇混凝土的接缝等防水节点设计合理。</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外墙保温设计和选材合理，适合中山气候条件，考虑了对装饰装修的影响。</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52" w:type="dxa"/>
            <w:vMerge w:val="restart"/>
            <w:noWrap w:val="0"/>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装配式建筑的施工</w:t>
            </w:r>
          </w:p>
        </w:tc>
        <w:tc>
          <w:tcPr>
            <w:tcW w:w="1032" w:type="dxa"/>
            <w:noWrap w:val="0"/>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7</w:t>
            </w:r>
          </w:p>
        </w:tc>
        <w:tc>
          <w:tcPr>
            <w:tcW w:w="4412" w:type="dxa"/>
            <w:noWrap w:val="0"/>
            <w:vAlign w:val="center"/>
          </w:tcPr>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施工总平面布置合理，结合装配式建筑施工特点，充分考虑了预制构件运输、堆放、吊装的需要，塔吊选型和布置满足预制构件吊装需要。</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Cs/>
                <w:sz w:val="32"/>
                <w:szCs w:val="32"/>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装配式模板施工工序合理，质量保证措施、防漏浆措施完善。</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gridSpan w:val="2"/>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结论</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是否符合广东</w:t>
            </w:r>
            <w:r>
              <w:rPr>
                <w:rFonts w:ascii="仿宋_GB2312" w:hAnsi="仿宋_GB2312" w:eastAsia="仿宋_GB2312" w:cs="仿宋_GB2312"/>
                <w:b/>
                <w:bCs/>
                <w:sz w:val="28"/>
                <w:szCs w:val="28"/>
              </w:rPr>
              <w:t>省</w:t>
            </w:r>
            <w:r>
              <w:rPr>
                <w:rFonts w:hint="eastAsia" w:ascii="仿宋_GB2312" w:hAnsi="仿宋_GB2312" w:eastAsia="仿宋_GB2312" w:cs="仿宋_GB2312"/>
                <w:b/>
                <w:bCs/>
                <w:sz w:val="28"/>
                <w:szCs w:val="28"/>
              </w:rPr>
              <w:t>装配式建筑现行相关规定</w:t>
            </w:r>
          </w:p>
        </w:tc>
        <w:tc>
          <w:tcPr>
            <w:tcW w:w="1417" w:type="dxa"/>
            <w:noWrap w:val="0"/>
            <w:vAlign w:val="center"/>
          </w:tcPr>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bl>
    <w:p>
      <w:pPr>
        <w:rPr>
          <w:rFonts w:ascii="黑体" w:hAnsi="黑体" w:eastAsia="黑体" w:cs="黑体"/>
          <w:b/>
          <w:bCs/>
          <w:sz w:val="32"/>
          <w:szCs w:val="32"/>
        </w:rPr>
      </w:pPr>
      <w:r>
        <w:rPr>
          <w:rFonts w:hint="eastAsia" w:ascii="黑体" w:hAnsi="黑体" w:eastAsia="黑体" w:cs="黑体"/>
          <w:b/>
          <w:bCs/>
          <w:sz w:val="32"/>
          <w:szCs w:val="32"/>
        </w:rPr>
        <w:t>二、一般项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44"/>
        <w:gridCol w:w="443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40"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类别</w:t>
            </w: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编号</w:t>
            </w:r>
          </w:p>
        </w:tc>
        <w:tc>
          <w:tcPr>
            <w:tcW w:w="4432"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审查内容和要求</w:t>
            </w:r>
          </w:p>
        </w:tc>
        <w:tc>
          <w:tcPr>
            <w:tcW w:w="1417"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审查结果</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40" w:type="dxa"/>
            <w:noWrap w:val="0"/>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工作机制建立</w:t>
            </w: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编制了装配式建筑验收制度，根据装配式建筑施工特点，在首批预制构件样板和首个装配式标准层结构联合验收制度的基础上，建立分部分项工程验收制度。</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restart"/>
            <w:noWrap w:val="0"/>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装配式建筑的设计</w:t>
            </w: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应用BIM对各专业的设计进行分析，确保建筑、结构、水电及装饰等各专业设计合理。</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建筑、结构、装修设计都遵循标准化和模数化的设计原则，楼型、户型、预制构件等建筑部品重复使用率较高，定型装配式模板标准板使用率较高。</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预制内墙板布置合理，墙板与主体结构的连接有可靠的防开裂设计。</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有完整的室内装修方案，建筑、结构、机电等设计系统地考虑了一体化装修的需要。</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restart"/>
            <w:noWrap w:val="0"/>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装配式建筑的施工</w:t>
            </w:r>
          </w:p>
        </w:tc>
        <w:tc>
          <w:tcPr>
            <w:tcW w:w="1044" w:type="dxa"/>
            <w:noWrap w:val="0"/>
            <w:vAlign w:val="center"/>
          </w:tcPr>
          <w:p>
            <w:pPr>
              <w:adjustRightInd w:val="0"/>
              <w:snapToGrid w:val="0"/>
              <w:spacing w:line="32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6</w:t>
            </w:r>
          </w:p>
        </w:tc>
        <w:tc>
          <w:tcPr>
            <w:tcW w:w="4432" w:type="dxa"/>
            <w:noWrap w:val="0"/>
            <w:vAlign w:val="center"/>
          </w:tcPr>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施工计划、标准层工期安排合理，充分考虑了预制构件的生产及运输能力、定型装配式模板的施工特点。</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Cs/>
                <w:sz w:val="32"/>
                <w:szCs w:val="32"/>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装配式施工通过</w:t>
            </w:r>
            <w:r>
              <w:rPr>
                <w:rFonts w:hint="eastAsia" w:ascii="仿宋_GB2312" w:hAnsi="仿宋_GB2312" w:eastAsia="仿宋_GB2312" w:cs="仿宋_GB2312"/>
                <w:bCs/>
                <w:sz w:val="28"/>
                <w:szCs w:val="28"/>
              </w:rPr>
              <w:t>BIM模型演示。</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gridSpan w:val="2"/>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结论</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是否符合广东</w:t>
            </w:r>
            <w:r>
              <w:rPr>
                <w:rFonts w:ascii="仿宋_GB2312" w:hAnsi="仿宋_GB2312" w:eastAsia="仿宋_GB2312" w:cs="仿宋_GB2312"/>
                <w:b/>
                <w:bCs/>
                <w:sz w:val="28"/>
                <w:szCs w:val="28"/>
              </w:rPr>
              <w:t>省</w:t>
            </w:r>
            <w:r>
              <w:rPr>
                <w:rFonts w:hint="eastAsia" w:ascii="仿宋_GB2312" w:hAnsi="仿宋_GB2312" w:eastAsia="仿宋_GB2312" w:cs="仿宋_GB2312"/>
                <w:b/>
                <w:bCs/>
                <w:sz w:val="28"/>
                <w:szCs w:val="28"/>
              </w:rPr>
              <w:t>装配式建筑现行相关规定</w:t>
            </w:r>
          </w:p>
        </w:tc>
        <w:tc>
          <w:tcPr>
            <w:tcW w:w="1417" w:type="dxa"/>
            <w:noWrap w:val="0"/>
            <w:vAlign w:val="center"/>
          </w:tcPr>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bl>
    <w:p/>
    <w:p>
      <w:pPr>
        <w:widowControl/>
        <w:jc w:val="left"/>
        <w:rPr>
          <w:sz w:val="32"/>
          <w:szCs w:val="32"/>
        </w:rPr>
      </w:pPr>
      <w:r>
        <w:br w:type="page"/>
      </w:r>
      <w:r>
        <w:rPr>
          <w:rFonts w:hint="eastAsia" w:ascii="仿宋_GB2312" w:hAnsi="仿宋_GB2312" w:eastAsia="仿宋_GB2312" w:cs="仿宋_GB2312"/>
          <w:bCs/>
          <w:snapToGrid w:val="0"/>
          <w:sz w:val="32"/>
          <w:szCs w:val="32"/>
        </w:rPr>
        <w:t>附件6</w:t>
      </w:r>
    </w:p>
    <w:p>
      <w:pPr>
        <w:rPr>
          <w:sz w:val="44"/>
          <w:szCs w:val="44"/>
        </w:rPr>
      </w:pPr>
    </w:p>
    <w:p>
      <w:pPr>
        <w:jc w:val="center"/>
        <w:rPr>
          <w:rFonts w:hint="eastAsia"/>
          <w:b/>
          <w:bCs/>
          <w:sz w:val="44"/>
          <w:szCs w:val="44"/>
        </w:rPr>
      </w:pPr>
      <w:r>
        <w:rPr>
          <w:rFonts w:hint="eastAsia"/>
          <w:b/>
          <w:bCs/>
          <w:sz w:val="44"/>
          <w:szCs w:val="44"/>
        </w:rPr>
        <w:t>中山市装配式建筑项目设计阶段</w:t>
      </w:r>
    </w:p>
    <w:p>
      <w:pPr>
        <w:jc w:val="center"/>
        <w:rPr>
          <w:b/>
          <w:bCs/>
          <w:sz w:val="44"/>
          <w:szCs w:val="44"/>
        </w:rPr>
      </w:pPr>
      <w:r>
        <w:rPr>
          <w:rFonts w:hint="eastAsia"/>
          <w:b/>
          <w:bCs/>
          <w:sz w:val="44"/>
          <w:szCs w:val="44"/>
        </w:rPr>
        <w:t>预评价意见书</w:t>
      </w:r>
    </w:p>
    <w:p>
      <w:pPr>
        <w:jc w:val="right"/>
        <w:rPr>
          <w:b/>
          <w:bCs/>
          <w:sz w:val="44"/>
          <w:szCs w:val="44"/>
        </w:rPr>
      </w:pPr>
      <w:r>
        <w:rPr>
          <w:rFonts w:hint="eastAsia"/>
          <w:sz w:val="28"/>
          <w:szCs w:val="28"/>
        </w:rPr>
        <w:t>中建装</w:t>
      </w:r>
      <w:r>
        <w:rPr>
          <w:sz w:val="28"/>
          <w:szCs w:val="28"/>
        </w:rPr>
        <w:t>预</w:t>
      </w:r>
      <w:r>
        <w:rPr>
          <w:rFonts w:hint="eastAsia"/>
          <w:sz w:val="28"/>
          <w:szCs w:val="28"/>
        </w:rPr>
        <w:t>【20XX】第000X号</w:t>
      </w:r>
    </w:p>
    <w:p>
      <w:pPr>
        <w:jc w:val="center"/>
        <w:rPr>
          <w:sz w:val="32"/>
          <w:szCs w:val="32"/>
        </w:rPr>
      </w:pPr>
      <w:r>
        <w:rPr>
          <w:rFonts w:hint="eastAsia"/>
          <w:sz w:val="32"/>
          <w:szCs w:val="32"/>
        </w:rPr>
        <w:t>（参考格式）</w:t>
      </w:r>
    </w:p>
    <w:p>
      <w:pPr>
        <w:rPr>
          <w:sz w:val="44"/>
          <w:szCs w:val="44"/>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XX公司：</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根据《中山市住房和城乡建设局关于开展装配式建筑评价工作的通知》，我局组织召开装配式建筑项目设计阶段技术</w:t>
      </w:r>
      <w:r>
        <w:rPr>
          <w:rFonts w:ascii="仿宋_GB2312" w:hAnsi="仿宋_GB2312" w:eastAsia="仿宋_GB2312" w:cs="仿宋_GB2312"/>
          <w:sz w:val="32"/>
          <w:szCs w:val="32"/>
        </w:rPr>
        <w:t>评审</w:t>
      </w:r>
      <w:r>
        <w:rPr>
          <w:rFonts w:hint="eastAsia" w:ascii="仿宋_GB2312" w:hAnsi="仿宋_GB2312" w:eastAsia="仿宋_GB2312" w:cs="仿宋_GB2312"/>
          <w:sz w:val="32"/>
          <w:szCs w:val="32"/>
        </w:rPr>
        <w:t>会。经专家评审，你司</w:t>
      </w:r>
      <w:r>
        <w:rPr>
          <w:rFonts w:hint="eastAsia" w:ascii="仿宋_GB2312" w:hAnsi="仿宋_GB2312" w:eastAsia="仿宋_GB2312" w:cs="仿宋_GB2312"/>
          <w:bCs/>
          <w:sz w:val="32"/>
          <w:szCs w:val="32"/>
        </w:rPr>
        <w:t>XX</w:t>
      </w:r>
      <w:r>
        <w:rPr>
          <w:rFonts w:hint="eastAsia" w:ascii="仿宋_GB2312" w:hAnsi="仿宋_GB2312" w:eastAsia="仿宋_GB2312" w:cs="仿宋_GB2312"/>
          <w:sz w:val="32"/>
          <w:szCs w:val="32"/>
        </w:rPr>
        <w:t>项目的设计文件（符合/不符合）广东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装配式建筑相关技术要求。（若不符合：请按照专家评审意见对申请材料进行修改，再重新申请技术评价）</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专此函复。</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
          <w:sz w:val="32"/>
          <w:szCs w:val="32"/>
        </w:rPr>
        <w:t>：</w:t>
      </w:r>
      <w:r>
        <w:rPr>
          <w:rFonts w:hint="eastAsia" w:ascii="仿宋_GB2312" w:hAnsi="仿宋_GB2312" w:eastAsia="仿宋_GB2312" w:cs="仿宋_GB2312"/>
          <w:bCs/>
          <w:sz w:val="32"/>
          <w:szCs w:val="32"/>
        </w:rPr>
        <w:t>XX</w:t>
      </w:r>
      <w:r>
        <w:rPr>
          <w:rFonts w:hint="eastAsia" w:ascii="仿宋_GB2312" w:hAnsi="仿宋_GB2312" w:eastAsia="仿宋_GB2312" w:cs="仿宋_GB2312"/>
          <w:spacing w:val="-3"/>
          <w:sz w:val="32"/>
          <w:szCs w:val="32"/>
        </w:rPr>
        <w:t>项目设计阶段预评价会专家意见</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中山市住房和城乡建设局</w:t>
      </w: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bCs/>
          <w:sz w:val="32"/>
          <w:szCs w:val="32"/>
        </w:rPr>
        <w:t>XXXX年X月X日</w:t>
      </w:r>
    </w:p>
    <w:p>
      <w:pPr>
        <w:snapToGrid w:val="0"/>
        <w:spacing w:line="276"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bCs/>
          <w:sz w:val="32"/>
          <w:szCs w:val="32"/>
        </w:rPr>
        <w:t>XXX</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XXXXXXXX</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传真：XXXXXXXX</w:t>
      </w:r>
      <w:r>
        <w:rPr>
          <w:rFonts w:hint="eastAsia" w:ascii="仿宋_GB2312" w:hAnsi="仿宋_GB2312" w:eastAsia="仿宋_GB2312" w:cs="仿宋_GB2312"/>
          <w:sz w:val="32"/>
          <w:szCs w:val="32"/>
        </w:rPr>
        <w:t>）</w:t>
      </w:r>
    </w:p>
    <w:p/>
    <w:p/>
    <w:p>
      <w:pPr>
        <w:widowControl/>
        <w:jc w:val="left"/>
      </w:pPr>
    </w:p>
    <w:p>
      <w:pPr>
        <w:widowControl/>
        <w:jc w:val="left"/>
        <w:rPr>
          <w:sz w:val="32"/>
          <w:szCs w:val="32"/>
        </w:rPr>
      </w:pPr>
      <w:r>
        <w:br w:type="page"/>
      </w:r>
      <w:r>
        <w:rPr>
          <w:rFonts w:hint="eastAsia" w:ascii="仿宋_GB2312" w:hAnsi="仿宋_GB2312" w:eastAsia="仿宋_GB2312" w:cs="仿宋_GB2312"/>
          <w:bCs/>
          <w:snapToGrid w:val="0"/>
          <w:sz w:val="32"/>
          <w:szCs w:val="32"/>
        </w:rPr>
        <w:t>附件7</w:t>
      </w:r>
    </w:p>
    <w:p>
      <w:pPr>
        <w:rPr>
          <w:sz w:val="44"/>
          <w:szCs w:val="44"/>
        </w:rPr>
      </w:pPr>
    </w:p>
    <w:p>
      <w:pPr>
        <w:jc w:val="center"/>
        <w:rPr>
          <w:b/>
          <w:bCs/>
          <w:sz w:val="44"/>
          <w:szCs w:val="44"/>
        </w:rPr>
      </w:pPr>
      <w:r>
        <w:rPr>
          <w:rFonts w:hint="eastAsia"/>
          <w:b/>
          <w:bCs/>
          <w:sz w:val="44"/>
          <w:szCs w:val="44"/>
        </w:rPr>
        <w:t>中山市装配式建筑项目竣工评价意见书</w:t>
      </w:r>
    </w:p>
    <w:p>
      <w:pPr>
        <w:jc w:val="right"/>
        <w:rPr>
          <w:sz w:val="32"/>
          <w:szCs w:val="32"/>
        </w:rPr>
      </w:pPr>
      <w:r>
        <w:rPr>
          <w:rFonts w:hint="eastAsia" w:ascii="仿宋_GB2312" w:hAnsi="仿宋_GB2312" w:eastAsia="仿宋_GB2312" w:cs="仿宋_GB2312"/>
          <w:sz w:val="32"/>
          <w:szCs w:val="32"/>
        </w:rPr>
        <w:t>中建装评【20XX】第000X号</w:t>
      </w:r>
    </w:p>
    <w:p>
      <w:pPr>
        <w:jc w:val="center"/>
        <w:rPr>
          <w:sz w:val="32"/>
          <w:szCs w:val="32"/>
        </w:rPr>
      </w:pPr>
      <w:r>
        <w:rPr>
          <w:rFonts w:hint="eastAsia"/>
          <w:sz w:val="32"/>
          <w:szCs w:val="32"/>
        </w:rPr>
        <w:t>（参考格式）</w:t>
      </w:r>
    </w:p>
    <w:p>
      <w:pPr>
        <w:rPr>
          <w:sz w:val="44"/>
          <w:szCs w:val="44"/>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XX公司：</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根据《中山市住房和城乡建设局关于开展装配式建筑评价工作的通知》，</w:t>
      </w:r>
      <w:r>
        <w:rPr>
          <w:rFonts w:ascii="仿宋_GB2312" w:hAnsi="仿宋_GB2312" w:eastAsia="仿宋_GB2312" w:cs="仿宋_GB2312"/>
          <w:sz w:val="32"/>
          <w:szCs w:val="32"/>
        </w:rPr>
        <w:t>依据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中山市装配式建筑项目设计阶段预评价意见书</w:t>
      </w:r>
      <w:r>
        <w:rPr>
          <w:rFonts w:hint="eastAsia" w:ascii="仿宋_GB2312" w:hAnsi="仿宋_GB2312" w:eastAsia="仿宋_GB2312" w:cs="仿宋_GB2312"/>
          <w:sz w:val="32"/>
          <w:szCs w:val="32"/>
        </w:rPr>
        <w:t>》（中建装</w:t>
      </w:r>
      <w:r>
        <w:rPr>
          <w:rFonts w:ascii="仿宋_GB2312" w:hAnsi="仿宋_GB2312" w:eastAsia="仿宋_GB2312" w:cs="仿宋_GB2312"/>
          <w:sz w:val="32"/>
          <w:szCs w:val="32"/>
        </w:rPr>
        <w:t>预</w:t>
      </w:r>
      <w:r>
        <w:rPr>
          <w:rFonts w:hint="eastAsia" w:ascii="仿宋_GB2312" w:hAnsi="仿宋_GB2312" w:eastAsia="仿宋_GB2312" w:cs="仿宋_GB2312"/>
          <w:sz w:val="32"/>
          <w:szCs w:val="32"/>
        </w:rPr>
        <w:t>【20XX】第000X号）、XX项目</w:t>
      </w:r>
      <w:r>
        <w:rPr>
          <w:rFonts w:ascii="仿宋_GB2312" w:hAnsi="仿宋_GB2312" w:eastAsia="仿宋_GB2312" w:cs="仿宋_GB2312"/>
          <w:sz w:val="32"/>
          <w:szCs w:val="32"/>
        </w:rPr>
        <w:t>竣工验收报告</w:t>
      </w:r>
      <w:r>
        <w:rPr>
          <w:rFonts w:hint="eastAsia" w:ascii="仿宋_GB2312" w:hAnsi="仿宋_GB2312" w:eastAsia="仿宋_GB2312" w:cs="仿宋_GB2312"/>
          <w:sz w:val="32"/>
          <w:szCs w:val="32"/>
        </w:rPr>
        <w:t>和</w:t>
      </w:r>
      <w:r>
        <w:rPr>
          <w:rFonts w:hint="eastAsia" w:ascii="仿宋" w:hAnsi="仿宋" w:eastAsia="仿宋"/>
          <w:sz w:val="32"/>
          <w:szCs w:val="32"/>
        </w:rPr>
        <w:t>《工程现场施工质量监督任务完成告知书》。</w:t>
      </w:r>
      <w:r>
        <w:rPr>
          <w:rFonts w:hint="eastAsia" w:ascii="仿宋_GB2312" w:hAnsi="仿宋_GB2312" w:eastAsia="仿宋_GB2312" w:cs="仿宋_GB2312"/>
          <w:sz w:val="32"/>
          <w:szCs w:val="32"/>
        </w:rPr>
        <w:t>，你司</w:t>
      </w:r>
      <w:r>
        <w:rPr>
          <w:rFonts w:hint="eastAsia" w:ascii="仿宋_GB2312" w:hAnsi="仿宋_GB2312" w:eastAsia="仿宋_GB2312" w:cs="仿宋_GB2312"/>
          <w:bCs/>
          <w:sz w:val="32"/>
          <w:szCs w:val="32"/>
        </w:rPr>
        <w:t>XX</w:t>
      </w:r>
      <w:r>
        <w:rPr>
          <w:rFonts w:hint="eastAsia" w:ascii="仿宋_GB2312" w:hAnsi="仿宋_GB2312" w:eastAsia="仿宋_GB2312" w:cs="仿宋_GB2312"/>
          <w:sz w:val="32"/>
          <w:szCs w:val="32"/>
        </w:rPr>
        <w:t>项目符合广东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《装配式建筑</w:t>
      </w:r>
      <w:r>
        <w:rPr>
          <w:rFonts w:ascii="仿宋_GB2312" w:hAnsi="仿宋_GB2312" w:eastAsia="仿宋_GB2312" w:cs="仿宋_GB2312"/>
          <w:sz w:val="32"/>
          <w:szCs w:val="32"/>
        </w:rPr>
        <w:t>评价标准</w:t>
      </w:r>
      <w:r>
        <w:rPr>
          <w:rFonts w:hint="eastAsia" w:ascii="仿宋_GB2312" w:hAnsi="仿宋_GB2312" w:eastAsia="仿宋_GB2312" w:cs="仿宋_GB2312"/>
          <w:sz w:val="32"/>
          <w:szCs w:val="32"/>
        </w:rPr>
        <w:t>》要求，评价等级</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（基本</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/A级/</w:t>
      </w:r>
      <w:r>
        <w:rPr>
          <w:rFonts w:ascii="仿宋_GB2312" w:hAnsi="仿宋_GB2312" w:eastAsia="仿宋_GB2312" w:cs="仿宋_GB2312"/>
          <w:sz w:val="32"/>
          <w:szCs w:val="32"/>
        </w:rPr>
        <w:t>AA</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AAA</w:t>
      </w:r>
      <w:r>
        <w:rPr>
          <w:rFonts w:hint="eastAsia" w:ascii="仿宋_GB2312" w:hAnsi="仿宋_GB2312" w:eastAsia="仿宋_GB2312" w:cs="仿宋_GB2312"/>
          <w:sz w:val="32"/>
          <w:szCs w:val="32"/>
        </w:rPr>
        <w:t>级）。</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w:t>
      </w:r>
      <w:r>
        <w:rPr>
          <w:rFonts w:ascii="仿宋_GB2312" w:hAnsi="仿宋_GB2312" w:eastAsia="仿宋_GB2312" w:cs="仿宋_GB2312"/>
          <w:sz w:val="32"/>
          <w:szCs w:val="32"/>
        </w:rPr>
        <w:t>复。</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中山市住房和城乡建设局</w:t>
      </w: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bCs/>
          <w:sz w:val="32"/>
          <w:szCs w:val="32"/>
        </w:rPr>
        <w:t>XXXX年X月X日</w:t>
      </w:r>
    </w:p>
    <w:p>
      <w:pPr>
        <w:snapToGrid w:val="0"/>
        <w:spacing w:line="276"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bCs/>
          <w:sz w:val="32"/>
          <w:szCs w:val="32"/>
        </w:rPr>
        <w:t>XXX</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XXXXXXXX</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传真：XXXXXXXX</w:t>
      </w:r>
      <w:r>
        <w:rPr>
          <w:rFonts w:hint="eastAsia" w:ascii="仿宋_GB2312" w:hAnsi="仿宋_GB2312" w:eastAsia="仿宋_GB2312" w:cs="仿宋_GB2312"/>
          <w:sz w:val="32"/>
          <w:szCs w:val="32"/>
        </w:rPr>
        <w:t>）</w:t>
      </w:r>
    </w:p>
    <w:p>
      <w:pPr>
        <w:snapToGrid w:val="0"/>
        <w:spacing w:line="276" w:lineRule="auto"/>
      </w:pPr>
    </w:p>
    <w:p/>
    <w:p>
      <w:pPr>
        <w:widowControl/>
        <w:jc w:val="left"/>
        <w:rPr>
          <w:rFonts w:ascii="仿宋" w:hAnsi="仿宋" w:eastAsia="仿宋"/>
          <w:sz w:val="32"/>
          <w:szCs w:val="32"/>
        </w:rPr>
      </w:pPr>
    </w:p>
    <w:p>
      <w:pPr>
        <w:rPr>
          <w:rFonts w:hint="eastAsia"/>
          <w:lang w:val="en-US" w:eastAsia="zh-CN"/>
        </w:rPr>
      </w:pPr>
    </w:p>
    <w:p>
      <w:pPr>
        <w:ind w:firstLine="560" w:firstLineChars="200"/>
        <w:jc w:val="both"/>
        <w:rPr>
          <w:rFonts w:hint="default" w:ascii="宋体" w:hAnsi="宋体" w:cs="宋体"/>
          <w:b w:val="0"/>
          <w:bCs/>
          <w:color w:val="auto"/>
          <w:sz w:val="28"/>
          <w:szCs w:val="28"/>
          <w:lang w:val="en-US" w:eastAsia="zh-CN"/>
        </w:rPr>
      </w:pPr>
    </w:p>
    <w:sectPr>
      <w:pgSz w:w="11906" w:h="16838"/>
      <w:pgMar w:top="2098" w:right="1588" w:bottom="1720"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OW33nvlAQAAxwMA&#10;AA4AAAAAAAAAAQAgAAAAHwEAAGRycy9lMm9Eb2MueG1sUEsFBgAAAAAGAAYAWQEAAH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BzFA8U+QEAABMEAAAOAAAAAAAAAAEAIAAAAB4BAABkcnMvZTJvRG9jLnhtbFBLBQYA&#10;AAAABgAGAFkBAACJ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Fonts w:eastAsia="Times New Roman"/>
      </w:rPr>
      <w:t>4</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DIhE0Xo&#10;AQAAygMAAA4AAAAAAAAAAQAgAAAAIgEAAGRycy9lMm9Eb2MueG1sUEsFBgAAAAAGAAYAWQEAAHwF&#10;A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jc w:val="center"/>
                          </w:pPr>
                        </w:p>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LDriWro&#10;AQAAygMAAA4AAAAAAAAAAQAgAAAAIgEAAGRycy9lMm9Eb2MueG1sUEsFBgAAAAAGAAYAWQEAAHwF&#10;AAAAAA==&#10;">
              <v:fill on="f" focussize="0,0"/>
              <v:stroke on="f" weight="1.25pt"/>
              <v:imagedata o:title=""/>
              <o:lock v:ext="edit" aspectratio="f"/>
              <v:textbox inset="0mm,0mm,0mm,0mm" style="mso-fit-shape-to-text:t;">
                <w:txbxContent>
                  <w:p>
                    <w:pPr>
                      <w:pStyle w:val="12"/>
                      <w:jc w:val="center"/>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jc w:val="center"/>
                          </w:pP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TkFLHnAQAAyQ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4tgtNzjw86+f599/&#10;z39+kOXLpE/vQ41htx4D4/DWDbg1833Ay0R7aMGkPxIi6Ed1Txd15RCJSEnVqqpKdAn0zQfEL+7S&#10;PYT4XjpDksEo4Piyqvz4McQxdA5J1ay7UVrnEWpLekS9ql5f5YyLC9G1xSKJxdhtsuKwGyZqO9ec&#10;kBm+CKzYOfhOSY/7wKjF9adEf7Aod1qd2YDZ2M0GtwITGY2UjOa7OK7YwYPad3npUr/BvzlE7DlT&#10;SW2MtafucMJZjGkb0wr9f85Rdy9w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OQUsecB&#10;AADJAwAADgAAAAAAAAABACAAAAAiAQAAZHJzL2Uyb0RvYy54bWxQSwUGAAAAAAYABgBZAQAAewUA&#10;AAAA&#10;">
              <v:fill on="f" focussize="0,0"/>
              <v:stroke on="f" weight="1.25pt"/>
              <v:imagedata o:title=""/>
              <o:lock v:ext="edit" aspectratio="f"/>
              <v:textbox inset="0mm,0mm,0mm,0mm" style="mso-fit-shape-to-text:t;">
                <w:txbxContent>
                  <w:p>
                    <w:pPr>
                      <w:pStyle w:val="12"/>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g5mBEecB&#10;AADKAwAADgAAAAAAAAABACAAAAAiAQAAZHJzL2Uyb0RvYy54bWxQSwUGAAAAAAYABgBZAQAAewUA&#10;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jc w:val="center"/>
                          </w:pP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Ret8DTAQAAp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iySgL1HmrMe/SYGYcPbsDk+R7wMvEeZDDpi4wIxlHe00VeMUTC06NqVVUlhjjGZgfxi6fn&#10;PkC8E86QZDQ04PyyrOz4AHFMnVNSNetuldZ5htqSHlGvqndX+cUlhOjaYpHEYuw2WXHYDRO1nWtP&#10;yKzHJWioxZ2nRN9b1Djty2yE2djNxsEHte/yQqVWwL8/RGwnd5kqjLBTYZxe5jltWlqPv/2c9fR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Ret8DTAQAApQMAAA4AAAAAAAAAAQAgAAAA&#10;IgEAAGRycy9lMm9Eb2MueG1sUEsFBgAAAAAGAAYAWQEAAGcFAAAAAA==&#10;">
              <v:fill on="f" focussize="0,0"/>
              <v:stroke on="f" weight="1.25pt"/>
              <v:imagedata o:title=""/>
              <o:lock v:ext="edit" aspectratio="f"/>
              <v:textbox inset="0mm,0mm,0mm,0mm" style="mso-fit-shape-to-text:t;">
                <w:txbxContent>
                  <w:p>
                    <w:pPr>
                      <w:pStyle w:val="12"/>
                      <w:jc w:val="cente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CgeUoy4wEAALsDAAAO&#10;AAAAAAAAAAEAIAAAAB8BAABkcnMvZTJvRG9jLnhtbFBLBQYAAAAABgAGAFkBAAB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RRg+CAIAABM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F32C0"/>
    <w:multiLevelType w:val="singleLevel"/>
    <w:tmpl w:val="B33F32C0"/>
    <w:lvl w:ilvl="0" w:tentative="0">
      <w:start w:val="1"/>
      <w:numFmt w:val="decimal"/>
      <w:suff w:val="space"/>
      <w:lvlText w:val="%1."/>
      <w:lvlJc w:val="left"/>
    </w:lvl>
  </w:abstractNum>
  <w:abstractNum w:abstractNumId="1">
    <w:nsid w:val="BE105C08"/>
    <w:multiLevelType w:val="singleLevel"/>
    <w:tmpl w:val="BE105C08"/>
    <w:lvl w:ilvl="0" w:tentative="0">
      <w:start w:val="14"/>
      <w:numFmt w:val="decimal"/>
      <w:lvlText w:val="%1."/>
      <w:lvlJc w:val="left"/>
      <w:pPr>
        <w:tabs>
          <w:tab w:val="left" w:pos="312"/>
        </w:tabs>
      </w:pPr>
    </w:lvl>
  </w:abstractNum>
  <w:abstractNum w:abstractNumId="2">
    <w:nsid w:val="37DA6E3D"/>
    <w:multiLevelType w:val="singleLevel"/>
    <w:tmpl w:val="37DA6E3D"/>
    <w:lvl w:ilvl="0" w:tentative="0">
      <w:start w:val="3"/>
      <w:numFmt w:val="chineseCounting"/>
      <w:suff w:val="nothing"/>
      <w:lvlText w:val="%1、"/>
      <w:lvlJc w:val="left"/>
      <w:rPr>
        <w:rFonts w:hint="eastAsia"/>
      </w:rPr>
    </w:lvl>
  </w:abstractNum>
  <w:abstractNum w:abstractNumId="3">
    <w:nsid w:val="40D81192"/>
    <w:multiLevelType w:val="singleLevel"/>
    <w:tmpl w:val="40D81192"/>
    <w:lvl w:ilvl="0" w:tentative="0">
      <w:start w:val="6"/>
      <w:numFmt w:val="decimal"/>
      <w:suff w:val="nothing"/>
      <w:lvlText w:val="（%1）"/>
      <w:lvlJc w:val="left"/>
    </w:lvl>
  </w:abstractNum>
  <w:abstractNum w:abstractNumId="4">
    <w:nsid w:val="577C83F8"/>
    <w:multiLevelType w:val="singleLevel"/>
    <w:tmpl w:val="577C83F8"/>
    <w:lvl w:ilvl="0" w:tentative="0">
      <w:start w:val="6"/>
      <w:numFmt w:val="chineseCounting"/>
      <w:suff w:val="nothing"/>
      <w:lvlText w:val="%1、"/>
      <w:lvlJc w:val="left"/>
    </w:lvl>
  </w:abstractNum>
  <w:abstractNum w:abstractNumId="5">
    <w:nsid w:val="578369D5"/>
    <w:multiLevelType w:val="singleLevel"/>
    <w:tmpl w:val="578369D5"/>
    <w:lvl w:ilvl="0" w:tentative="0">
      <w:start w:val="3"/>
      <w:numFmt w:val="decimal"/>
      <w:suff w:val="nothing"/>
      <w:lvlText w:val="%1、"/>
      <w:lvlJc w:val="left"/>
    </w:lvl>
  </w:abstractNum>
  <w:abstractNum w:abstractNumId="6">
    <w:nsid w:val="711A1610"/>
    <w:multiLevelType w:val="singleLevel"/>
    <w:tmpl w:val="711A161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F99"/>
    <w:rsid w:val="000F5A15"/>
    <w:rsid w:val="001E1DB2"/>
    <w:rsid w:val="001E2068"/>
    <w:rsid w:val="00201185"/>
    <w:rsid w:val="00241A08"/>
    <w:rsid w:val="0025469E"/>
    <w:rsid w:val="002C0099"/>
    <w:rsid w:val="002C07E4"/>
    <w:rsid w:val="002E3DCC"/>
    <w:rsid w:val="003356C1"/>
    <w:rsid w:val="003A0DBF"/>
    <w:rsid w:val="003D7120"/>
    <w:rsid w:val="004028F2"/>
    <w:rsid w:val="00426670"/>
    <w:rsid w:val="004C6329"/>
    <w:rsid w:val="004F5A4E"/>
    <w:rsid w:val="005A57E6"/>
    <w:rsid w:val="006021EF"/>
    <w:rsid w:val="00637407"/>
    <w:rsid w:val="006E777A"/>
    <w:rsid w:val="00733226"/>
    <w:rsid w:val="0073353B"/>
    <w:rsid w:val="007F16F2"/>
    <w:rsid w:val="008479FD"/>
    <w:rsid w:val="00857641"/>
    <w:rsid w:val="008C2308"/>
    <w:rsid w:val="008E3216"/>
    <w:rsid w:val="008E4C14"/>
    <w:rsid w:val="00996244"/>
    <w:rsid w:val="009C3BC0"/>
    <w:rsid w:val="009C5B17"/>
    <w:rsid w:val="009D17AB"/>
    <w:rsid w:val="009E01C2"/>
    <w:rsid w:val="009F5B01"/>
    <w:rsid w:val="00A00925"/>
    <w:rsid w:val="00A147F2"/>
    <w:rsid w:val="00A170E5"/>
    <w:rsid w:val="00A833CE"/>
    <w:rsid w:val="00A84FDE"/>
    <w:rsid w:val="00AD56DB"/>
    <w:rsid w:val="00AE5B7B"/>
    <w:rsid w:val="00B72485"/>
    <w:rsid w:val="00B83DC2"/>
    <w:rsid w:val="00B9053E"/>
    <w:rsid w:val="00C04A71"/>
    <w:rsid w:val="00C57FD4"/>
    <w:rsid w:val="00C93207"/>
    <w:rsid w:val="00CB5F8A"/>
    <w:rsid w:val="00CC736F"/>
    <w:rsid w:val="00D868B7"/>
    <w:rsid w:val="00DD41DC"/>
    <w:rsid w:val="00DD7D76"/>
    <w:rsid w:val="00EA14D9"/>
    <w:rsid w:val="00EB3609"/>
    <w:rsid w:val="00F252AE"/>
    <w:rsid w:val="01042AC5"/>
    <w:rsid w:val="010E357D"/>
    <w:rsid w:val="011259E5"/>
    <w:rsid w:val="01326B25"/>
    <w:rsid w:val="01413CA3"/>
    <w:rsid w:val="014B4B6C"/>
    <w:rsid w:val="015D03E9"/>
    <w:rsid w:val="01790600"/>
    <w:rsid w:val="01822229"/>
    <w:rsid w:val="018437C7"/>
    <w:rsid w:val="018E37D3"/>
    <w:rsid w:val="018F1A97"/>
    <w:rsid w:val="01955B00"/>
    <w:rsid w:val="019863AE"/>
    <w:rsid w:val="019B197A"/>
    <w:rsid w:val="01A739AF"/>
    <w:rsid w:val="01AF67C0"/>
    <w:rsid w:val="01B032E8"/>
    <w:rsid w:val="01CF284F"/>
    <w:rsid w:val="01D87686"/>
    <w:rsid w:val="01E20ADE"/>
    <w:rsid w:val="01E752B5"/>
    <w:rsid w:val="01E84F81"/>
    <w:rsid w:val="02110B00"/>
    <w:rsid w:val="02380376"/>
    <w:rsid w:val="023833EF"/>
    <w:rsid w:val="023A00C2"/>
    <w:rsid w:val="0240555B"/>
    <w:rsid w:val="024B7E97"/>
    <w:rsid w:val="024D1B99"/>
    <w:rsid w:val="026E3A19"/>
    <w:rsid w:val="0287563A"/>
    <w:rsid w:val="028A6A28"/>
    <w:rsid w:val="02957BF7"/>
    <w:rsid w:val="02A128A6"/>
    <w:rsid w:val="02CB1A13"/>
    <w:rsid w:val="02CD00B8"/>
    <w:rsid w:val="02CD21F9"/>
    <w:rsid w:val="02E01313"/>
    <w:rsid w:val="02E44E4E"/>
    <w:rsid w:val="02F90959"/>
    <w:rsid w:val="02FF00E7"/>
    <w:rsid w:val="02FF2C5A"/>
    <w:rsid w:val="03044C13"/>
    <w:rsid w:val="032701FA"/>
    <w:rsid w:val="032C661B"/>
    <w:rsid w:val="032F7427"/>
    <w:rsid w:val="034C07EC"/>
    <w:rsid w:val="034F0D7B"/>
    <w:rsid w:val="0357690E"/>
    <w:rsid w:val="03651747"/>
    <w:rsid w:val="037B473F"/>
    <w:rsid w:val="03905D46"/>
    <w:rsid w:val="039A0BFB"/>
    <w:rsid w:val="03B26227"/>
    <w:rsid w:val="03B42CAE"/>
    <w:rsid w:val="03BB1576"/>
    <w:rsid w:val="03DB68DE"/>
    <w:rsid w:val="03E13506"/>
    <w:rsid w:val="03E51F24"/>
    <w:rsid w:val="03F36F43"/>
    <w:rsid w:val="03F61F7E"/>
    <w:rsid w:val="040B0685"/>
    <w:rsid w:val="041364A8"/>
    <w:rsid w:val="04230D06"/>
    <w:rsid w:val="042572BF"/>
    <w:rsid w:val="043B1798"/>
    <w:rsid w:val="04457E5D"/>
    <w:rsid w:val="04464AE0"/>
    <w:rsid w:val="046D5127"/>
    <w:rsid w:val="047E191C"/>
    <w:rsid w:val="04923184"/>
    <w:rsid w:val="049A7DF4"/>
    <w:rsid w:val="049F3C82"/>
    <w:rsid w:val="04B64D9B"/>
    <w:rsid w:val="04C00381"/>
    <w:rsid w:val="04C1529D"/>
    <w:rsid w:val="04D82060"/>
    <w:rsid w:val="04E82483"/>
    <w:rsid w:val="04F373E0"/>
    <w:rsid w:val="04F8675B"/>
    <w:rsid w:val="0516334F"/>
    <w:rsid w:val="051B2D4A"/>
    <w:rsid w:val="051D3E90"/>
    <w:rsid w:val="05260ADD"/>
    <w:rsid w:val="053B5830"/>
    <w:rsid w:val="05401EEC"/>
    <w:rsid w:val="056369C5"/>
    <w:rsid w:val="058D3000"/>
    <w:rsid w:val="059347D5"/>
    <w:rsid w:val="059E1808"/>
    <w:rsid w:val="05A1657B"/>
    <w:rsid w:val="05B07E98"/>
    <w:rsid w:val="05B56056"/>
    <w:rsid w:val="05B93DAF"/>
    <w:rsid w:val="05BB2137"/>
    <w:rsid w:val="05DB13A6"/>
    <w:rsid w:val="05F60B5F"/>
    <w:rsid w:val="06081922"/>
    <w:rsid w:val="061517F6"/>
    <w:rsid w:val="06352600"/>
    <w:rsid w:val="063843BE"/>
    <w:rsid w:val="06414EBC"/>
    <w:rsid w:val="0659153C"/>
    <w:rsid w:val="06805917"/>
    <w:rsid w:val="0695629B"/>
    <w:rsid w:val="06970BEC"/>
    <w:rsid w:val="069B1D7A"/>
    <w:rsid w:val="069F1C62"/>
    <w:rsid w:val="06B00096"/>
    <w:rsid w:val="06B65774"/>
    <w:rsid w:val="06BF056A"/>
    <w:rsid w:val="06CA195B"/>
    <w:rsid w:val="06E0782E"/>
    <w:rsid w:val="06E558A3"/>
    <w:rsid w:val="070676B5"/>
    <w:rsid w:val="07127B0C"/>
    <w:rsid w:val="071E0B46"/>
    <w:rsid w:val="07231283"/>
    <w:rsid w:val="07930467"/>
    <w:rsid w:val="07A52F98"/>
    <w:rsid w:val="07B55322"/>
    <w:rsid w:val="07C17998"/>
    <w:rsid w:val="07D1465B"/>
    <w:rsid w:val="07DC180C"/>
    <w:rsid w:val="07E23612"/>
    <w:rsid w:val="07EB1883"/>
    <w:rsid w:val="080B3DF0"/>
    <w:rsid w:val="08145153"/>
    <w:rsid w:val="081955F2"/>
    <w:rsid w:val="081D54F5"/>
    <w:rsid w:val="08250B8F"/>
    <w:rsid w:val="084079D7"/>
    <w:rsid w:val="086B5C9D"/>
    <w:rsid w:val="088C05DF"/>
    <w:rsid w:val="089F055A"/>
    <w:rsid w:val="08A71CCB"/>
    <w:rsid w:val="08A81434"/>
    <w:rsid w:val="08BD26F1"/>
    <w:rsid w:val="08C0178B"/>
    <w:rsid w:val="08CE5F57"/>
    <w:rsid w:val="08D30F6F"/>
    <w:rsid w:val="08D90E29"/>
    <w:rsid w:val="08D9154E"/>
    <w:rsid w:val="08E14B37"/>
    <w:rsid w:val="08F27AB3"/>
    <w:rsid w:val="08FF68CE"/>
    <w:rsid w:val="09013B9E"/>
    <w:rsid w:val="090533CE"/>
    <w:rsid w:val="09054B66"/>
    <w:rsid w:val="09191619"/>
    <w:rsid w:val="091921DE"/>
    <w:rsid w:val="092E40C6"/>
    <w:rsid w:val="09337079"/>
    <w:rsid w:val="094E62C8"/>
    <w:rsid w:val="095B7F80"/>
    <w:rsid w:val="095D4725"/>
    <w:rsid w:val="09631F99"/>
    <w:rsid w:val="096C5FAA"/>
    <w:rsid w:val="0971318F"/>
    <w:rsid w:val="09794C85"/>
    <w:rsid w:val="098234FA"/>
    <w:rsid w:val="0988360A"/>
    <w:rsid w:val="09897225"/>
    <w:rsid w:val="098B7375"/>
    <w:rsid w:val="09916524"/>
    <w:rsid w:val="09C44D72"/>
    <w:rsid w:val="09CD4367"/>
    <w:rsid w:val="09D55E09"/>
    <w:rsid w:val="09F3529E"/>
    <w:rsid w:val="09FE0F36"/>
    <w:rsid w:val="0A2B5FD3"/>
    <w:rsid w:val="0A364070"/>
    <w:rsid w:val="0A3806F9"/>
    <w:rsid w:val="0A3913BC"/>
    <w:rsid w:val="0A6C5EB5"/>
    <w:rsid w:val="0A8B3CC7"/>
    <w:rsid w:val="0A992387"/>
    <w:rsid w:val="0AB605A7"/>
    <w:rsid w:val="0AC22691"/>
    <w:rsid w:val="0ACE2AE5"/>
    <w:rsid w:val="0AE1696C"/>
    <w:rsid w:val="0AE535FF"/>
    <w:rsid w:val="0AF358DA"/>
    <w:rsid w:val="0AF37FC8"/>
    <w:rsid w:val="0AF63943"/>
    <w:rsid w:val="0B04475C"/>
    <w:rsid w:val="0B070469"/>
    <w:rsid w:val="0B2033CF"/>
    <w:rsid w:val="0B256E6A"/>
    <w:rsid w:val="0B352FEA"/>
    <w:rsid w:val="0B3822BA"/>
    <w:rsid w:val="0B4D3181"/>
    <w:rsid w:val="0B5F67FD"/>
    <w:rsid w:val="0B61078D"/>
    <w:rsid w:val="0B686AE1"/>
    <w:rsid w:val="0B6F1AE3"/>
    <w:rsid w:val="0B7B1081"/>
    <w:rsid w:val="0B7C2D48"/>
    <w:rsid w:val="0B930BAC"/>
    <w:rsid w:val="0BB7224D"/>
    <w:rsid w:val="0BC31C70"/>
    <w:rsid w:val="0BC3254C"/>
    <w:rsid w:val="0BE41F10"/>
    <w:rsid w:val="0BF01C93"/>
    <w:rsid w:val="0C015098"/>
    <w:rsid w:val="0C061359"/>
    <w:rsid w:val="0C073DA8"/>
    <w:rsid w:val="0C0E6008"/>
    <w:rsid w:val="0C2E7511"/>
    <w:rsid w:val="0C430ED7"/>
    <w:rsid w:val="0C544A8E"/>
    <w:rsid w:val="0C7268D6"/>
    <w:rsid w:val="0C7F6FAE"/>
    <w:rsid w:val="0C8B336F"/>
    <w:rsid w:val="0C934199"/>
    <w:rsid w:val="0C973AF0"/>
    <w:rsid w:val="0CBE3643"/>
    <w:rsid w:val="0CE01638"/>
    <w:rsid w:val="0CED2426"/>
    <w:rsid w:val="0D01545B"/>
    <w:rsid w:val="0D053C7B"/>
    <w:rsid w:val="0D425748"/>
    <w:rsid w:val="0D556E44"/>
    <w:rsid w:val="0D5D1DE0"/>
    <w:rsid w:val="0D71794D"/>
    <w:rsid w:val="0D737A72"/>
    <w:rsid w:val="0D865E47"/>
    <w:rsid w:val="0D916DA0"/>
    <w:rsid w:val="0D96563C"/>
    <w:rsid w:val="0DAC0019"/>
    <w:rsid w:val="0DCA50CD"/>
    <w:rsid w:val="0DD72079"/>
    <w:rsid w:val="0DDC7EDB"/>
    <w:rsid w:val="0DE145C2"/>
    <w:rsid w:val="0DE57CBE"/>
    <w:rsid w:val="0E0E4CEC"/>
    <w:rsid w:val="0E346DEB"/>
    <w:rsid w:val="0E354648"/>
    <w:rsid w:val="0E53582A"/>
    <w:rsid w:val="0E5857F2"/>
    <w:rsid w:val="0E665523"/>
    <w:rsid w:val="0E725908"/>
    <w:rsid w:val="0E7F42E0"/>
    <w:rsid w:val="0E960F9C"/>
    <w:rsid w:val="0EA317C9"/>
    <w:rsid w:val="0EA55A1C"/>
    <w:rsid w:val="0EAC3AA7"/>
    <w:rsid w:val="0EAF0ECB"/>
    <w:rsid w:val="0EB14786"/>
    <w:rsid w:val="0EDA6726"/>
    <w:rsid w:val="0EF366AB"/>
    <w:rsid w:val="0EF87BFA"/>
    <w:rsid w:val="0F2A0D86"/>
    <w:rsid w:val="0F54011D"/>
    <w:rsid w:val="0F58517D"/>
    <w:rsid w:val="0F6651E1"/>
    <w:rsid w:val="0F7A611B"/>
    <w:rsid w:val="0F7B7045"/>
    <w:rsid w:val="0F7C5322"/>
    <w:rsid w:val="0F803411"/>
    <w:rsid w:val="0F834ADD"/>
    <w:rsid w:val="0F8802B7"/>
    <w:rsid w:val="0F8C39F9"/>
    <w:rsid w:val="0F94507B"/>
    <w:rsid w:val="0F9948B8"/>
    <w:rsid w:val="0F9A0603"/>
    <w:rsid w:val="0F9B200E"/>
    <w:rsid w:val="0FB32FC6"/>
    <w:rsid w:val="0FBA4E91"/>
    <w:rsid w:val="0FC0438A"/>
    <w:rsid w:val="0FF81F77"/>
    <w:rsid w:val="10047EA8"/>
    <w:rsid w:val="100A7434"/>
    <w:rsid w:val="1015490A"/>
    <w:rsid w:val="10177C9A"/>
    <w:rsid w:val="10316440"/>
    <w:rsid w:val="10347261"/>
    <w:rsid w:val="1040579A"/>
    <w:rsid w:val="10514F5C"/>
    <w:rsid w:val="10566A4F"/>
    <w:rsid w:val="1062289C"/>
    <w:rsid w:val="10680B93"/>
    <w:rsid w:val="106E5257"/>
    <w:rsid w:val="10780C96"/>
    <w:rsid w:val="1082610C"/>
    <w:rsid w:val="109D66FE"/>
    <w:rsid w:val="10AE2D1F"/>
    <w:rsid w:val="10B105BF"/>
    <w:rsid w:val="10D91D07"/>
    <w:rsid w:val="10EA0749"/>
    <w:rsid w:val="10EB3E92"/>
    <w:rsid w:val="1102096A"/>
    <w:rsid w:val="111C4B38"/>
    <w:rsid w:val="112E1732"/>
    <w:rsid w:val="11355024"/>
    <w:rsid w:val="114845A0"/>
    <w:rsid w:val="115E2848"/>
    <w:rsid w:val="115F049A"/>
    <w:rsid w:val="117900F1"/>
    <w:rsid w:val="11826551"/>
    <w:rsid w:val="118C7762"/>
    <w:rsid w:val="11AA4E7C"/>
    <w:rsid w:val="11B61177"/>
    <w:rsid w:val="11D441BE"/>
    <w:rsid w:val="11E1435C"/>
    <w:rsid w:val="12123395"/>
    <w:rsid w:val="122069A7"/>
    <w:rsid w:val="12384370"/>
    <w:rsid w:val="12525142"/>
    <w:rsid w:val="12693B73"/>
    <w:rsid w:val="128258B6"/>
    <w:rsid w:val="12A26E8C"/>
    <w:rsid w:val="12AC06A7"/>
    <w:rsid w:val="12CF7FA9"/>
    <w:rsid w:val="12E44237"/>
    <w:rsid w:val="12E77625"/>
    <w:rsid w:val="12ED1C53"/>
    <w:rsid w:val="13176CA9"/>
    <w:rsid w:val="131D0644"/>
    <w:rsid w:val="13271B5A"/>
    <w:rsid w:val="134709A8"/>
    <w:rsid w:val="135671B4"/>
    <w:rsid w:val="13753E83"/>
    <w:rsid w:val="13AB20A4"/>
    <w:rsid w:val="13B62B55"/>
    <w:rsid w:val="13BA1375"/>
    <w:rsid w:val="13D52CA9"/>
    <w:rsid w:val="13D77945"/>
    <w:rsid w:val="13DF0596"/>
    <w:rsid w:val="13E46105"/>
    <w:rsid w:val="13EC3148"/>
    <w:rsid w:val="140D0726"/>
    <w:rsid w:val="140D0D8A"/>
    <w:rsid w:val="140E2D83"/>
    <w:rsid w:val="140E35DD"/>
    <w:rsid w:val="14101344"/>
    <w:rsid w:val="14253498"/>
    <w:rsid w:val="146444A2"/>
    <w:rsid w:val="146A1830"/>
    <w:rsid w:val="14737202"/>
    <w:rsid w:val="147C4E13"/>
    <w:rsid w:val="14883487"/>
    <w:rsid w:val="148A1DA1"/>
    <w:rsid w:val="14976F97"/>
    <w:rsid w:val="14A576F9"/>
    <w:rsid w:val="14BA6316"/>
    <w:rsid w:val="14C02751"/>
    <w:rsid w:val="14C30424"/>
    <w:rsid w:val="14EF2801"/>
    <w:rsid w:val="14FD618D"/>
    <w:rsid w:val="15006C62"/>
    <w:rsid w:val="151D68BF"/>
    <w:rsid w:val="15363AF6"/>
    <w:rsid w:val="1538575E"/>
    <w:rsid w:val="154C3524"/>
    <w:rsid w:val="158074DF"/>
    <w:rsid w:val="15886E49"/>
    <w:rsid w:val="158E52B2"/>
    <w:rsid w:val="158E6E33"/>
    <w:rsid w:val="15945DA2"/>
    <w:rsid w:val="159F6BD8"/>
    <w:rsid w:val="15A3726C"/>
    <w:rsid w:val="15AF5138"/>
    <w:rsid w:val="15B623C7"/>
    <w:rsid w:val="15D30F9D"/>
    <w:rsid w:val="15FD2943"/>
    <w:rsid w:val="16093942"/>
    <w:rsid w:val="162D6C27"/>
    <w:rsid w:val="16345EC4"/>
    <w:rsid w:val="163520E5"/>
    <w:rsid w:val="16366C35"/>
    <w:rsid w:val="164472D1"/>
    <w:rsid w:val="166E6C6E"/>
    <w:rsid w:val="16721751"/>
    <w:rsid w:val="16763519"/>
    <w:rsid w:val="167C137E"/>
    <w:rsid w:val="168A173A"/>
    <w:rsid w:val="16920F4A"/>
    <w:rsid w:val="16955BE7"/>
    <w:rsid w:val="16A000B6"/>
    <w:rsid w:val="16BB4489"/>
    <w:rsid w:val="16E00921"/>
    <w:rsid w:val="16EA2888"/>
    <w:rsid w:val="16F02DDC"/>
    <w:rsid w:val="16F03124"/>
    <w:rsid w:val="17003F3D"/>
    <w:rsid w:val="170054DF"/>
    <w:rsid w:val="17052EB4"/>
    <w:rsid w:val="17136B26"/>
    <w:rsid w:val="171B01AB"/>
    <w:rsid w:val="173355DF"/>
    <w:rsid w:val="1734126A"/>
    <w:rsid w:val="173C2A35"/>
    <w:rsid w:val="17560C9F"/>
    <w:rsid w:val="177121B3"/>
    <w:rsid w:val="177B41A5"/>
    <w:rsid w:val="17A968DD"/>
    <w:rsid w:val="17C73826"/>
    <w:rsid w:val="17CD3DAC"/>
    <w:rsid w:val="17F6341A"/>
    <w:rsid w:val="18210B09"/>
    <w:rsid w:val="18283F1F"/>
    <w:rsid w:val="182A7775"/>
    <w:rsid w:val="18366D44"/>
    <w:rsid w:val="183C0300"/>
    <w:rsid w:val="18433F0E"/>
    <w:rsid w:val="18580F70"/>
    <w:rsid w:val="18637BC1"/>
    <w:rsid w:val="187C4742"/>
    <w:rsid w:val="188425B9"/>
    <w:rsid w:val="1892379C"/>
    <w:rsid w:val="189B2F56"/>
    <w:rsid w:val="189C2363"/>
    <w:rsid w:val="18A41077"/>
    <w:rsid w:val="18CD3B51"/>
    <w:rsid w:val="18CD4115"/>
    <w:rsid w:val="18CF273C"/>
    <w:rsid w:val="18D14254"/>
    <w:rsid w:val="18D646FE"/>
    <w:rsid w:val="18E27712"/>
    <w:rsid w:val="18E80702"/>
    <w:rsid w:val="18EA66D6"/>
    <w:rsid w:val="18F22FDA"/>
    <w:rsid w:val="190D5FD0"/>
    <w:rsid w:val="192A0F20"/>
    <w:rsid w:val="19441340"/>
    <w:rsid w:val="194B04D5"/>
    <w:rsid w:val="19543B11"/>
    <w:rsid w:val="197B3482"/>
    <w:rsid w:val="19880053"/>
    <w:rsid w:val="19B47ADA"/>
    <w:rsid w:val="19B54DBA"/>
    <w:rsid w:val="19BB0C90"/>
    <w:rsid w:val="19C40ACC"/>
    <w:rsid w:val="19D06628"/>
    <w:rsid w:val="19DA4A88"/>
    <w:rsid w:val="19DD523C"/>
    <w:rsid w:val="19E36981"/>
    <w:rsid w:val="19F62BE1"/>
    <w:rsid w:val="19FB3B10"/>
    <w:rsid w:val="1A1D4FAA"/>
    <w:rsid w:val="1A2C4110"/>
    <w:rsid w:val="1A4542E3"/>
    <w:rsid w:val="1A583F2F"/>
    <w:rsid w:val="1A822378"/>
    <w:rsid w:val="1A8D1446"/>
    <w:rsid w:val="1A966115"/>
    <w:rsid w:val="1A990672"/>
    <w:rsid w:val="1A9939C5"/>
    <w:rsid w:val="1AA1247A"/>
    <w:rsid w:val="1AAB1F7D"/>
    <w:rsid w:val="1ABC6DAA"/>
    <w:rsid w:val="1AFA66C0"/>
    <w:rsid w:val="1B2270A5"/>
    <w:rsid w:val="1B614E11"/>
    <w:rsid w:val="1B64059C"/>
    <w:rsid w:val="1B6544B6"/>
    <w:rsid w:val="1B7056CA"/>
    <w:rsid w:val="1BA938B7"/>
    <w:rsid w:val="1BAA2D6A"/>
    <w:rsid w:val="1BB142A1"/>
    <w:rsid w:val="1BC60862"/>
    <w:rsid w:val="1BD342FF"/>
    <w:rsid w:val="1BDF1692"/>
    <w:rsid w:val="1BEB04BE"/>
    <w:rsid w:val="1BF03C75"/>
    <w:rsid w:val="1BF744A8"/>
    <w:rsid w:val="1BF868F3"/>
    <w:rsid w:val="1C117405"/>
    <w:rsid w:val="1C1E3768"/>
    <w:rsid w:val="1C313F58"/>
    <w:rsid w:val="1C3723CC"/>
    <w:rsid w:val="1C3C19E5"/>
    <w:rsid w:val="1C4F50F7"/>
    <w:rsid w:val="1C58105C"/>
    <w:rsid w:val="1C601E9B"/>
    <w:rsid w:val="1C6A71E6"/>
    <w:rsid w:val="1C784344"/>
    <w:rsid w:val="1C842A4A"/>
    <w:rsid w:val="1C8F1D3B"/>
    <w:rsid w:val="1C9161F6"/>
    <w:rsid w:val="1CA90754"/>
    <w:rsid w:val="1CDC113B"/>
    <w:rsid w:val="1CDC2806"/>
    <w:rsid w:val="1CDE5D17"/>
    <w:rsid w:val="1CE33844"/>
    <w:rsid w:val="1CE36E3C"/>
    <w:rsid w:val="1CE6433F"/>
    <w:rsid w:val="1CEC0E57"/>
    <w:rsid w:val="1CF34DBA"/>
    <w:rsid w:val="1CF705F1"/>
    <w:rsid w:val="1D045EF7"/>
    <w:rsid w:val="1D234F05"/>
    <w:rsid w:val="1D242450"/>
    <w:rsid w:val="1D2B13DD"/>
    <w:rsid w:val="1D2C3174"/>
    <w:rsid w:val="1D2D6725"/>
    <w:rsid w:val="1D380212"/>
    <w:rsid w:val="1D38600B"/>
    <w:rsid w:val="1D557ACB"/>
    <w:rsid w:val="1D631203"/>
    <w:rsid w:val="1D69358C"/>
    <w:rsid w:val="1D717C9F"/>
    <w:rsid w:val="1D723C63"/>
    <w:rsid w:val="1D91351A"/>
    <w:rsid w:val="1D96660A"/>
    <w:rsid w:val="1DA50775"/>
    <w:rsid w:val="1DC50E96"/>
    <w:rsid w:val="1DD217EF"/>
    <w:rsid w:val="1DD33260"/>
    <w:rsid w:val="1DE31CD9"/>
    <w:rsid w:val="1DEE71BF"/>
    <w:rsid w:val="1DEF2BAE"/>
    <w:rsid w:val="1E341240"/>
    <w:rsid w:val="1E450B96"/>
    <w:rsid w:val="1E6A7535"/>
    <w:rsid w:val="1E713A47"/>
    <w:rsid w:val="1E7B1159"/>
    <w:rsid w:val="1E915625"/>
    <w:rsid w:val="1E920BAC"/>
    <w:rsid w:val="1EC328FF"/>
    <w:rsid w:val="1EE751E6"/>
    <w:rsid w:val="1EEB28A6"/>
    <w:rsid w:val="1EF71E98"/>
    <w:rsid w:val="1EF92428"/>
    <w:rsid w:val="1F0A2FBF"/>
    <w:rsid w:val="1F157199"/>
    <w:rsid w:val="1F165F79"/>
    <w:rsid w:val="1F255B50"/>
    <w:rsid w:val="1F2601F5"/>
    <w:rsid w:val="1F5801FE"/>
    <w:rsid w:val="1F6850AA"/>
    <w:rsid w:val="1F7B77BF"/>
    <w:rsid w:val="1F810C13"/>
    <w:rsid w:val="1F8C6603"/>
    <w:rsid w:val="1F911F5D"/>
    <w:rsid w:val="1FB33EEE"/>
    <w:rsid w:val="1FBE28CB"/>
    <w:rsid w:val="1FD0772F"/>
    <w:rsid w:val="1FE26C93"/>
    <w:rsid w:val="1FFC558A"/>
    <w:rsid w:val="1FFD79DB"/>
    <w:rsid w:val="20014A46"/>
    <w:rsid w:val="200B5FF7"/>
    <w:rsid w:val="20185BB2"/>
    <w:rsid w:val="202826B5"/>
    <w:rsid w:val="20287F49"/>
    <w:rsid w:val="20322016"/>
    <w:rsid w:val="2033217B"/>
    <w:rsid w:val="20370D25"/>
    <w:rsid w:val="20465B65"/>
    <w:rsid w:val="209871D9"/>
    <w:rsid w:val="209D5FA9"/>
    <w:rsid w:val="20A90ED9"/>
    <w:rsid w:val="20AA2953"/>
    <w:rsid w:val="20EE6847"/>
    <w:rsid w:val="20F257B0"/>
    <w:rsid w:val="20FA0502"/>
    <w:rsid w:val="210013E4"/>
    <w:rsid w:val="210478E9"/>
    <w:rsid w:val="21092DEA"/>
    <w:rsid w:val="211847EE"/>
    <w:rsid w:val="211B1097"/>
    <w:rsid w:val="213C308D"/>
    <w:rsid w:val="21536786"/>
    <w:rsid w:val="21577661"/>
    <w:rsid w:val="215B1504"/>
    <w:rsid w:val="215F7EC9"/>
    <w:rsid w:val="216968AA"/>
    <w:rsid w:val="21727811"/>
    <w:rsid w:val="21772FDD"/>
    <w:rsid w:val="218F6427"/>
    <w:rsid w:val="2192381F"/>
    <w:rsid w:val="21C07823"/>
    <w:rsid w:val="21C77377"/>
    <w:rsid w:val="21D720E1"/>
    <w:rsid w:val="21F1280B"/>
    <w:rsid w:val="21F145CB"/>
    <w:rsid w:val="220236CD"/>
    <w:rsid w:val="220271CB"/>
    <w:rsid w:val="22092969"/>
    <w:rsid w:val="22207A93"/>
    <w:rsid w:val="22245217"/>
    <w:rsid w:val="22455FDE"/>
    <w:rsid w:val="227361BD"/>
    <w:rsid w:val="227673ED"/>
    <w:rsid w:val="22784241"/>
    <w:rsid w:val="2281087E"/>
    <w:rsid w:val="22A17BDA"/>
    <w:rsid w:val="22A55FFE"/>
    <w:rsid w:val="22B55064"/>
    <w:rsid w:val="22C556FA"/>
    <w:rsid w:val="22CE59CF"/>
    <w:rsid w:val="22CE5C34"/>
    <w:rsid w:val="22CE7500"/>
    <w:rsid w:val="22D6773F"/>
    <w:rsid w:val="22E545E2"/>
    <w:rsid w:val="23123759"/>
    <w:rsid w:val="231E77F7"/>
    <w:rsid w:val="231F003B"/>
    <w:rsid w:val="232127FC"/>
    <w:rsid w:val="23416018"/>
    <w:rsid w:val="2348776F"/>
    <w:rsid w:val="235931D7"/>
    <w:rsid w:val="23656A73"/>
    <w:rsid w:val="2367517A"/>
    <w:rsid w:val="236E3B54"/>
    <w:rsid w:val="237C118B"/>
    <w:rsid w:val="237D18AB"/>
    <w:rsid w:val="23A44E71"/>
    <w:rsid w:val="23AD1D64"/>
    <w:rsid w:val="23B06688"/>
    <w:rsid w:val="23BE789E"/>
    <w:rsid w:val="23C24B8E"/>
    <w:rsid w:val="23C33344"/>
    <w:rsid w:val="23C71A06"/>
    <w:rsid w:val="23D9633B"/>
    <w:rsid w:val="23E05F19"/>
    <w:rsid w:val="23E36F30"/>
    <w:rsid w:val="23E85D32"/>
    <w:rsid w:val="23EF674A"/>
    <w:rsid w:val="240D2DF9"/>
    <w:rsid w:val="242808C1"/>
    <w:rsid w:val="242A4FDE"/>
    <w:rsid w:val="243B13FE"/>
    <w:rsid w:val="244047A2"/>
    <w:rsid w:val="24704BAB"/>
    <w:rsid w:val="247066C2"/>
    <w:rsid w:val="248234CA"/>
    <w:rsid w:val="248911D8"/>
    <w:rsid w:val="248C6671"/>
    <w:rsid w:val="248F5D2F"/>
    <w:rsid w:val="24901D28"/>
    <w:rsid w:val="2493464D"/>
    <w:rsid w:val="249B7514"/>
    <w:rsid w:val="24A31F55"/>
    <w:rsid w:val="24B534F9"/>
    <w:rsid w:val="24BA6E70"/>
    <w:rsid w:val="24C46992"/>
    <w:rsid w:val="24C87F64"/>
    <w:rsid w:val="24C946A4"/>
    <w:rsid w:val="24E46364"/>
    <w:rsid w:val="24FD5D0D"/>
    <w:rsid w:val="24FE3D03"/>
    <w:rsid w:val="25023E5A"/>
    <w:rsid w:val="250771AE"/>
    <w:rsid w:val="250C6043"/>
    <w:rsid w:val="251B5B1C"/>
    <w:rsid w:val="252353E9"/>
    <w:rsid w:val="256E444B"/>
    <w:rsid w:val="25767D63"/>
    <w:rsid w:val="257B0EF7"/>
    <w:rsid w:val="25891084"/>
    <w:rsid w:val="25931D16"/>
    <w:rsid w:val="25A50561"/>
    <w:rsid w:val="25AB06BC"/>
    <w:rsid w:val="25BA6F96"/>
    <w:rsid w:val="25BA798B"/>
    <w:rsid w:val="25C312B1"/>
    <w:rsid w:val="25EE67FB"/>
    <w:rsid w:val="25EE7FDC"/>
    <w:rsid w:val="25FE2472"/>
    <w:rsid w:val="26044B9A"/>
    <w:rsid w:val="26071AC5"/>
    <w:rsid w:val="260E297A"/>
    <w:rsid w:val="261D264C"/>
    <w:rsid w:val="26401C1A"/>
    <w:rsid w:val="26604005"/>
    <w:rsid w:val="266560FD"/>
    <w:rsid w:val="267C15BA"/>
    <w:rsid w:val="26DB0207"/>
    <w:rsid w:val="26DB3696"/>
    <w:rsid w:val="26EB07BC"/>
    <w:rsid w:val="26F44CFF"/>
    <w:rsid w:val="26F452E6"/>
    <w:rsid w:val="26FF0BC5"/>
    <w:rsid w:val="270654EF"/>
    <w:rsid w:val="27084838"/>
    <w:rsid w:val="27310547"/>
    <w:rsid w:val="275C3182"/>
    <w:rsid w:val="276E71F5"/>
    <w:rsid w:val="2779434A"/>
    <w:rsid w:val="277C259A"/>
    <w:rsid w:val="279430E8"/>
    <w:rsid w:val="27D86AFB"/>
    <w:rsid w:val="27E72640"/>
    <w:rsid w:val="27F559CD"/>
    <w:rsid w:val="282D5DCE"/>
    <w:rsid w:val="283952B1"/>
    <w:rsid w:val="283D479A"/>
    <w:rsid w:val="28446158"/>
    <w:rsid w:val="28483672"/>
    <w:rsid w:val="28540767"/>
    <w:rsid w:val="28627E39"/>
    <w:rsid w:val="287A733F"/>
    <w:rsid w:val="288660DF"/>
    <w:rsid w:val="289C7703"/>
    <w:rsid w:val="28B03852"/>
    <w:rsid w:val="28B37871"/>
    <w:rsid w:val="28B47BEC"/>
    <w:rsid w:val="28B7076C"/>
    <w:rsid w:val="28BE6004"/>
    <w:rsid w:val="28C45AAD"/>
    <w:rsid w:val="28DA1206"/>
    <w:rsid w:val="28E82769"/>
    <w:rsid w:val="28EF08CE"/>
    <w:rsid w:val="28F3551B"/>
    <w:rsid w:val="28F7323C"/>
    <w:rsid w:val="290B7EF6"/>
    <w:rsid w:val="290E426B"/>
    <w:rsid w:val="29101930"/>
    <w:rsid w:val="29234D4C"/>
    <w:rsid w:val="2925160E"/>
    <w:rsid w:val="292A5A05"/>
    <w:rsid w:val="292E1B2F"/>
    <w:rsid w:val="296E10EA"/>
    <w:rsid w:val="298512BD"/>
    <w:rsid w:val="298564F2"/>
    <w:rsid w:val="298904A5"/>
    <w:rsid w:val="298A3D83"/>
    <w:rsid w:val="29A25345"/>
    <w:rsid w:val="29AF0170"/>
    <w:rsid w:val="29B94147"/>
    <w:rsid w:val="29BA5260"/>
    <w:rsid w:val="29BC68D8"/>
    <w:rsid w:val="29D27DBE"/>
    <w:rsid w:val="29D51EFC"/>
    <w:rsid w:val="29E43E27"/>
    <w:rsid w:val="29FF35BF"/>
    <w:rsid w:val="2A0A388A"/>
    <w:rsid w:val="2A0E25F0"/>
    <w:rsid w:val="2A1A4445"/>
    <w:rsid w:val="2A254791"/>
    <w:rsid w:val="2A341629"/>
    <w:rsid w:val="2A5B4786"/>
    <w:rsid w:val="2A5C72C1"/>
    <w:rsid w:val="2A721261"/>
    <w:rsid w:val="2A760DCE"/>
    <w:rsid w:val="2A971508"/>
    <w:rsid w:val="2AA523BD"/>
    <w:rsid w:val="2AAD7082"/>
    <w:rsid w:val="2AAF3C50"/>
    <w:rsid w:val="2ABB620B"/>
    <w:rsid w:val="2ADA4EDD"/>
    <w:rsid w:val="2B06718A"/>
    <w:rsid w:val="2B0B4898"/>
    <w:rsid w:val="2B144A8B"/>
    <w:rsid w:val="2B341ECA"/>
    <w:rsid w:val="2B390BC5"/>
    <w:rsid w:val="2B50079D"/>
    <w:rsid w:val="2B5B700C"/>
    <w:rsid w:val="2B773E15"/>
    <w:rsid w:val="2B7E0350"/>
    <w:rsid w:val="2B8F5EC4"/>
    <w:rsid w:val="2BB204CC"/>
    <w:rsid w:val="2BBA6714"/>
    <w:rsid w:val="2BC037B5"/>
    <w:rsid w:val="2BDE0100"/>
    <w:rsid w:val="2BDE7248"/>
    <w:rsid w:val="2BE01114"/>
    <w:rsid w:val="2BEA2427"/>
    <w:rsid w:val="2BF21035"/>
    <w:rsid w:val="2BFF5B97"/>
    <w:rsid w:val="2C0143EB"/>
    <w:rsid w:val="2C0C597A"/>
    <w:rsid w:val="2C2E1393"/>
    <w:rsid w:val="2C31325B"/>
    <w:rsid w:val="2C342673"/>
    <w:rsid w:val="2C3A6C15"/>
    <w:rsid w:val="2C3B43AE"/>
    <w:rsid w:val="2C3F7D91"/>
    <w:rsid w:val="2C4674A5"/>
    <w:rsid w:val="2C533435"/>
    <w:rsid w:val="2C536D0F"/>
    <w:rsid w:val="2C5937FC"/>
    <w:rsid w:val="2C624A06"/>
    <w:rsid w:val="2C7825F8"/>
    <w:rsid w:val="2C9143D1"/>
    <w:rsid w:val="2C9324DE"/>
    <w:rsid w:val="2C9550F7"/>
    <w:rsid w:val="2C996C2C"/>
    <w:rsid w:val="2CA217CC"/>
    <w:rsid w:val="2CAD73F8"/>
    <w:rsid w:val="2CCF769A"/>
    <w:rsid w:val="2CD47978"/>
    <w:rsid w:val="2CD6527D"/>
    <w:rsid w:val="2CFD0F9C"/>
    <w:rsid w:val="2D22579E"/>
    <w:rsid w:val="2D2D40C8"/>
    <w:rsid w:val="2D2F49EC"/>
    <w:rsid w:val="2D314A7F"/>
    <w:rsid w:val="2D3931B1"/>
    <w:rsid w:val="2D54448C"/>
    <w:rsid w:val="2D645FC6"/>
    <w:rsid w:val="2D7256B6"/>
    <w:rsid w:val="2D7518A9"/>
    <w:rsid w:val="2D8072D1"/>
    <w:rsid w:val="2D831216"/>
    <w:rsid w:val="2DBA4E14"/>
    <w:rsid w:val="2DD918F6"/>
    <w:rsid w:val="2DD92C10"/>
    <w:rsid w:val="2DED7543"/>
    <w:rsid w:val="2DEE4ECB"/>
    <w:rsid w:val="2DEF6EE0"/>
    <w:rsid w:val="2DF85D24"/>
    <w:rsid w:val="2E1A68F1"/>
    <w:rsid w:val="2E2A7AE6"/>
    <w:rsid w:val="2E2F6B46"/>
    <w:rsid w:val="2E4407DA"/>
    <w:rsid w:val="2E4A6ACA"/>
    <w:rsid w:val="2E4C39BA"/>
    <w:rsid w:val="2E58498A"/>
    <w:rsid w:val="2E6234A6"/>
    <w:rsid w:val="2E8C5593"/>
    <w:rsid w:val="2EA84BA9"/>
    <w:rsid w:val="2EAD663D"/>
    <w:rsid w:val="2EB516E3"/>
    <w:rsid w:val="2EC4048B"/>
    <w:rsid w:val="2EC81012"/>
    <w:rsid w:val="2ECC032B"/>
    <w:rsid w:val="2EE45585"/>
    <w:rsid w:val="2EEE53D7"/>
    <w:rsid w:val="2EF25C04"/>
    <w:rsid w:val="2EF92C31"/>
    <w:rsid w:val="2EF93B85"/>
    <w:rsid w:val="2EFD43AF"/>
    <w:rsid w:val="2F246396"/>
    <w:rsid w:val="2F2971AE"/>
    <w:rsid w:val="2F2D22F7"/>
    <w:rsid w:val="2F33151E"/>
    <w:rsid w:val="2F3B26FE"/>
    <w:rsid w:val="2F401071"/>
    <w:rsid w:val="2F4B502E"/>
    <w:rsid w:val="2F5A1E72"/>
    <w:rsid w:val="2F5D414B"/>
    <w:rsid w:val="2F79201A"/>
    <w:rsid w:val="2F7A1C57"/>
    <w:rsid w:val="2F7E200D"/>
    <w:rsid w:val="2F7F407A"/>
    <w:rsid w:val="2F980C18"/>
    <w:rsid w:val="2F9B30E7"/>
    <w:rsid w:val="2F9E12FD"/>
    <w:rsid w:val="2FAF3A53"/>
    <w:rsid w:val="2FBC093B"/>
    <w:rsid w:val="2FBF0E23"/>
    <w:rsid w:val="2FC90572"/>
    <w:rsid w:val="2FDE0A3E"/>
    <w:rsid w:val="2FE6331E"/>
    <w:rsid w:val="30064D4D"/>
    <w:rsid w:val="302B78E9"/>
    <w:rsid w:val="30402529"/>
    <w:rsid w:val="30431118"/>
    <w:rsid w:val="304641E0"/>
    <w:rsid w:val="30581914"/>
    <w:rsid w:val="30675884"/>
    <w:rsid w:val="30683988"/>
    <w:rsid w:val="306A4EEF"/>
    <w:rsid w:val="30871A7B"/>
    <w:rsid w:val="309175AD"/>
    <w:rsid w:val="309E7CDB"/>
    <w:rsid w:val="30AF5295"/>
    <w:rsid w:val="30B4172B"/>
    <w:rsid w:val="30D21E7D"/>
    <w:rsid w:val="30FD6D15"/>
    <w:rsid w:val="30FF67FC"/>
    <w:rsid w:val="3108072F"/>
    <w:rsid w:val="31162614"/>
    <w:rsid w:val="31302136"/>
    <w:rsid w:val="31337E4F"/>
    <w:rsid w:val="31386CB8"/>
    <w:rsid w:val="314C1FCE"/>
    <w:rsid w:val="31574888"/>
    <w:rsid w:val="315C5F92"/>
    <w:rsid w:val="31694642"/>
    <w:rsid w:val="3176556D"/>
    <w:rsid w:val="318131F6"/>
    <w:rsid w:val="318D2EAA"/>
    <w:rsid w:val="319306FD"/>
    <w:rsid w:val="31A669B6"/>
    <w:rsid w:val="31AA22F5"/>
    <w:rsid w:val="31AB1567"/>
    <w:rsid w:val="31B414D2"/>
    <w:rsid w:val="31BB6D7C"/>
    <w:rsid w:val="31D51036"/>
    <w:rsid w:val="31D955D2"/>
    <w:rsid w:val="31F44DCD"/>
    <w:rsid w:val="32036D5B"/>
    <w:rsid w:val="32212DBD"/>
    <w:rsid w:val="322234CC"/>
    <w:rsid w:val="32342E82"/>
    <w:rsid w:val="323820B5"/>
    <w:rsid w:val="32391655"/>
    <w:rsid w:val="323B158E"/>
    <w:rsid w:val="324F7E1F"/>
    <w:rsid w:val="32605307"/>
    <w:rsid w:val="3271293C"/>
    <w:rsid w:val="327E6376"/>
    <w:rsid w:val="32830A02"/>
    <w:rsid w:val="32837AD3"/>
    <w:rsid w:val="328C2CDD"/>
    <w:rsid w:val="32F44FBA"/>
    <w:rsid w:val="32FE7797"/>
    <w:rsid w:val="330F090D"/>
    <w:rsid w:val="33126893"/>
    <w:rsid w:val="33175926"/>
    <w:rsid w:val="332E54DD"/>
    <w:rsid w:val="334E6346"/>
    <w:rsid w:val="33607DE8"/>
    <w:rsid w:val="336F3D51"/>
    <w:rsid w:val="3388076F"/>
    <w:rsid w:val="33AC1934"/>
    <w:rsid w:val="33B40130"/>
    <w:rsid w:val="33C12374"/>
    <w:rsid w:val="33C474C2"/>
    <w:rsid w:val="33C60D42"/>
    <w:rsid w:val="33DE0536"/>
    <w:rsid w:val="33E43868"/>
    <w:rsid w:val="33E737D0"/>
    <w:rsid w:val="33F315B8"/>
    <w:rsid w:val="33F66167"/>
    <w:rsid w:val="340B3AB6"/>
    <w:rsid w:val="3410003E"/>
    <w:rsid w:val="341A5109"/>
    <w:rsid w:val="34207A1D"/>
    <w:rsid w:val="342C2A69"/>
    <w:rsid w:val="342E1A34"/>
    <w:rsid w:val="342F6611"/>
    <w:rsid w:val="34341B3D"/>
    <w:rsid w:val="344D3EBD"/>
    <w:rsid w:val="34500DC0"/>
    <w:rsid w:val="3458423E"/>
    <w:rsid w:val="347178C0"/>
    <w:rsid w:val="347327F6"/>
    <w:rsid w:val="3485720E"/>
    <w:rsid w:val="348854F7"/>
    <w:rsid w:val="34922AD1"/>
    <w:rsid w:val="34942160"/>
    <w:rsid w:val="34947BA2"/>
    <w:rsid w:val="349810CD"/>
    <w:rsid w:val="349A08C1"/>
    <w:rsid w:val="34B72581"/>
    <w:rsid w:val="34D879D3"/>
    <w:rsid w:val="34DF2E4C"/>
    <w:rsid w:val="34EA27E1"/>
    <w:rsid w:val="351E5B0B"/>
    <w:rsid w:val="352F661F"/>
    <w:rsid w:val="35337E8D"/>
    <w:rsid w:val="35377D8E"/>
    <w:rsid w:val="353E2E3E"/>
    <w:rsid w:val="35515080"/>
    <w:rsid w:val="355348FD"/>
    <w:rsid w:val="356F75E0"/>
    <w:rsid w:val="357A4237"/>
    <w:rsid w:val="35884F44"/>
    <w:rsid w:val="359454B4"/>
    <w:rsid w:val="359A60EB"/>
    <w:rsid w:val="359D7DEF"/>
    <w:rsid w:val="35A67A03"/>
    <w:rsid w:val="35B47ED4"/>
    <w:rsid w:val="35B54C98"/>
    <w:rsid w:val="35EC0F44"/>
    <w:rsid w:val="35F131F0"/>
    <w:rsid w:val="35F95C90"/>
    <w:rsid w:val="36254D26"/>
    <w:rsid w:val="36290073"/>
    <w:rsid w:val="362A318D"/>
    <w:rsid w:val="363526EB"/>
    <w:rsid w:val="3645642E"/>
    <w:rsid w:val="36516D65"/>
    <w:rsid w:val="36520987"/>
    <w:rsid w:val="36621DE7"/>
    <w:rsid w:val="3670257F"/>
    <w:rsid w:val="3678287C"/>
    <w:rsid w:val="36834320"/>
    <w:rsid w:val="368656F5"/>
    <w:rsid w:val="36B56D94"/>
    <w:rsid w:val="36CC206B"/>
    <w:rsid w:val="36D06513"/>
    <w:rsid w:val="36DB1816"/>
    <w:rsid w:val="36E5527B"/>
    <w:rsid w:val="3704267D"/>
    <w:rsid w:val="3723296C"/>
    <w:rsid w:val="373E710C"/>
    <w:rsid w:val="37607DF3"/>
    <w:rsid w:val="37925893"/>
    <w:rsid w:val="379C7F45"/>
    <w:rsid w:val="37AB2BA4"/>
    <w:rsid w:val="37B30E76"/>
    <w:rsid w:val="37BA755E"/>
    <w:rsid w:val="37F044AD"/>
    <w:rsid w:val="380C027D"/>
    <w:rsid w:val="380D6610"/>
    <w:rsid w:val="382219F1"/>
    <w:rsid w:val="38243CE4"/>
    <w:rsid w:val="383224F6"/>
    <w:rsid w:val="383D0605"/>
    <w:rsid w:val="38436C8C"/>
    <w:rsid w:val="38500303"/>
    <w:rsid w:val="386958C0"/>
    <w:rsid w:val="38753BC1"/>
    <w:rsid w:val="38A34039"/>
    <w:rsid w:val="38B91BDC"/>
    <w:rsid w:val="390E278D"/>
    <w:rsid w:val="391337DF"/>
    <w:rsid w:val="393E78FE"/>
    <w:rsid w:val="39587913"/>
    <w:rsid w:val="395C36BB"/>
    <w:rsid w:val="396041B9"/>
    <w:rsid w:val="39677E47"/>
    <w:rsid w:val="398B354A"/>
    <w:rsid w:val="39986235"/>
    <w:rsid w:val="39A25396"/>
    <w:rsid w:val="39B06382"/>
    <w:rsid w:val="39B3742C"/>
    <w:rsid w:val="39C2487C"/>
    <w:rsid w:val="39D20DD7"/>
    <w:rsid w:val="39D64BEE"/>
    <w:rsid w:val="39DE52ED"/>
    <w:rsid w:val="39F848A2"/>
    <w:rsid w:val="3A02592E"/>
    <w:rsid w:val="3A167675"/>
    <w:rsid w:val="3A174297"/>
    <w:rsid w:val="3A1A4C10"/>
    <w:rsid w:val="3A405364"/>
    <w:rsid w:val="3A48091F"/>
    <w:rsid w:val="3A6232F5"/>
    <w:rsid w:val="3A7925DF"/>
    <w:rsid w:val="3A7B3891"/>
    <w:rsid w:val="3A8761BD"/>
    <w:rsid w:val="3A8E2F46"/>
    <w:rsid w:val="3A9D5D25"/>
    <w:rsid w:val="3A9F2675"/>
    <w:rsid w:val="3AB51F52"/>
    <w:rsid w:val="3AF83382"/>
    <w:rsid w:val="3B016B31"/>
    <w:rsid w:val="3B2008C0"/>
    <w:rsid w:val="3B2F6CF5"/>
    <w:rsid w:val="3B2F6D67"/>
    <w:rsid w:val="3B3807C9"/>
    <w:rsid w:val="3B3A0D48"/>
    <w:rsid w:val="3B691D17"/>
    <w:rsid w:val="3B7F304E"/>
    <w:rsid w:val="3B812A1A"/>
    <w:rsid w:val="3BB2308F"/>
    <w:rsid w:val="3BBA0DFC"/>
    <w:rsid w:val="3BC02A5A"/>
    <w:rsid w:val="3BEF499D"/>
    <w:rsid w:val="3BF20F0A"/>
    <w:rsid w:val="3BFE681F"/>
    <w:rsid w:val="3C074DB3"/>
    <w:rsid w:val="3C1969E1"/>
    <w:rsid w:val="3C267876"/>
    <w:rsid w:val="3C4E5022"/>
    <w:rsid w:val="3C6233FE"/>
    <w:rsid w:val="3C650AA8"/>
    <w:rsid w:val="3C656145"/>
    <w:rsid w:val="3C673486"/>
    <w:rsid w:val="3C69686E"/>
    <w:rsid w:val="3C6B4794"/>
    <w:rsid w:val="3C784B37"/>
    <w:rsid w:val="3C8B4560"/>
    <w:rsid w:val="3C9173CB"/>
    <w:rsid w:val="3C924CD8"/>
    <w:rsid w:val="3C965FCF"/>
    <w:rsid w:val="3CAC1CC6"/>
    <w:rsid w:val="3CAD4342"/>
    <w:rsid w:val="3CC6094B"/>
    <w:rsid w:val="3CD24288"/>
    <w:rsid w:val="3CD85B67"/>
    <w:rsid w:val="3CDB19A8"/>
    <w:rsid w:val="3CE5039A"/>
    <w:rsid w:val="3CF7180C"/>
    <w:rsid w:val="3D1A1F7D"/>
    <w:rsid w:val="3D1A347C"/>
    <w:rsid w:val="3D1D6EA8"/>
    <w:rsid w:val="3D3D5D96"/>
    <w:rsid w:val="3D4865E8"/>
    <w:rsid w:val="3D6B6798"/>
    <w:rsid w:val="3D7C3C43"/>
    <w:rsid w:val="3D866CC1"/>
    <w:rsid w:val="3D9E1C8E"/>
    <w:rsid w:val="3DA80A44"/>
    <w:rsid w:val="3DAE66C6"/>
    <w:rsid w:val="3DBA585B"/>
    <w:rsid w:val="3DF72A40"/>
    <w:rsid w:val="3DFE2575"/>
    <w:rsid w:val="3E17015D"/>
    <w:rsid w:val="3E1E0972"/>
    <w:rsid w:val="3E637CD1"/>
    <w:rsid w:val="3E6C46A5"/>
    <w:rsid w:val="3E7721E8"/>
    <w:rsid w:val="3E8B0366"/>
    <w:rsid w:val="3E904857"/>
    <w:rsid w:val="3ED90702"/>
    <w:rsid w:val="3EEF4003"/>
    <w:rsid w:val="3F1B6C62"/>
    <w:rsid w:val="3F1C243C"/>
    <w:rsid w:val="3F202A5A"/>
    <w:rsid w:val="3F2656D6"/>
    <w:rsid w:val="3F2A5CDC"/>
    <w:rsid w:val="3F32244E"/>
    <w:rsid w:val="3F3E6492"/>
    <w:rsid w:val="3F4634DD"/>
    <w:rsid w:val="3F537E6D"/>
    <w:rsid w:val="3F583BAB"/>
    <w:rsid w:val="3F631167"/>
    <w:rsid w:val="3F6B67DC"/>
    <w:rsid w:val="3F6F14A2"/>
    <w:rsid w:val="3F700D4C"/>
    <w:rsid w:val="3F7B666D"/>
    <w:rsid w:val="3F8F26E6"/>
    <w:rsid w:val="3F9636F7"/>
    <w:rsid w:val="3F9B0A9C"/>
    <w:rsid w:val="3FA8609D"/>
    <w:rsid w:val="3FAF553A"/>
    <w:rsid w:val="3FC80D4A"/>
    <w:rsid w:val="3FCD03C2"/>
    <w:rsid w:val="3FD547D2"/>
    <w:rsid w:val="3FEB19AD"/>
    <w:rsid w:val="3FF36490"/>
    <w:rsid w:val="3FF92375"/>
    <w:rsid w:val="400F0363"/>
    <w:rsid w:val="402108FA"/>
    <w:rsid w:val="402D5B5D"/>
    <w:rsid w:val="40437ECA"/>
    <w:rsid w:val="405B708F"/>
    <w:rsid w:val="406B13A4"/>
    <w:rsid w:val="407041DA"/>
    <w:rsid w:val="4070566C"/>
    <w:rsid w:val="40800271"/>
    <w:rsid w:val="40833CFD"/>
    <w:rsid w:val="408C7AF3"/>
    <w:rsid w:val="409A4389"/>
    <w:rsid w:val="40A85555"/>
    <w:rsid w:val="40E06178"/>
    <w:rsid w:val="40E066C1"/>
    <w:rsid w:val="40EB6DF9"/>
    <w:rsid w:val="40F2687D"/>
    <w:rsid w:val="410832E5"/>
    <w:rsid w:val="41193976"/>
    <w:rsid w:val="412808CD"/>
    <w:rsid w:val="412D0CA3"/>
    <w:rsid w:val="412D113E"/>
    <w:rsid w:val="4145584D"/>
    <w:rsid w:val="415436E8"/>
    <w:rsid w:val="415E01E0"/>
    <w:rsid w:val="41620561"/>
    <w:rsid w:val="41765DE1"/>
    <w:rsid w:val="419165D8"/>
    <w:rsid w:val="419F4122"/>
    <w:rsid w:val="41A80221"/>
    <w:rsid w:val="41B2230C"/>
    <w:rsid w:val="41B40E24"/>
    <w:rsid w:val="41C34880"/>
    <w:rsid w:val="41D51EED"/>
    <w:rsid w:val="41E05EEA"/>
    <w:rsid w:val="41E660B7"/>
    <w:rsid w:val="41EB63BA"/>
    <w:rsid w:val="42020DDC"/>
    <w:rsid w:val="42205DB7"/>
    <w:rsid w:val="42281FA6"/>
    <w:rsid w:val="422E728F"/>
    <w:rsid w:val="423A0967"/>
    <w:rsid w:val="423E3295"/>
    <w:rsid w:val="42430EE1"/>
    <w:rsid w:val="424C6D90"/>
    <w:rsid w:val="42570EFE"/>
    <w:rsid w:val="425E1CF1"/>
    <w:rsid w:val="425F5732"/>
    <w:rsid w:val="427C3647"/>
    <w:rsid w:val="428256F0"/>
    <w:rsid w:val="42881D96"/>
    <w:rsid w:val="42A12D62"/>
    <w:rsid w:val="42A27E62"/>
    <w:rsid w:val="42B80BFE"/>
    <w:rsid w:val="42C707C3"/>
    <w:rsid w:val="42CA1DB8"/>
    <w:rsid w:val="42D93F8F"/>
    <w:rsid w:val="42EA16B6"/>
    <w:rsid w:val="43133ACB"/>
    <w:rsid w:val="43182717"/>
    <w:rsid w:val="432D163E"/>
    <w:rsid w:val="43490BA9"/>
    <w:rsid w:val="43567F3A"/>
    <w:rsid w:val="435D1962"/>
    <w:rsid w:val="43861BA5"/>
    <w:rsid w:val="438C724A"/>
    <w:rsid w:val="4398403B"/>
    <w:rsid w:val="439B2535"/>
    <w:rsid w:val="43C078BC"/>
    <w:rsid w:val="43C156A9"/>
    <w:rsid w:val="43D26199"/>
    <w:rsid w:val="43E76451"/>
    <w:rsid w:val="441634A8"/>
    <w:rsid w:val="443536E2"/>
    <w:rsid w:val="44453694"/>
    <w:rsid w:val="44481BE3"/>
    <w:rsid w:val="44487FA2"/>
    <w:rsid w:val="44AA7C66"/>
    <w:rsid w:val="44C00A17"/>
    <w:rsid w:val="44CD2F9B"/>
    <w:rsid w:val="44D97CF2"/>
    <w:rsid w:val="44F05A8D"/>
    <w:rsid w:val="45235446"/>
    <w:rsid w:val="45333879"/>
    <w:rsid w:val="4545077C"/>
    <w:rsid w:val="45527EFB"/>
    <w:rsid w:val="4554006B"/>
    <w:rsid w:val="455C694E"/>
    <w:rsid w:val="45684E0D"/>
    <w:rsid w:val="456B1CF9"/>
    <w:rsid w:val="458D15AE"/>
    <w:rsid w:val="459017BE"/>
    <w:rsid w:val="45910A0F"/>
    <w:rsid w:val="45A5557C"/>
    <w:rsid w:val="45AE2B5D"/>
    <w:rsid w:val="45AF5E4B"/>
    <w:rsid w:val="45BD5D7D"/>
    <w:rsid w:val="45F76203"/>
    <w:rsid w:val="45FA6CA9"/>
    <w:rsid w:val="46207417"/>
    <w:rsid w:val="46213D0A"/>
    <w:rsid w:val="46247CE7"/>
    <w:rsid w:val="463E1182"/>
    <w:rsid w:val="46531AAD"/>
    <w:rsid w:val="465E2705"/>
    <w:rsid w:val="46624605"/>
    <w:rsid w:val="46B1595A"/>
    <w:rsid w:val="46B62D6B"/>
    <w:rsid w:val="46F26B33"/>
    <w:rsid w:val="46FD12E3"/>
    <w:rsid w:val="470C69F2"/>
    <w:rsid w:val="472F391B"/>
    <w:rsid w:val="473146C8"/>
    <w:rsid w:val="4743193D"/>
    <w:rsid w:val="47440D9F"/>
    <w:rsid w:val="474724CD"/>
    <w:rsid w:val="475B4BBB"/>
    <w:rsid w:val="47693B83"/>
    <w:rsid w:val="47B12ACF"/>
    <w:rsid w:val="47DB68BC"/>
    <w:rsid w:val="47DF014D"/>
    <w:rsid w:val="47F62BDC"/>
    <w:rsid w:val="47FC1442"/>
    <w:rsid w:val="47FD6A58"/>
    <w:rsid w:val="480112E0"/>
    <w:rsid w:val="48017852"/>
    <w:rsid w:val="48054A50"/>
    <w:rsid w:val="48054B46"/>
    <w:rsid w:val="480575E0"/>
    <w:rsid w:val="48276078"/>
    <w:rsid w:val="48386470"/>
    <w:rsid w:val="48523F27"/>
    <w:rsid w:val="48550CC5"/>
    <w:rsid w:val="48654B33"/>
    <w:rsid w:val="48670339"/>
    <w:rsid w:val="487B6B18"/>
    <w:rsid w:val="4887266E"/>
    <w:rsid w:val="489206D4"/>
    <w:rsid w:val="489471BA"/>
    <w:rsid w:val="489A1481"/>
    <w:rsid w:val="489E445E"/>
    <w:rsid w:val="48C57D1B"/>
    <w:rsid w:val="48C601B7"/>
    <w:rsid w:val="48CD0E09"/>
    <w:rsid w:val="48D46FCC"/>
    <w:rsid w:val="48EF219E"/>
    <w:rsid w:val="48F571CB"/>
    <w:rsid w:val="49020536"/>
    <w:rsid w:val="491B21A4"/>
    <w:rsid w:val="491C109A"/>
    <w:rsid w:val="49315AA0"/>
    <w:rsid w:val="496E1F70"/>
    <w:rsid w:val="497A26ED"/>
    <w:rsid w:val="498559CA"/>
    <w:rsid w:val="4989370B"/>
    <w:rsid w:val="49931FD4"/>
    <w:rsid w:val="49964BAF"/>
    <w:rsid w:val="49AD1CFC"/>
    <w:rsid w:val="49AF7A17"/>
    <w:rsid w:val="49B875D8"/>
    <w:rsid w:val="49CA0127"/>
    <w:rsid w:val="49D87288"/>
    <w:rsid w:val="49E92D96"/>
    <w:rsid w:val="4A1304BA"/>
    <w:rsid w:val="4A151DE2"/>
    <w:rsid w:val="4A335A63"/>
    <w:rsid w:val="4A532F5D"/>
    <w:rsid w:val="4A696D79"/>
    <w:rsid w:val="4AA85BC2"/>
    <w:rsid w:val="4AB777AE"/>
    <w:rsid w:val="4AB80084"/>
    <w:rsid w:val="4ABA11C4"/>
    <w:rsid w:val="4ABE47E9"/>
    <w:rsid w:val="4ABF011F"/>
    <w:rsid w:val="4AD17CB9"/>
    <w:rsid w:val="4AD234B8"/>
    <w:rsid w:val="4AD45F78"/>
    <w:rsid w:val="4AD64070"/>
    <w:rsid w:val="4B1450C8"/>
    <w:rsid w:val="4B3D08EC"/>
    <w:rsid w:val="4B514DF2"/>
    <w:rsid w:val="4B561635"/>
    <w:rsid w:val="4B61757F"/>
    <w:rsid w:val="4B811AF0"/>
    <w:rsid w:val="4B873B4A"/>
    <w:rsid w:val="4B893101"/>
    <w:rsid w:val="4B8A399E"/>
    <w:rsid w:val="4B931887"/>
    <w:rsid w:val="4B964B69"/>
    <w:rsid w:val="4BA23E86"/>
    <w:rsid w:val="4BAA420A"/>
    <w:rsid w:val="4BBA02F3"/>
    <w:rsid w:val="4BBE5B1B"/>
    <w:rsid w:val="4BC509A6"/>
    <w:rsid w:val="4BCB728C"/>
    <w:rsid w:val="4BD5459C"/>
    <w:rsid w:val="4BDE1284"/>
    <w:rsid w:val="4BDE35BB"/>
    <w:rsid w:val="4BE61547"/>
    <w:rsid w:val="4BEE0459"/>
    <w:rsid w:val="4C253E59"/>
    <w:rsid w:val="4C2B504D"/>
    <w:rsid w:val="4C4613F7"/>
    <w:rsid w:val="4C4C3001"/>
    <w:rsid w:val="4C5B7182"/>
    <w:rsid w:val="4C6947EC"/>
    <w:rsid w:val="4C6D06A0"/>
    <w:rsid w:val="4C6D55A2"/>
    <w:rsid w:val="4C8E1D95"/>
    <w:rsid w:val="4C956D0F"/>
    <w:rsid w:val="4CB002EC"/>
    <w:rsid w:val="4CB551E1"/>
    <w:rsid w:val="4CDC2ABD"/>
    <w:rsid w:val="4CFC42F3"/>
    <w:rsid w:val="4D095256"/>
    <w:rsid w:val="4D1431C3"/>
    <w:rsid w:val="4D2C0D18"/>
    <w:rsid w:val="4D2C70FA"/>
    <w:rsid w:val="4D3B6C24"/>
    <w:rsid w:val="4D4068CB"/>
    <w:rsid w:val="4D450E4D"/>
    <w:rsid w:val="4D537CE3"/>
    <w:rsid w:val="4D6271A6"/>
    <w:rsid w:val="4D68616A"/>
    <w:rsid w:val="4D6D4C5B"/>
    <w:rsid w:val="4D725EEC"/>
    <w:rsid w:val="4D7876E2"/>
    <w:rsid w:val="4D8C7E82"/>
    <w:rsid w:val="4D8D331A"/>
    <w:rsid w:val="4DA6024A"/>
    <w:rsid w:val="4DAF5F05"/>
    <w:rsid w:val="4DF00CB0"/>
    <w:rsid w:val="4DF029B5"/>
    <w:rsid w:val="4DFB7AF1"/>
    <w:rsid w:val="4E06239C"/>
    <w:rsid w:val="4E1D59AB"/>
    <w:rsid w:val="4E4F72E7"/>
    <w:rsid w:val="4E665210"/>
    <w:rsid w:val="4E716BCE"/>
    <w:rsid w:val="4E816768"/>
    <w:rsid w:val="4E8813F1"/>
    <w:rsid w:val="4E921219"/>
    <w:rsid w:val="4EA97DD3"/>
    <w:rsid w:val="4EAD3BD4"/>
    <w:rsid w:val="4EC73278"/>
    <w:rsid w:val="4ED075EE"/>
    <w:rsid w:val="4EF80E77"/>
    <w:rsid w:val="4F1935BE"/>
    <w:rsid w:val="4F19566B"/>
    <w:rsid w:val="4F1A50B3"/>
    <w:rsid w:val="4F202E64"/>
    <w:rsid w:val="4F393AC3"/>
    <w:rsid w:val="4F527C8E"/>
    <w:rsid w:val="4F7D4036"/>
    <w:rsid w:val="4F98551A"/>
    <w:rsid w:val="4FA53118"/>
    <w:rsid w:val="4FDC5608"/>
    <w:rsid w:val="4FEA7BD6"/>
    <w:rsid w:val="4FFD27C0"/>
    <w:rsid w:val="500448D7"/>
    <w:rsid w:val="500803ED"/>
    <w:rsid w:val="50232926"/>
    <w:rsid w:val="50271F47"/>
    <w:rsid w:val="502C5CF2"/>
    <w:rsid w:val="503409D1"/>
    <w:rsid w:val="50350394"/>
    <w:rsid w:val="505E57BC"/>
    <w:rsid w:val="505E6A2C"/>
    <w:rsid w:val="50612803"/>
    <w:rsid w:val="506C0A5C"/>
    <w:rsid w:val="506D07D4"/>
    <w:rsid w:val="506D4EED"/>
    <w:rsid w:val="507163ED"/>
    <w:rsid w:val="50874C43"/>
    <w:rsid w:val="50AB1FBF"/>
    <w:rsid w:val="50AE4592"/>
    <w:rsid w:val="50D665C7"/>
    <w:rsid w:val="50E84193"/>
    <w:rsid w:val="50E9040C"/>
    <w:rsid w:val="51151F73"/>
    <w:rsid w:val="51161237"/>
    <w:rsid w:val="511E772F"/>
    <w:rsid w:val="512921CB"/>
    <w:rsid w:val="51361C2E"/>
    <w:rsid w:val="51385C04"/>
    <w:rsid w:val="514F304C"/>
    <w:rsid w:val="515529C5"/>
    <w:rsid w:val="516B5AD3"/>
    <w:rsid w:val="517F685C"/>
    <w:rsid w:val="518453E5"/>
    <w:rsid w:val="51B16320"/>
    <w:rsid w:val="51CB3A2F"/>
    <w:rsid w:val="51CB541E"/>
    <w:rsid w:val="51E25B32"/>
    <w:rsid w:val="51F53E0E"/>
    <w:rsid w:val="520662DE"/>
    <w:rsid w:val="521224F7"/>
    <w:rsid w:val="522D7CC5"/>
    <w:rsid w:val="523E3C81"/>
    <w:rsid w:val="527E7D50"/>
    <w:rsid w:val="52826E6F"/>
    <w:rsid w:val="52877026"/>
    <w:rsid w:val="5292423F"/>
    <w:rsid w:val="52945048"/>
    <w:rsid w:val="529F280A"/>
    <w:rsid w:val="52A90272"/>
    <w:rsid w:val="52BD2DDA"/>
    <w:rsid w:val="52C114C5"/>
    <w:rsid w:val="52D13CC1"/>
    <w:rsid w:val="52D50918"/>
    <w:rsid w:val="52DC6B0B"/>
    <w:rsid w:val="52E92749"/>
    <w:rsid w:val="52F2449B"/>
    <w:rsid w:val="52F82246"/>
    <w:rsid w:val="531458CD"/>
    <w:rsid w:val="531A7442"/>
    <w:rsid w:val="531B2ED3"/>
    <w:rsid w:val="532C25A1"/>
    <w:rsid w:val="533C7222"/>
    <w:rsid w:val="535C05FF"/>
    <w:rsid w:val="537C0D03"/>
    <w:rsid w:val="5388369A"/>
    <w:rsid w:val="538F2DF2"/>
    <w:rsid w:val="539B0411"/>
    <w:rsid w:val="53A56F9C"/>
    <w:rsid w:val="53AB65BA"/>
    <w:rsid w:val="53B142A3"/>
    <w:rsid w:val="53E06734"/>
    <w:rsid w:val="53EB27BE"/>
    <w:rsid w:val="53F1281D"/>
    <w:rsid w:val="53F5290B"/>
    <w:rsid w:val="53FD6CED"/>
    <w:rsid w:val="541365B4"/>
    <w:rsid w:val="541614AF"/>
    <w:rsid w:val="543409CB"/>
    <w:rsid w:val="54423B30"/>
    <w:rsid w:val="547C4F1D"/>
    <w:rsid w:val="5487565B"/>
    <w:rsid w:val="549C1364"/>
    <w:rsid w:val="54B64347"/>
    <w:rsid w:val="54C05442"/>
    <w:rsid w:val="54C3549A"/>
    <w:rsid w:val="54D808EC"/>
    <w:rsid w:val="54FB634A"/>
    <w:rsid w:val="54FF7A35"/>
    <w:rsid w:val="552520E6"/>
    <w:rsid w:val="55270E97"/>
    <w:rsid w:val="55373311"/>
    <w:rsid w:val="55871B1C"/>
    <w:rsid w:val="559A6E76"/>
    <w:rsid w:val="55DC4856"/>
    <w:rsid w:val="55E01E3E"/>
    <w:rsid w:val="560A7285"/>
    <w:rsid w:val="560C5206"/>
    <w:rsid w:val="562F748D"/>
    <w:rsid w:val="56310148"/>
    <w:rsid w:val="563A7BFA"/>
    <w:rsid w:val="564277E9"/>
    <w:rsid w:val="56606DC9"/>
    <w:rsid w:val="567C524D"/>
    <w:rsid w:val="5688376C"/>
    <w:rsid w:val="568F2080"/>
    <w:rsid w:val="569212D0"/>
    <w:rsid w:val="56A72604"/>
    <w:rsid w:val="56AD13FE"/>
    <w:rsid w:val="56CE254B"/>
    <w:rsid w:val="56D51CC5"/>
    <w:rsid w:val="56DF1548"/>
    <w:rsid w:val="56F62406"/>
    <w:rsid w:val="56F953CE"/>
    <w:rsid w:val="57081451"/>
    <w:rsid w:val="570D5CC6"/>
    <w:rsid w:val="572D6485"/>
    <w:rsid w:val="5738327F"/>
    <w:rsid w:val="57392AFA"/>
    <w:rsid w:val="573D1C58"/>
    <w:rsid w:val="574A1D8F"/>
    <w:rsid w:val="57631487"/>
    <w:rsid w:val="576C2C05"/>
    <w:rsid w:val="57A770A4"/>
    <w:rsid w:val="57A92B45"/>
    <w:rsid w:val="57B5599D"/>
    <w:rsid w:val="57BC0987"/>
    <w:rsid w:val="57C91CCB"/>
    <w:rsid w:val="57D62AFE"/>
    <w:rsid w:val="580019F4"/>
    <w:rsid w:val="58070F65"/>
    <w:rsid w:val="580E4611"/>
    <w:rsid w:val="58175E3E"/>
    <w:rsid w:val="5829260B"/>
    <w:rsid w:val="584C222B"/>
    <w:rsid w:val="584C535A"/>
    <w:rsid w:val="584F5BFF"/>
    <w:rsid w:val="58565381"/>
    <w:rsid w:val="585F126D"/>
    <w:rsid w:val="586B6C2E"/>
    <w:rsid w:val="5875187F"/>
    <w:rsid w:val="587A25E1"/>
    <w:rsid w:val="58B806BF"/>
    <w:rsid w:val="58B97074"/>
    <w:rsid w:val="58BF2A71"/>
    <w:rsid w:val="58C26314"/>
    <w:rsid w:val="58D43E39"/>
    <w:rsid w:val="58E1066C"/>
    <w:rsid w:val="58E62938"/>
    <w:rsid w:val="58E9373F"/>
    <w:rsid w:val="58EB132C"/>
    <w:rsid w:val="58ED5543"/>
    <w:rsid w:val="58F96574"/>
    <w:rsid w:val="591D76D7"/>
    <w:rsid w:val="59225F7A"/>
    <w:rsid w:val="592F2D28"/>
    <w:rsid w:val="59311EC4"/>
    <w:rsid w:val="5936407B"/>
    <w:rsid w:val="594812D7"/>
    <w:rsid w:val="59583FD3"/>
    <w:rsid w:val="596E7F1F"/>
    <w:rsid w:val="59701BB8"/>
    <w:rsid w:val="597750B2"/>
    <w:rsid w:val="597D7167"/>
    <w:rsid w:val="598B297B"/>
    <w:rsid w:val="599B02F8"/>
    <w:rsid w:val="59A03F46"/>
    <w:rsid w:val="59CD6442"/>
    <w:rsid w:val="59DE1FCE"/>
    <w:rsid w:val="59F453AA"/>
    <w:rsid w:val="59F61249"/>
    <w:rsid w:val="5A0E6A58"/>
    <w:rsid w:val="5A114BC4"/>
    <w:rsid w:val="5A242FD6"/>
    <w:rsid w:val="5A283D91"/>
    <w:rsid w:val="5A2D0D2E"/>
    <w:rsid w:val="5A331BB0"/>
    <w:rsid w:val="5A4242B7"/>
    <w:rsid w:val="5A754816"/>
    <w:rsid w:val="5A7C3D44"/>
    <w:rsid w:val="5AA06DC0"/>
    <w:rsid w:val="5AA501C6"/>
    <w:rsid w:val="5AA62F6C"/>
    <w:rsid w:val="5AAE0E4A"/>
    <w:rsid w:val="5ABA5F0E"/>
    <w:rsid w:val="5ABC65BF"/>
    <w:rsid w:val="5AC76275"/>
    <w:rsid w:val="5AD80BDC"/>
    <w:rsid w:val="5AE65A35"/>
    <w:rsid w:val="5AFB1920"/>
    <w:rsid w:val="5AFD2DA8"/>
    <w:rsid w:val="5AFE520D"/>
    <w:rsid w:val="5B083DCB"/>
    <w:rsid w:val="5B100E20"/>
    <w:rsid w:val="5B155CB3"/>
    <w:rsid w:val="5B233951"/>
    <w:rsid w:val="5B2465F8"/>
    <w:rsid w:val="5B456B27"/>
    <w:rsid w:val="5B5B6CCB"/>
    <w:rsid w:val="5B6064CF"/>
    <w:rsid w:val="5B6E500A"/>
    <w:rsid w:val="5B765852"/>
    <w:rsid w:val="5B825391"/>
    <w:rsid w:val="5BA26AA3"/>
    <w:rsid w:val="5BA731E0"/>
    <w:rsid w:val="5BBB0733"/>
    <w:rsid w:val="5BE778B4"/>
    <w:rsid w:val="5BF82D8F"/>
    <w:rsid w:val="5C162AF3"/>
    <w:rsid w:val="5C1A192E"/>
    <w:rsid w:val="5C285D33"/>
    <w:rsid w:val="5C2B2D5A"/>
    <w:rsid w:val="5C2C0A34"/>
    <w:rsid w:val="5C305D3D"/>
    <w:rsid w:val="5C44181A"/>
    <w:rsid w:val="5C4C3AAE"/>
    <w:rsid w:val="5C6C0954"/>
    <w:rsid w:val="5C6E082E"/>
    <w:rsid w:val="5C816370"/>
    <w:rsid w:val="5C9A5A41"/>
    <w:rsid w:val="5CAB4487"/>
    <w:rsid w:val="5CB0214C"/>
    <w:rsid w:val="5CB07E6E"/>
    <w:rsid w:val="5CC22CEC"/>
    <w:rsid w:val="5CCC11A0"/>
    <w:rsid w:val="5CD9018E"/>
    <w:rsid w:val="5CE174D5"/>
    <w:rsid w:val="5D0B3FF9"/>
    <w:rsid w:val="5D195883"/>
    <w:rsid w:val="5D1C5AB8"/>
    <w:rsid w:val="5D2F722C"/>
    <w:rsid w:val="5D300658"/>
    <w:rsid w:val="5D464963"/>
    <w:rsid w:val="5D681900"/>
    <w:rsid w:val="5D737AC6"/>
    <w:rsid w:val="5D74706A"/>
    <w:rsid w:val="5DA80326"/>
    <w:rsid w:val="5DBB076C"/>
    <w:rsid w:val="5DC60F9E"/>
    <w:rsid w:val="5DC811B7"/>
    <w:rsid w:val="5DCC6C5C"/>
    <w:rsid w:val="5DD57F45"/>
    <w:rsid w:val="5DF372C8"/>
    <w:rsid w:val="5E067708"/>
    <w:rsid w:val="5E341BBD"/>
    <w:rsid w:val="5E3D29C4"/>
    <w:rsid w:val="5E4C6F35"/>
    <w:rsid w:val="5E531453"/>
    <w:rsid w:val="5E5A1352"/>
    <w:rsid w:val="5E6E1013"/>
    <w:rsid w:val="5E745E79"/>
    <w:rsid w:val="5E813E2B"/>
    <w:rsid w:val="5E9737C9"/>
    <w:rsid w:val="5E9F3FE3"/>
    <w:rsid w:val="5EAF48CD"/>
    <w:rsid w:val="5ECA3D1B"/>
    <w:rsid w:val="5EE6699D"/>
    <w:rsid w:val="5EE938A5"/>
    <w:rsid w:val="5EF3204E"/>
    <w:rsid w:val="5EFB7AD8"/>
    <w:rsid w:val="5F0C3939"/>
    <w:rsid w:val="5F2C1D90"/>
    <w:rsid w:val="5F2C5BDE"/>
    <w:rsid w:val="5F764835"/>
    <w:rsid w:val="5F7A3930"/>
    <w:rsid w:val="5F7E0818"/>
    <w:rsid w:val="5F8327CE"/>
    <w:rsid w:val="5F836EC0"/>
    <w:rsid w:val="5F847983"/>
    <w:rsid w:val="5F877C2C"/>
    <w:rsid w:val="5F9567EE"/>
    <w:rsid w:val="5FB96A9E"/>
    <w:rsid w:val="5FBA569B"/>
    <w:rsid w:val="5FD51ED5"/>
    <w:rsid w:val="5FD9100C"/>
    <w:rsid w:val="5FE327B5"/>
    <w:rsid w:val="5FF40648"/>
    <w:rsid w:val="5FF577AD"/>
    <w:rsid w:val="5FF759BC"/>
    <w:rsid w:val="60143AF9"/>
    <w:rsid w:val="60215A45"/>
    <w:rsid w:val="60244110"/>
    <w:rsid w:val="602A65A6"/>
    <w:rsid w:val="60331A43"/>
    <w:rsid w:val="603F4DBA"/>
    <w:rsid w:val="60502A62"/>
    <w:rsid w:val="6052188C"/>
    <w:rsid w:val="60611C6D"/>
    <w:rsid w:val="60811A64"/>
    <w:rsid w:val="60813373"/>
    <w:rsid w:val="60866C3E"/>
    <w:rsid w:val="60A77A74"/>
    <w:rsid w:val="60B9243B"/>
    <w:rsid w:val="60CC6523"/>
    <w:rsid w:val="60D3161C"/>
    <w:rsid w:val="60DF200F"/>
    <w:rsid w:val="60F82532"/>
    <w:rsid w:val="61174591"/>
    <w:rsid w:val="612C79D7"/>
    <w:rsid w:val="61315C68"/>
    <w:rsid w:val="6139798D"/>
    <w:rsid w:val="613C18D3"/>
    <w:rsid w:val="61521482"/>
    <w:rsid w:val="61696BAF"/>
    <w:rsid w:val="61934E1F"/>
    <w:rsid w:val="619600C1"/>
    <w:rsid w:val="61A17251"/>
    <w:rsid w:val="61A61340"/>
    <w:rsid w:val="61A6286C"/>
    <w:rsid w:val="61C02AD7"/>
    <w:rsid w:val="61CD01FB"/>
    <w:rsid w:val="61CE1721"/>
    <w:rsid w:val="61D84088"/>
    <w:rsid w:val="61F07BB8"/>
    <w:rsid w:val="61F36369"/>
    <w:rsid w:val="61F77B7F"/>
    <w:rsid w:val="61FB2ABE"/>
    <w:rsid w:val="620266BA"/>
    <w:rsid w:val="620A7F00"/>
    <w:rsid w:val="6237716D"/>
    <w:rsid w:val="624031FC"/>
    <w:rsid w:val="624B12B6"/>
    <w:rsid w:val="624D24C7"/>
    <w:rsid w:val="6252200A"/>
    <w:rsid w:val="625A5BA9"/>
    <w:rsid w:val="626A3DF5"/>
    <w:rsid w:val="62834B37"/>
    <w:rsid w:val="62AF1393"/>
    <w:rsid w:val="62B1250D"/>
    <w:rsid w:val="62BE68BB"/>
    <w:rsid w:val="62D24705"/>
    <w:rsid w:val="62D64698"/>
    <w:rsid w:val="62E52F89"/>
    <w:rsid w:val="62E64C50"/>
    <w:rsid w:val="62FD3ABC"/>
    <w:rsid w:val="632619C5"/>
    <w:rsid w:val="633663CA"/>
    <w:rsid w:val="6340257B"/>
    <w:rsid w:val="635209D0"/>
    <w:rsid w:val="637A007B"/>
    <w:rsid w:val="63BE5D97"/>
    <w:rsid w:val="63C20110"/>
    <w:rsid w:val="63C50FC9"/>
    <w:rsid w:val="63C837B7"/>
    <w:rsid w:val="63D47093"/>
    <w:rsid w:val="63E26EC0"/>
    <w:rsid w:val="63F1466F"/>
    <w:rsid w:val="63FA3B25"/>
    <w:rsid w:val="640C1C7E"/>
    <w:rsid w:val="6414177B"/>
    <w:rsid w:val="64310EA8"/>
    <w:rsid w:val="643D4641"/>
    <w:rsid w:val="64414882"/>
    <w:rsid w:val="64584F4B"/>
    <w:rsid w:val="646D187E"/>
    <w:rsid w:val="64784ECE"/>
    <w:rsid w:val="647C6A8F"/>
    <w:rsid w:val="649674A3"/>
    <w:rsid w:val="649827B1"/>
    <w:rsid w:val="64AA0D19"/>
    <w:rsid w:val="64C43E47"/>
    <w:rsid w:val="64D01FED"/>
    <w:rsid w:val="64D3451B"/>
    <w:rsid w:val="64EF011B"/>
    <w:rsid w:val="64FF316F"/>
    <w:rsid w:val="65081808"/>
    <w:rsid w:val="65260157"/>
    <w:rsid w:val="65261362"/>
    <w:rsid w:val="652924ED"/>
    <w:rsid w:val="652F5B18"/>
    <w:rsid w:val="65520CFC"/>
    <w:rsid w:val="6554001F"/>
    <w:rsid w:val="655E032A"/>
    <w:rsid w:val="65632AF8"/>
    <w:rsid w:val="657E1C18"/>
    <w:rsid w:val="658D7283"/>
    <w:rsid w:val="65910E0F"/>
    <w:rsid w:val="659225DB"/>
    <w:rsid w:val="65A30001"/>
    <w:rsid w:val="65A76598"/>
    <w:rsid w:val="65D4331D"/>
    <w:rsid w:val="65DD36BA"/>
    <w:rsid w:val="65E07C46"/>
    <w:rsid w:val="65E21FEF"/>
    <w:rsid w:val="65E81300"/>
    <w:rsid w:val="660C607F"/>
    <w:rsid w:val="6612562E"/>
    <w:rsid w:val="661361B9"/>
    <w:rsid w:val="661C2516"/>
    <w:rsid w:val="662609A9"/>
    <w:rsid w:val="66260A03"/>
    <w:rsid w:val="66302974"/>
    <w:rsid w:val="6648233B"/>
    <w:rsid w:val="66483075"/>
    <w:rsid w:val="666D74BF"/>
    <w:rsid w:val="66725C75"/>
    <w:rsid w:val="66740392"/>
    <w:rsid w:val="66885096"/>
    <w:rsid w:val="66B814B8"/>
    <w:rsid w:val="66CB2A77"/>
    <w:rsid w:val="66D17AB0"/>
    <w:rsid w:val="66D93B1E"/>
    <w:rsid w:val="66DB229F"/>
    <w:rsid w:val="66ED647A"/>
    <w:rsid w:val="66F117A5"/>
    <w:rsid w:val="66FC7CF9"/>
    <w:rsid w:val="670F2332"/>
    <w:rsid w:val="671A0A77"/>
    <w:rsid w:val="671A2477"/>
    <w:rsid w:val="67277348"/>
    <w:rsid w:val="672B009D"/>
    <w:rsid w:val="673A151B"/>
    <w:rsid w:val="673E7F53"/>
    <w:rsid w:val="674F7702"/>
    <w:rsid w:val="67524AC0"/>
    <w:rsid w:val="675A2313"/>
    <w:rsid w:val="67746015"/>
    <w:rsid w:val="677B60BB"/>
    <w:rsid w:val="67820AAF"/>
    <w:rsid w:val="67880DF0"/>
    <w:rsid w:val="679F1688"/>
    <w:rsid w:val="67A07623"/>
    <w:rsid w:val="67BA11F5"/>
    <w:rsid w:val="67D00A09"/>
    <w:rsid w:val="67D12BB8"/>
    <w:rsid w:val="67D30E16"/>
    <w:rsid w:val="67D87E41"/>
    <w:rsid w:val="67DB69E3"/>
    <w:rsid w:val="67E14CC8"/>
    <w:rsid w:val="68227631"/>
    <w:rsid w:val="683061D9"/>
    <w:rsid w:val="68311D1B"/>
    <w:rsid w:val="683A2860"/>
    <w:rsid w:val="684B254E"/>
    <w:rsid w:val="68567067"/>
    <w:rsid w:val="68605812"/>
    <w:rsid w:val="68825591"/>
    <w:rsid w:val="68863F27"/>
    <w:rsid w:val="688B3F50"/>
    <w:rsid w:val="689E2EAD"/>
    <w:rsid w:val="68B1290A"/>
    <w:rsid w:val="68D60A8C"/>
    <w:rsid w:val="68FB043B"/>
    <w:rsid w:val="692034BE"/>
    <w:rsid w:val="693240FA"/>
    <w:rsid w:val="693D1AEA"/>
    <w:rsid w:val="694F0198"/>
    <w:rsid w:val="696C68F9"/>
    <w:rsid w:val="69765465"/>
    <w:rsid w:val="697A199A"/>
    <w:rsid w:val="697D4EA1"/>
    <w:rsid w:val="698E7265"/>
    <w:rsid w:val="6994368C"/>
    <w:rsid w:val="6999396A"/>
    <w:rsid w:val="69D240AE"/>
    <w:rsid w:val="69D90256"/>
    <w:rsid w:val="69EA7555"/>
    <w:rsid w:val="6A0E6D0A"/>
    <w:rsid w:val="6A106D16"/>
    <w:rsid w:val="6A242A0A"/>
    <w:rsid w:val="6A3507EF"/>
    <w:rsid w:val="6A794894"/>
    <w:rsid w:val="6A8148C8"/>
    <w:rsid w:val="6A832E15"/>
    <w:rsid w:val="6A8C253A"/>
    <w:rsid w:val="6A8E1F87"/>
    <w:rsid w:val="6A902283"/>
    <w:rsid w:val="6AB36F30"/>
    <w:rsid w:val="6ACD0388"/>
    <w:rsid w:val="6ADA3340"/>
    <w:rsid w:val="6AFC4667"/>
    <w:rsid w:val="6B123F30"/>
    <w:rsid w:val="6B163B1A"/>
    <w:rsid w:val="6B22547E"/>
    <w:rsid w:val="6B2A00F4"/>
    <w:rsid w:val="6B2E600C"/>
    <w:rsid w:val="6B3029C7"/>
    <w:rsid w:val="6B3501F6"/>
    <w:rsid w:val="6B3B69BA"/>
    <w:rsid w:val="6B471EF1"/>
    <w:rsid w:val="6B4D7D15"/>
    <w:rsid w:val="6B6203B2"/>
    <w:rsid w:val="6B727F32"/>
    <w:rsid w:val="6B797635"/>
    <w:rsid w:val="6B7E697A"/>
    <w:rsid w:val="6B9402D2"/>
    <w:rsid w:val="6BA820AF"/>
    <w:rsid w:val="6BCD51A1"/>
    <w:rsid w:val="6BCE51E2"/>
    <w:rsid w:val="6BD528BE"/>
    <w:rsid w:val="6BF105D0"/>
    <w:rsid w:val="6BF4003D"/>
    <w:rsid w:val="6C0E096D"/>
    <w:rsid w:val="6C15255A"/>
    <w:rsid w:val="6C1B5EF1"/>
    <w:rsid w:val="6C1F74FF"/>
    <w:rsid w:val="6C3276B1"/>
    <w:rsid w:val="6C3B6827"/>
    <w:rsid w:val="6C497CC6"/>
    <w:rsid w:val="6C6204B4"/>
    <w:rsid w:val="6C670FD9"/>
    <w:rsid w:val="6C683CDC"/>
    <w:rsid w:val="6C687A22"/>
    <w:rsid w:val="6C88105C"/>
    <w:rsid w:val="6C9738A7"/>
    <w:rsid w:val="6CA23331"/>
    <w:rsid w:val="6CB54230"/>
    <w:rsid w:val="6CCC4911"/>
    <w:rsid w:val="6CD46DB6"/>
    <w:rsid w:val="6CF03BD9"/>
    <w:rsid w:val="6D1E08BC"/>
    <w:rsid w:val="6D240335"/>
    <w:rsid w:val="6D2F5601"/>
    <w:rsid w:val="6D313DF2"/>
    <w:rsid w:val="6D34574F"/>
    <w:rsid w:val="6D3A69CD"/>
    <w:rsid w:val="6D581799"/>
    <w:rsid w:val="6D622C22"/>
    <w:rsid w:val="6D7575EC"/>
    <w:rsid w:val="6D7977E2"/>
    <w:rsid w:val="6D873910"/>
    <w:rsid w:val="6DA24337"/>
    <w:rsid w:val="6DA50BD1"/>
    <w:rsid w:val="6DAE4B46"/>
    <w:rsid w:val="6DC536C9"/>
    <w:rsid w:val="6DC77202"/>
    <w:rsid w:val="6DCF363F"/>
    <w:rsid w:val="6DE951AF"/>
    <w:rsid w:val="6DEE257B"/>
    <w:rsid w:val="6DF01B19"/>
    <w:rsid w:val="6E1C5FA6"/>
    <w:rsid w:val="6E326E43"/>
    <w:rsid w:val="6E407C2B"/>
    <w:rsid w:val="6E446BEA"/>
    <w:rsid w:val="6E460A20"/>
    <w:rsid w:val="6E8A0FAE"/>
    <w:rsid w:val="6E8C7C0E"/>
    <w:rsid w:val="6EA65C3D"/>
    <w:rsid w:val="6EA86E57"/>
    <w:rsid w:val="6EB9693D"/>
    <w:rsid w:val="6EBB5C86"/>
    <w:rsid w:val="6EC334B8"/>
    <w:rsid w:val="6EDF5906"/>
    <w:rsid w:val="6EE64381"/>
    <w:rsid w:val="6EF11B71"/>
    <w:rsid w:val="6EF24F12"/>
    <w:rsid w:val="6EF2693B"/>
    <w:rsid w:val="6EF60354"/>
    <w:rsid w:val="6F267D0C"/>
    <w:rsid w:val="6F2D298D"/>
    <w:rsid w:val="6F4F776C"/>
    <w:rsid w:val="6F500EA4"/>
    <w:rsid w:val="6F66218A"/>
    <w:rsid w:val="6F672255"/>
    <w:rsid w:val="6FBB4ACD"/>
    <w:rsid w:val="6FC70A07"/>
    <w:rsid w:val="6FDD30B4"/>
    <w:rsid w:val="6FF92C1D"/>
    <w:rsid w:val="6FFC2AC5"/>
    <w:rsid w:val="70002DAE"/>
    <w:rsid w:val="70010EE5"/>
    <w:rsid w:val="70016409"/>
    <w:rsid w:val="701D1D8A"/>
    <w:rsid w:val="70335123"/>
    <w:rsid w:val="70342F31"/>
    <w:rsid w:val="70457807"/>
    <w:rsid w:val="704E29CB"/>
    <w:rsid w:val="70537044"/>
    <w:rsid w:val="7061050C"/>
    <w:rsid w:val="707B5F33"/>
    <w:rsid w:val="70885895"/>
    <w:rsid w:val="708E2FD1"/>
    <w:rsid w:val="70B44467"/>
    <w:rsid w:val="70D84280"/>
    <w:rsid w:val="70DA1FD7"/>
    <w:rsid w:val="70DA7A94"/>
    <w:rsid w:val="70EF6280"/>
    <w:rsid w:val="710459FA"/>
    <w:rsid w:val="711940AF"/>
    <w:rsid w:val="711A6CB9"/>
    <w:rsid w:val="712B4BA5"/>
    <w:rsid w:val="71372AE4"/>
    <w:rsid w:val="713874A9"/>
    <w:rsid w:val="71504ABF"/>
    <w:rsid w:val="71543084"/>
    <w:rsid w:val="71574E0F"/>
    <w:rsid w:val="716D4D39"/>
    <w:rsid w:val="71715C83"/>
    <w:rsid w:val="718373E0"/>
    <w:rsid w:val="71920412"/>
    <w:rsid w:val="719962CB"/>
    <w:rsid w:val="71A06632"/>
    <w:rsid w:val="71AE6B7F"/>
    <w:rsid w:val="71CC7AA5"/>
    <w:rsid w:val="71DF5BAE"/>
    <w:rsid w:val="72021C96"/>
    <w:rsid w:val="72070E30"/>
    <w:rsid w:val="721E7E38"/>
    <w:rsid w:val="7268071C"/>
    <w:rsid w:val="7279588C"/>
    <w:rsid w:val="72795A26"/>
    <w:rsid w:val="727E4726"/>
    <w:rsid w:val="728D4B02"/>
    <w:rsid w:val="728E6D50"/>
    <w:rsid w:val="72980E08"/>
    <w:rsid w:val="72A372DB"/>
    <w:rsid w:val="72A74F04"/>
    <w:rsid w:val="72B9476C"/>
    <w:rsid w:val="72C20E79"/>
    <w:rsid w:val="72C46B34"/>
    <w:rsid w:val="72C479AE"/>
    <w:rsid w:val="72D01B2C"/>
    <w:rsid w:val="72D43CF9"/>
    <w:rsid w:val="72DA69FB"/>
    <w:rsid w:val="72DF5392"/>
    <w:rsid w:val="73023280"/>
    <w:rsid w:val="734533A0"/>
    <w:rsid w:val="73497784"/>
    <w:rsid w:val="734A5528"/>
    <w:rsid w:val="735A2A0B"/>
    <w:rsid w:val="7370406D"/>
    <w:rsid w:val="73782B0A"/>
    <w:rsid w:val="73852496"/>
    <w:rsid w:val="738D0D14"/>
    <w:rsid w:val="73946B7D"/>
    <w:rsid w:val="73962665"/>
    <w:rsid w:val="73B17F93"/>
    <w:rsid w:val="73B40CDA"/>
    <w:rsid w:val="73E20992"/>
    <w:rsid w:val="73F90D7B"/>
    <w:rsid w:val="73FC65FF"/>
    <w:rsid w:val="741B4C68"/>
    <w:rsid w:val="74206F9C"/>
    <w:rsid w:val="74214548"/>
    <w:rsid w:val="74362DA0"/>
    <w:rsid w:val="743B7BF4"/>
    <w:rsid w:val="744E5513"/>
    <w:rsid w:val="745A23B2"/>
    <w:rsid w:val="7473054C"/>
    <w:rsid w:val="74763360"/>
    <w:rsid w:val="74771EF3"/>
    <w:rsid w:val="747B7C1A"/>
    <w:rsid w:val="74805E3A"/>
    <w:rsid w:val="749C1CA0"/>
    <w:rsid w:val="74A50818"/>
    <w:rsid w:val="74B72393"/>
    <w:rsid w:val="74BF2BA1"/>
    <w:rsid w:val="74D7271A"/>
    <w:rsid w:val="74E911CA"/>
    <w:rsid w:val="74F21B24"/>
    <w:rsid w:val="753F3733"/>
    <w:rsid w:val="75633CD6"/>
    <w:rsid w:val="756E106A"/>
    <w:rsid w:val="75832C6C"/>
    <w:rsid w:val="758B4497"/>
    <w:rsid w:val="759518B8"/>
    <w:rsid w:val="75C35846"/>
    <w:rsid w:val="75C44AA8"/>
    <w:rsid w:val="75CE5C3E"/>
    <w:rsid w:val="75D01200"/>
    <w:rsid w:val="75D261E8"/>
    <w:rsid w:val="75DB5614"/>
    <w:rsid w:val="75DC3D51"/>
    <w:rsid w:val="760A49E8"/>
    <w:rsid w:val="761B427A"/>
    <w:rsid w:val="76224B1F"/>
    <w:rsid w:val="763F4B7C"/>
    <w:rsid w:val="765C0993"/>
    <w:rsid w:val="76620917"/>
    <w:rsid w:val="76676868"/>
    <w:rsid w:val="7671722A"/>
    <w:rsid w:val="76AC2065"/>
    <w:rsid w:val="76C80CCD"/>
    <w:rsid w:val="76CC4C75"/>
    <w:rsid w:val="76D46278"/>
    <w:rsid w:val="76D55B83"/>
    <w:rsid w:val="76E173E8"/>
    <w:rsid w:val="76EE66B4"/>
    <w:rsid w:val="76FD1FF0"/>
    <w:rsid w:val="7702485E"/>
    <w:rsid w:val="770C1BDC"/>
    <w:rsid w:val="770C3BD0"/>
    <w:rsid w:val="77121089"/>
    <w:rsid w:val="772B5273"/>
    <w:rsid w:val="773B61DB"/>
    <w:rsid w:val="77491867"/>
    <w:rsid w:val="7762132D"/>
    <w:rsid w:val="776F5D1F"/>
    <w:rsid w:val="777A546B"/>
    <w:rsid w:val="777D6A4B"/>
    <w:rsid w:val="77AE0801"/>
    <w:rsid w:val="77B07DC4"/>
    <w:rsid w:val="77B831A5"/>
    <w:rsid w:val="77BB18D1"/>
    <w:rsid w:val="77BC31C4"/>
    <w:rsid w:val="77E22343"/>
    <w:rsid w:val="77F512A3"/>
    <w:rsid w:val="78120FFB"/>
    <w:rsid w:val="78127C5A"/>
    <w:rsid w:val="781F11B1"/>
    <w:rsid w:val="78542705"/>
    <w:rsid w:val="7866678B"/>
    <w:rsid w:val="78750FB0"/>
    <w:rsid w:val="787C0BB8"/>
    <w:rsid w:val="789B5CC8"/>
    <w:rsid w:val="78AB1448"/>
    <w:rsid w:val="78BE0C05"/>
    <w:rsid w:val="78DF1FB4"/>
    <w:rsid w:val="792720BE"/>
    <w:rsid w:val="792F2AF8"/>
    <w:rsid w:val="79375BF1"/>
    <w:rsid w:val="793B06EC"/>
    <w:rsid w:val="793C1914"/>
    <w:rsid w:val="7940646F"/>
    <w:rsid w:val="7943117E"/>
    <w:rsid w:val="79440402"/>
    <w:rsid w:val="79666869"/>
    <w:rsid w:val="7968393A"/>
    <w:rsid w:val="797904C0"/>
    <w:rsid w:val="797E6FE5"/>
    <w:rsid w:val="797F252F"/>
    <w:rsid w:val="798F07E4"/>
    <w:rsid w:val="79B84FF8"/>
    <w:rsid w:val="79B90C90"/>
    <w:rsid w:val="79BF2E81"/>
    <w:rsid w:val="79C52797"/>
    <w:rsid w:val="79E85A13"/>
    <w:rsid w:val="79E96FDB"/>
    <w:rsid w:val="79F239B7"/>
    <w:rsid w:val="7A064E08"/>
    <w:rsid w:val="7A103C72"/>
    <w:rsid w:val="7A194220"/>
    <w:rsid w:val="7A372DCA"/>
    <w:rsid w:val="7A377896"/>
    <w:rsid w:val="7A3D480A"/>
    <w:rsid w:val="7A4C2C81"/>
    <w:rsid w:val="7A663A75"/>
    <w:rsid w:val="7A803B32"/>
    <w:rsid w:val="7A834F02"/>
    <w:rsid w:val="7A8F6C1D"/>
    <w:rsid w:val="7AA1001A"/>
    <w:rsid w:val="7ABC011B"/>
    <w:rsid w:val="7AC070EF"/>
    <w:rsid w:val="7AC85C28"/>
    <w:rsid w:val="7AE51BCD"/>
    <w:rsid w:val="7AF23E88"/>
    <w:rsid w:val="7AFD3972"/>
    <w:rsid w:val="7B0E3653"/>
    <w:rsid w:val="7B1C3279"/>
    <w:rsid w:val="7B2668E9"/>
    <w:rsid w:val="7B431E55"/>
    <w:rsid w:val="7B504821"/>
    <w:rsid w:val="7B5C446C"/>
    <w:rsid w:val="7B5D6182"/>
    <w:rsid w:val="7B7A320A"/>
    <w:rsid w:val="7B950723"/>
    <w:rsid w:val="7B955B1F"/>
    <w:rsid w:val="7BB70CC4"/>
    <w:rsid w:val="7BBA6FFD"/>
    <w:rsid w:val="7BDA6655"/>
    <w:rsid w:val="7BE06E33"/>
    <w:rsid w:val="7BF2353F"/>
    <w:rsid w:val="7C0766E8"/>
    <w:rsid w:val="7C084208"/>
    <w:rsid w:val="7C0901C9"/>
    <w:rsid w:val="7C112792"/>
    <w:rsid w:val="7C1E3E99"/>
    <w:rsid w:val="7C2422A8"/>
    <w:rsid w:val="7C451AC3"/>
    <w:rsid w:val="7C51328B"/>
    <w:rsid w:val="7C567C7A"/>
    <w:rsid w:val="7C863456"/>
    <w:rsid w:val="7CA8269B"/>
    <w:rsid w:val="7CC84BF8"/>
    <w:rsid w:val="7CCA680C"/>
    <w:rsid w:val="7CD502B2"/>
    <w:rsid w:val="7D155DAC"/>
    <w:rsid w:val="7D231530"/>
    <w:rsid w:val="7D28659C"/>
    <w:rsid w:val="7D2C6B79"/>
    <w:rsid w:val="7D305EAB"/>
    <w:rsid w:val="7D483EC4"/>
    <w:rsid w:val="7D606AC3"/>
    <w:rsid w:val="7D850B47"/>
    <w:rsid w:val="7D893E3E"/>
    <w:rsid w:val="7DA37D18"/>
    <w:rsid w:val="7DA41DFE"/>
    <w:rsid w:val="7DC010BC"/>
    <w:rsid w:val="7DDB1E7B"/>
    <w:rsid w:val="7DE9752B"/>
    <w:rsid w:val="7DFB64CE"/>
    <w:rsid w:val="7E064412"/>
    <w:rsid w:val="7E1726C1"/>
    <w:rsid w:val="7E3961E0"/>
    <w:rsid w:val="7E4130C0"/>
    <w:rsid w:val="7E595B97"/>
    <w:rsid w:val="7E830E40"/>
    <w:rsid w:val="7E8A1A05"/>
    <w:rsid w:val="7E8B2657"/>
    <w:rsid w:val="7E972EB1"/>
    <w:rsid w:val="7E9A0BDA"/>
    <w:rsid w:val="7EB54847"/>
    <w:rsid w:val="7EB65194"/>
    <w:rsid w:val="7EBF0FCC"/>
    <w:rsid w:val="7ED0268A"/>
    <w:rsid w:val="7EEC0F0C"/>
    <w:rsid w:val="7F144E72"/>
    <w:rsid w:val="7F160FB7"/>
    <w:rsid w:val="7F1F1BA2"/>
    <w:rsid w:val="7F244726"/>
    <w:rsid w:val="7F2922F0"/>
    <w:rsid w:val="7F3C502F"/>
    <w:rsid w:val="7F491805"/>
    <w:rsid w:val="7F5508F8"/>
    <w:rsid w:val="7F767D83"/>
    <w:rsid w:val="7F7A5803"/>
    <w:rsid w:val="7F7D4C7C"/>
    <w:rsid w:val="7F8A4996"/>
    <w:rsid w:val="7F9659B8"/>
    <w:rsid w:val="7FAB5403"/>
    <w:rsid w:val="7FAD5DA6"/>
    <w:rsid w:val="7FD85D4D"/>
    <w:rsid w:val="7FDA2506"/>
    <w:rsid w:val="7FDF4F60"/>
    <w:rsid w:val="7FE74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jc w:val="center"/>
      <w:outlineLvl w:val="0"/>
    </w:pPr>
    <w:rPr>
      <w:rFonts w:ascii="Times New Roman" w:hAnsi="Times New Roman"/>
      <w:b/>
      <w:kern w:val="44"/>
      <w:sz w:val="32"/>
      <w:szCs w:val="20"/>
    </w:rPr>
  </w:style>
  <w:style w:type="paragraph" w:styleId="4">
    <w:name w:val="heading 2"/>
    <w:basedOn w:val="1"/>
    <w:next w:val="1"/>
    <w:unhideWhenUsed/>
    <w:qFormat/>
    <w:uiPriority w:val="0"/>
    <w:pPr>
      <w:keepNext/>
      <w:keepLines/>
      <w:spacing w:before="260" w:after="260" w:line="413" w:lineRule="auto"/>
      <w:jc w:val="center"/>
      <w:outlineLvl w:val="1"/>
    </w:pPr>
    <w:rPr>
      <w:rFonts w:ascii="Arial" w:hAnsi="Arial"/>
      <w:b/>
      <w:sz w:val="30"/>
      <w:szCs w:val="20"/>
    </w:rPr>
  </w:style>
  <w:style w:type="paragraph" w:styleId="5">
    <w:name w:val="heading 3"/>
    <w:basedOn w:val="1"/>
    <w:next w:val="1"/>
    <w:unhideWhenUsed/>
    <w:qFormat/>
    <w:uiPriority w:val="0"/>
    <w:pPr>
      <w:keepNext/>
      <w:keepLines/>
      <w:adjustRightInd w:val="0"/>
      <w:spacing w:line="300" w:lineRule="auto"/>
      <w:outlineLvl w:val="2"/>
    </w:pPr>
    <w:rPr>
      <w:rFonts w:ascii="宋体" w:hAnsi="宋体" w:cs="宋体"/>
      <w:b/>
      <w:bCs/>
      <w:sz w:val="24"/>
      <w:szCs w:val="24"/>
    </w:rPr>
  </w:style>
  <w:style w:type="paragraph" w:styleId="2">
    <w:name w:val="heading 4"/>
    <w:basedOn w:val="1"/>
    <w:next w:val="1"/>
    <w:unhideWhenUsed/>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22">
    <w:name w:val="Default Paragraph Font"/>
    <w:link w:val="23"/>
    <w:semiHidden/>
    <w:uiPriority w:val="0"/>
  </w:style>
  <w:style w:type="table" w:default="1" w:styleId="20">
    <w:name w:val="Normal Table"/>
    <w:semiHidden/>
    <w:qFormat/>
    <w:uiPriority w:val="0"/>
    <w:tblPr>
      <w:tblStyle w:val="20"/>
      <w:tblCellMar>
        <w:top w:w="0" w:type="dxa"/>
        <w:left w:w="108" w:type="dxa"/>
        <w:bottom w:w="0" w:type="dxa"/>
        <w:right w:w="108" w:type="dxa"/>
      </w:tblCellMar>
    </w:tblPr>
  </w:style>
  <w:style w:type="paragraph" w:styleId="6">
    <w:name w:val="toc 7"/>
    <w:basedOn w:val="1"/>
    <w:next w:val="1"/>
    <w:uiPriority w:val="0"/>
    <w:pPr>
      <w:ind w:left="2520" w:leftChars="1200"/>
    </w:pPr>
    <w:rPr>
      <w:szCs w:val="20"/>
    </w:rPr>
  </w:style>
  <w:style w:type="paragraph" w:styleId="7">
    <w:name w:val="annotation text"/>
    <w:basedOn w:val="1"/>
    <w:uiPriority w:val="0"/>
    <w:pPr>
      <w:jc w:val="left"/>
    </w:pPr>
    <w:rPr>
      <w:rFonts w:ascii="Times New Roman" w:hAnsi="Times New Roman"/>
      <w:kern w:val="2"/>
      <w:sz w:val="21"/>
      <w:szCs w:val="24"/>
    </w:rPr>
  </w:style>
  <w:style w:type="paragraph" w:styleId="8">
    <w:name w:val="Body Text"/>
    <w:basedOn w:val="1"/>
    <w:uiPriority w:val="0"/>
    <w:pPr>
      <w:spacing w:before="125"/>
      <w:ind w:left="622"/>
    </w:pPr>
    <w:rPr>
      <w:rFonts w:ascii="仿宋" w:hAnsi="仿宋" w:eastAsia="仿宋" w:cs="Times New Roman"/>
      <w:sz w:val="24"/>
      <w:szCs w:val="24"/>
    </w:rPr>
  </w:style>
  <w:style w:type="paragraph" w:styleId="9">
    <w:name w:val="toc 5"/>
    <w:basedOn w:val="1"/>
    <w:next w:val="1"/>
    <w:uiPriority w:val="0"/>
    <w:pPr>
      <w:ind w:left="1680" w:leftChars="800"/>
    </w:pPr>
    <w:rPr>
      <w:szCs w:val="20"/>
    </w:rPr>
  </w:style>
  <w:style w:type="paragraph" w:styleId="10">
    <w:name w:val="toc 3"/>
    <w:basedOn w:val="1"/>
    <w:next w:val="1"/>
    <w:uiPriority w:val="0"/>
    <w:pPr>
      <w:ind w:left="840" w:leftChars="400"/>
    </w:pPr>
    <w:rPr>
      <w:szCs w:val="20"/>
    </w:rPr>
  </w:style>
  <w:style w:type="paragraph" w:styleId="11">
    <w:name w:val="toc 8"/>
    <w:basedOn w:val="1"/>
    <w:next w:val="1"/>
    <w:uiPriority w:val="0"/>
    <w:pPr>
      <w:ind w:left="2940" w:leftChars="1400"/>
    </w:pPr>
    <w:rPr>
      <w:szCs w:val="20"/>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rPr>
      <w:szCs w:val="20"/>
    </w:rPr>
  </w:style>
  <w:style w:type="paragraph" w:styleId="15">
    <w:name w:val="toc 4"/>
    <w:basedOn w:val="1"/>
    <w:next w:val="1"/>
    <w:uiPriority w:val="0"/>
    <w:pPr>
      <w:ind w:left="1260" w:leftChars="600"/>
    </w:pPr>
    <w:rPr>
      <w:szCs w:val="20"/>
    </w:rPr>
  </w:style>
  <w:style w:type="paragraph" w:styleId="16">
    <w:name w:val="toc 6"/>
    <w:basedOn w:val="1"/>
    <w:next w:val="1"/>
    <w:uiPriority w:val="0"/>
    <w:pPr>
      <w:ind w:left="2100" w:leftChars="1000"/>
    </w:pPr>
    <w:rPr>
      <w:szCs w:val="20"/>
    </w:rPr>
  </w:style>
  <w:style w:type="paragraph" w:styleId="17">
    <w:name w:val="toc 2"/>
    <w:basedOn w:val="1"/>
    <w:next w:val="1"/>
    <w:uiPriority w:val="0"/>
    <w:pPr>
      <w:ind w:left="420" w:leftChars="200"/>
    </w:pPr>
    <w:rPr>
      <w:szCs w:val="20"/>
    </w:rPr>
  </w:style>
  <w:style w:type="paragraph" w:styleId="18">
    <w:name w:val="toc 9"/>
    <w:basedOn w:val="1"/>
    <w:next w:val="1"/>
    <w:uiPriority w:val="0"/>
    <w:pPr>
      <w:ind w:left="3360" w:leftChars="1600"/>
    </w:pPr>
    <w:rPr>
      <w:szCs w:val="20"/>
    </w:rPr>
  </w:style>
  <w:style w:type="paragraph" w:styleId="19">
    <w:name w:val="Normal (Web)"/>
    <w:basedOn w:val="1"/>
    <w:uiPriority w:val="0"/>
    <w:pPr>
      <w:spacing w:before="100" w:beforeAutospacing="1" w:after="100" w:afterAutospacing="1"/>
      <w:jc w:val="left"/>
    </w:pPr>
    <w:rPr>
      <w:rFonts w:ascii="Calibri" w:hAnsi="Calibri"/>
      <w:kern w:val="0"/>
      <w:sz w:val="24"/>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Char1"/>
    <w:basedOn w:val="1"/>
    <w:link w:val="22"/>
    <w:uiPriority w:val="0"/>
    <w:pPr>
      <w:widowControl/>
      <w:spacing w:after="160" w:line="240" w:lineRule="exact"/>
      <w:jc w:val="left"/>
    </w:pPr>
  </w:style>
  <w:style w:type="character" w:styleId="24">
    <w:name w:val="Strong"/>
    <w:basedOn w:val="22"/>
    <w:qFormat/>
    <w:uiPriority w:val="0"/>
    <w:rPr>
      <w:b/>
      <w:bCs/>
    </w:rPr>
  </w:style>
  <w:style w:type="character" w:styleId="25">
    <w:name w:val="page number"/>
    <w:basedOn w:val="22"/>
    <w:uiPriority w:val="0"/>
  </w:style>
  <w:style w:type="character" w:styleId="26">
    <w:name w:val="Hyperlink"/>
    <w:basedOn w:val="22"/>
    <w:uiPriority w:val="0"/>
    <w:rPr>
      <w:color w:val="0000FF"/>
      <w:u w:val="single"/>
    </w:rPr>
  </w:style>
  <w:style w:type="character" w:customStyle="1" w:styleId="27">
    <w:name w:val="标题 1 Char"/>
    <w:link w:val="3"/>
    <w:uiPriority w:val="0"/>
    <w:rPr>
      <w:rFonts w:ascii="Times New Roman" w:hAnsi="Times New Roman" w:eastAsia="宋体"/>
      <w:b/>
      <w:kern w:val="44"/>
      <w:sz w:val="32"/>
      <w:szCs w:val="20"/>
    </w:rPr>
  </w:style>
  <w:style w:type="character" w:customStyle="1" w:styleId="28">
    <w:name w:val="条文 Char"/>
    <w:link w:val="29"/>
    <w:uiPriority w:val="0"/>
    <w:rPr>
      <w:sz w:val="24"/>
      <w:szCs w:val="20"/>
    </w:rPr>
  </w:style>
  <w:style w:type="paragraph" w:customStyle="1" w:styleId="29">
    <w:name w:val="条文"/>
    <w:basedOn w:val="1"/>
    <w:link w:val="28"/>
    <w:uiPriority w:val="0"/>
    <w:pPr>
      <w:spacing w:line="300" w:lineRule="auto"/>
      <w:outlineLvl w:val="2"/>
    </w:pPr>
    <w:rPr>
      <w:sz w:val="24"/>
      <w:szCs w:val="20"/>
    </w:r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1">
    <w:name w:val="公式"/>
    <w:basedOn w:val="1"/>
    <w:qFormat/>
    <w:uiPriority w:val="0"/>
    <w:pPr>
      <w:tabs>
        <w:tab w:val="center" w:pos="4540"/>
        <w:tab w:val="right" w:pos="9080"/>
      </w:tabs>
      <w:spacing w:line="360" w:lineRule="auto"/>
    </w:pPr>
    <w:rPr>
      <w:sz w:val="28"/>
    </w:rPr>
  </w:style>
  <w:style w:type="paragraph" w:customStyle="1" w:styleId="32">
    <w:name w:val="条文说明2"/>
    <w:basedOn w:val="33"/>
    <w:qFormat/>
    <w:uiPriority w:val="0"/>
    <w:pPr>
      <w:ind w:left="200" w:leftChars="200"/>
    </w:pPr>
    <w:rPr>
      <w:szCs w:val="24"/>
    </w:rPr>
  </w:style>
  <w:style w:type="paragraph" w:customStyle="1" w:styleId="33">
    <w:name w:val="条文说明"/>
    <w:basedOn w:val="34"/>
    <w:qFormat/>
    <w:uiPriority w:val="0"/>
    <w:rPr>
      <w:i/>
      <w:sz w:val="24"/>
      <w:u w:val="single"/>
    </w:rPr>
  </w:style>
  <w:style w:type="paragraph" w:customStyle="1" w:styleId="34">
    <w:name w:val="正文1"/>
    <w:basedOn w:val="35"/>
    <w:qFormat/>
    <w:uiPriority w:val="0"/>
    <w:pPr>
      <w:ind w:firstLine="0" w:firstLineChars="0"/>
    </w:pPr>
  </w:style>
  <w:style w:type="paragraph" w:customStyle="1" w:styleId="35">
    <w:name w:val="前言"/>
    <w:basedOn w:val="1"/>
    <w:qFormat/>
    <w:uiPriority w:val="0"/>
    <w:pPr>
      <w:spacing w:line="360" w:lineRule="auto"/>
      <w:ind w:firstLine="200" w:firstLineChars="200"/>
    </w:pPr>
    <w:rPr>
      <w:sz w:val="28"/>
      <w:szCs w:val="28"/>
    </w:rPr>
  </w:style>
  <w:style w:type="paragraph" w:customStyle="1" w:styleId="36">
    <w:name w:val="表头"/>
    <w:basedOn w:val="1"/>
    <w:uiPriority w:val="0"/>
    <w:pPr>
      <w:spacing w:before="156" w:beforeLines="50" w:after="156" w:afterLines="50" w:line="300" w:lineRule="auto"/>
      <w:jc w:val="center"/>
    </w:pPr>
    <w:rPr>
      <w:b/>
      <w:bCs/>
      <w:szCs w:val="21"/>
    </w:rPr>
  </w:style>
  <w:style w:type="paragraph" w:customStyle="1" w:styleId="37">
    <w:name w:val="样式1"/>
    <w:basedOn w:val="1"/>
    <w:uiPriority w:val="0"/>
    <w:rPr>
      <w:szCs w:val="20"/>
    </w:rPr>
  </w:style>
  <w:style w:type="paragraph" w:customStyle="1" w:styleId="38">
    <w:name w:val="段落正文"/>
    <w:basedOn w:val="1"/>
    <w:uiPriority w:val="0"/>
    <w:pPr>
      <w:spacing w:line="300" w:lineRule="auto"/>
      <w:ind w:firstLine="482" w:firstLineChars="200"/>
    </w:pPr>
    <w:rPr>
      <w:sz w:val="24"/>
      <w:szCs w:val="20"/>
    </w:rPr>
  </w:style>
  <w:style w:type="paragraph" w:customStyle="1" w:styleId="39">
    <w:name w:val="式中1"/>
    <w:basedOn w:val="40"/>
    <w:qFormat/>
    <w:uiPriority w:val="0"/>
    <w:pPr>
      <w:ind w:left="1848" w:leftChars="0" w:hanging="1848" w:hangingChars="660"/>
    </w:pPr>
  </w:style>
  <w:style w:type="paragraph" w:customStyle="1" w:styleId="40">
    <w:name w:val="式中"/>
    <w:basedOn w:val="34"/>
    <w:qFormat/>
    <w:uiPriority w:val="0"/>
    <w:pPr>
      <w:ind w:left="1840" w:leftChars="399" w:hanging="1002" w:hangingChars="358"/>
    </w:pPr>
  </w:style>
  <w:style w:type="paragraph" w:customStyle="1" w:styleId="41">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42">
    <w:name w:val="Table Paragraph"/>
    <w:basedOn w:val="1"/>
    <w:qFormat/>
    <w:uiPriority w:val="1"/>
  </w:style>
  <w:style w:type="paragraph" w:styleId="43">
    <w:name w:val="List Paragraph"/>
    <w:basedOn w:val="1"/>
    <w:qFormat/>
    <w:uiPriority w:val="1"/>
    <w:pPr>
      <w:ind w:left="118"/>
    </w:pPr>
    <w:rPr>
      <w:rFonts w:ascii="宋体" w:hAnsi="宋体" w:eastAsia="宋体" w:cs="宋体"/>
      <w:lang w:val="zh-CN" w:eastAsia="zh-CN" w:bidi="zh-CN"/>
    </w:rPr>
  </w:style>
  <w:style w:type="paragraph" w:customStyle="1" w:styleId="44">
    <w:name w:val="样式 行距: 1.5 倍行距 首行缩进:  2 字符"/>
    <w:basedOn w:val="1"/>
    <w:uiPriority w:val="0"/>
    <w:pPr>
      <w:adjustRightInd w:val="0"/>
      <w:snapToGrid w:val="0"/>
      <w:spacing w:line="300" w:lineRule="auto"/>
    </w:pPr>
    <w:rPr>
      <w:color w:val="FF0000"/>
      <w:szCs w:val="21"/>
    </w:rPr>
  </w:style>
  <w:style w:type="paragraph" w:customStyle="1" w:styleId="45">
    <w:name w:val="列出段落1"/>
    <w:basedOn w:val="1"/>
    <w:qFormat/>
    <w:uiPriority w:val="34"/>
    <w:pPr>
      <w:ind w:firstLine="420" w:firstLineChars="200"/>
    </w:pPr>
    <w:rPr>
      <w:szCs w:val="22"/>
    </w:rPr>
  </w:style>
  <w:style w:type="paragraph" w:customStyle="1" w:styleId="46">
    <w:name w:val="正文2"/>
    <w:basedOn w:val="1"/>
    <w:qFormat/>
    <w:uiPriority w:val="0"/>
    <w:pPr>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3.wmf"/><Relationship Id="rId4" Type="http://schemas.openxmlformats.org/officeDocument/2006/relationships/footer" Target="footer2.xml"/><Relationship Id="rId39" Type="http://schemas.openxmlformats.org/officeDocument/2006/relationships/oleObject" Target="embeddings/oleObject13.bin"/><Relationship Id="rId38" Type="http://schemas.openxmlformats.org/officeDocument/2006/relationships/image" Target="media/image12.wmf"/><Relationship Id="rId37" Type="http://schemas.openxmlformats.org/officeDocument/2006/relationships/oleObject" Target="embeddings/oleObject12.bin"/><Relationship Id="rId36" Type="http://schemas.openxmlformats.org/officeDocument/2006/relationships/image" Target="media/image11.wmf"/><Relationship Id="rId35" Type="http://schemas.openxmlformats.org/officeDocument/2006/relationships/oleObject" Target="embeddings/oleObject11.bin"/><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Company>
  <Pages>152</Pages>
  <Words>60903</Words>
  <Characters>66625</Characters>
  <Lines>0</Lines>
  <Paragraphs>0</Paragraphs>
  <TotalTime>16</TotalTime>
  <ScaleCrop>false</ScaleCrop>
  <LinksUpToDate>false</LinksUpToDate>
  <CharactersWithSpaces>73157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2016-12-20T09:01:00Z</dcterms:created>
  <dc:creator>Administrator</dc:creator>
  <cp:lastModifiedBy>苏红伟</cp:lastModifiedBy>
  <cp:lastPrinted>2021-04-20T06:33:34Z</cp:lastPrinted>
  <dcterms:modified xsi:type="dcterms:W3CDTF">2021-09-09T08:28:07Z</dcterms:modified>
  <dc:title>关于落实光纤到户国家标准局内部门职责分工的通知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F78AC9EEA3484B93935AB28A0108B741</vt:lpwstr>
  </property>
</Properties>
</file>