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ind w:firstLine="64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社会公众反馈意见情况</w:t>
      </w:r>
      <w:bookmarkEnd w:id="0"/>
    </w:p>
    <w:p>
      <w:pPr>
        <w:ind w:firstLine="64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13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5340"/>
        <w:gridCol w:w="2367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1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单位或个人名称</w:t>
            </w:r>
          </w:p>
        </w:tc>
        <w:tc>
          <w:tcPr>
            <w:tcW w:w="534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反馈意见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不采纳原因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市民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关于第三章，第十五条，（一）资助类，建议增加知识产权代理机构10万元的资助，在本市新开办具有法人资格和专利代理资格的知识产权代理机构，每家一次性资助10万元。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这个行业需要政府的扶持才能起步发展起来，中山市本土的正规专利代理机构较少，如果没有相应的政策支持，专利代理师容易被周边的深圳、广州、佛山等地的政策吸引过去，造成人才流失，不利于中山整体知识产权事业的发展。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不采纳</w:t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1.代理机构应根据市场发展和企业需求，进行成立和开展知识产权工作，不应依靠政府财政支持来发展。                   2、对于专利代理行业，本办法规定了对于专利代理师人才的支持，继续支持专利代理行业发展。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市民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第十八条  知识产权代理师资助的条件和标准：建议修改为：在本市单位连续缴纳社保至少满1年，首次考取了专利代理师资格，且申报资助期间仍在本市单位工作的人员，每人可获一次性资助1万元。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     建议说明：将意见稿中的“且申报资助期间仍在该单位工作的人员”修改为“且申报资助期间仍在本市单位工作的人员”，这样既鼓励了在本市单位的人员参加专利代理师考试，又不“变相限制”他们在通过考试之后，去其他的本市单位工作，继续为中山市的知识产权工作发光发热，贡献一份力量！   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    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采纳</w:t>
            </w:r>
          </w:p>
        </w:tc>
        <w:tc>
          <w:tcPr>
            <w:tcW w:w="34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CC"/>
    <w:rsid w:val="0007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2021-08-19T03:15:00Z</dcterms:created>
  <dc:creator>卢依彤</dc:creator>
  <cp:lastModifiedBy>卢依彤</cp:lastModifiedBy>
  <dcterms:modified xsi:type="dcterms:W3CDTF">2021-08-19T03:15:19Z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