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center"/>
        <w:textAlignment w:val="auto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采购项目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询价要求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0" w:line="336" w:lineRule="auto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采购名称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>森林防火干粉灭火器采购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0" w:line="336" w:lineRule="auto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eastAsia="仿宋_GB2312" w:cs="Times New Roman"/>
          <w:bCs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单位：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中山市坦洲镇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农业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服务中心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0" w:line="336" w:lineRule="auto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bCs/>
          <w:sz w:val="32"/>
          <w:szCs w:val="32"/>
          <w:lang w:eastAsia="zh-CN"/>
        </w:rPr>
        <w:t>（三）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采购项目预算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  <w:lang w:val="en-US" w:eastAsia="zh-CN"/>
        </w:rPr>
        <w:t>2.75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内容：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4KG干粉灭火器500瓶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采购的工作内容均以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单位提供的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采购清单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关资料为准，并包含相关资料明示或隐含的工作内容。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送货日期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个日历天，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签订合同当天算起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二、报价要求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报价单位须是经过工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行政管理机关年审合格的具有独立法人资格的企业，其设备、人员和财务状况均满足本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采购项目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须能提供销售类发票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报价需包含材料费、人工费、运输费、税金等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费用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，报价为一次性报价。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本采购实行大包干，采购上限价为￥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27500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（大写：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人民币贰万柒仟伍佰元正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高于控制价上限的投标报价为无效报价。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0" w:line="336" w:lineRule="auto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三、中选原则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bCs/>
          <w:color w:val="00000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报价最低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者为第一中选单位，第一中选单位对中标价有差异无法履行的，由等次第二中标单位中标，依此类推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；如有相同报价，则由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单位组织进行二次报价。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开标前如参与报价的报价单位不足三家的，则补抽选其他符合资格单位参与报价，并保留原来报价单位的报价资格。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开标后有效报价单位不足三家的，如报价单位只有两家，根据项目情况由建设单位决定是否继续开标；只有一家，则本次询价作废标处理，应急或特殊情况除外。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若所有报价都不符合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采购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单位预期，则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采购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单位有权否决所有报价。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质量及保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/>
        <w:jc w:val="left"/>
        <w:textAlignment w:val="auto"/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质量等级为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符合国家现行安全标准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，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需提供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产品合格证或消防产品合格证或一年内第三方检验报告</w:t>
      </w:r>
      <w:r>
        <w:rPr>
          <w:rFonts w:hint="eastAsia" w:eastAsia="仿宋_GB2312" w:cs="Times New Roman"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spacing w:val="-1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生产日期及保质期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干粉灭火器为2021年生产批次，保质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期为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  <w:lang w:val="en-US" w:eastAsia="zh-CN"/>
        </w:rPr>
        <w:t>12个月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由双方验收合格并签订验收资料之日计起。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五、付款方式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到货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收并签订质量保证承诺书后一次性支付结算款项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0" w:line="336" w:lineRule="auto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六、报价书内容及有关要求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27" w:firstLineChars="196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报价书包括：报价汇总表、报价清单及附件，以上资料须加盖单位公章，且报价汇总表上须有法定代表人或委托代理人（附委托书）签字。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报价汇总表上须注明总价大小写，报价总价如大小写报价不一致的，以大写为准；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单价金额小数点或者百分比有明显错位的，以报价表的总价为准，并修改单价；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总价金额与按单价汇总金额不一致的，以单价金额计算结果为准；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总价金额为各分项报价金额之和，总价金额与分项报价的合价不一致的，应以各分项合价累计数为准，修正询价报价。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27" w:firstLineChars="196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营业执照、法人身份证复印件（如委托人签名须有委托证明书及或委托人身份证复印件）加盖公章；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336" w:lineRule="auto"/>
        <w:ind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以上资料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一式一份，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用信封装好后密封并在封面及密封处加盖公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章，资料不合格的，作无效报价处理。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336" w:lineRule="auto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七、相关奖惩激励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336" w:lineRule="auto"/>
        <w:ind w:left="0" w:leftChars="0" w:right="0" w:rightChars="0" w:firstLine="562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bCs/>
          <w:color w:val="00000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报价单位为我中心施工、采购备案单位，适用我中心制定的《施工、采购备案单位信用管理办法》；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336" w:lineRule="auto"/>
        <w:ind w:left="0" w:leftChars="0" w:right="0" w:rightChars="0" w:firstLine="562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color w:val="00000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val="en-US" w:eastAsia="zh-CN"/>
        </w:rPr>
        <w:t>报价单位如有疑问或特殊原因无法参与报价的，请于递交报价资料截止时间前致电建设单位咨询及说明情况；如无故放弃参与报价且未及时向建设单位反映的，建设单位对该单位进行相应处理，情节严重的，拒绝其三年内不得参与我中心工程项目、采购的报价，并扣减其相应诚信分数，且我中心有权拒绝其入库备案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336" w:lineRule="auto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八、其他：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报价有效期限：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请各报价单位将密封好的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报价资料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>年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>月</w:t>
      </w:r>
      <w:r>
        <w:rPr>
          <w:rFonts w:hint="eastAsia" w:eastAsia="仿宋_GB2312" w:cs="Times New Roman"/>
          <w:b/>
          <w:sz w:val="32"/>
          <w:szCs w:val="32"/>
          <w:u w:val="singl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>日</w:t>
      </w:r>
      <w:r>
        <w:rPr>
          <w:rFonts w:hint="default" w:ascii="Times New Roman" w:hAnsi="Times New Roman" w:eastAsia="仿宋_GB2312" w:cs="Times New Roman"/>
          <w:b/>
          <w:spacing w:val="-10"/>
          <w:sz w:val="32"/>
          <w:szCs w:val="32"/>
        </w:rPr>
        <w:t>下午5:30时前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送达</w:t>
      </w:r>
      <w:r>
        <w:rPr>
          <w:rFonts w:hint="eastAsia" w:eastAsia="仿宋_GB2312" w:cs="Times New Roman"/>
          <w:b/>
          <w:sz w:val="32"/>
          <w:szCs w:val="32"/>
          <w:lang w:val="en-US" w:eastAsia="zh-CN"/>
        </w:rPr>
        <w:t>坦洲镇农业服务中心（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坦洲镇坦神北路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89号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二号楼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室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，联系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郭先生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，联系电话: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0760-86651485</w:t>
      </w:r>
      <w:r>
        <w:rPr>
          <w:rFonts w:hint="default" w:ascii="Times New Roman" w:hAnsi="Times New Roman" w:eastAsia="仿宋_GB2312" w:cs="Times New Roman"/>
          <w:b/>
          <w:spacing w:val="-10"/>
          <w:sz w:val="32"/>
          <w:szCs w:val="32"/>
        </w:rPr>
        <w:t>（逾期无效）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各报价单位在资料送达之日起三个工作日内尚未收到通知的，视为不中标，我单位对不中标的单位不再另行通知。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840" w:rightChars="400" w:firstLine="603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-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pacing w:val="-10"/>
          <w:sz w:val="32"/>
          <w:szCs w:val="32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中山市坦洲镇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农业服务中心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840" w:rightChars="400" w:firstLine="4800" w:firstLineChars="15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587" w:bottom="2098" w:left="1587" w:header="1417" w:footer="1417" w:gutter="0"/>
      <w:pgNumType w:fmt="numberInDash"/>
      <w:cols w:space="0" w:num="1"/>
      <w:rtlGutter w:val="0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C6615"/>
    <w:rsid w:val="0078425D"/>
    <w:rsid w:val="00D05D5C"/>
    <w:rsid w:val="022F6AAD"/>
    <w:rsid w:val="026E054B"/>
    <w:rsid w:val="047218FF"/>
    <w:rsid w:val="048D5C70"/>
    <w:rsid w:val="04E0510C"/>
    <w:rsid w:val="051A0347"/>
    <w:rsid w:val="06F668FD"/>
    <w:rsid w:val="07DD27BE"/>
    <w:rsid w:val="0829754E"/>
    <w:rsid w:val="099F7E40"/>
    <w:rsid w:val="0A6F2D41"/>
    <w:rsid w:val="0A975ABE"/>
    <w:rsid w:val="0AB505E0"/>
    <w:rsid w:val="0B7D0232"/>
    <w:rsid w:val="0C3563F2"/>
    <w:rsid w:val="0E5D64EA"/>
    <w:rsid w:val="0EEE40AD"/>
    <w:rsid w:val="0FD15E9D"/>
    <w:rsid w:val="14651765"/>
    <w:rsid w:val="16710389"/>
    <w:rsid w:val="16F84072"/>
    <w:rsid w:val="187647BD"/>
    <w:rsid w:val="190956AC"/>
    <w:rsid w:val="19884223"/>
    <w:rsid w:val="1AD30CEF"/>
    <w:rsid w:val="1B607A41"/>
    <w:rsid w:val="1C6A2586"/>
    <w:rsid w:val="1CC90DF5"/>
    <w:rsid w:val="1E7E3359"/>
    <w:rsid w:val="1E8C47EE"/>
    <w:rsid w:val="1F376881"/>
    <w:rsid w:val="1F3845AC"/>
    <w:rsid w:val="20791772"/>
    <w:rsid w:val="21FD55E5"/>
    <w:rsid w:val="24890F20"/>
    <w:rsid w:val="24E365DA"/>
    <w:rsid w:val="25590A61"/>
    <w:rsid w:val="26FD2285"/>
    <w:rsid w:val="27D90779"/>
    <w:rsid w:val="29CE7B24"/>
    <w:rsid w:val="29EE1834"/>
    <w:rsid w:val="2B7062C1"/>
    <w:rsid w:val="2D835212"/>
    <w:rsid w:val="2E784DA5"/>
    <w:rsid w:val="31BF253F"/>
    <w:rsid w:val="324D792B"/>
    <w:rsid w:val="32676F9B"/>
    <w:rsid w:val="333D5B2B"/>
    <w:rsid w:val="33CC5A6C"/>
    <w:rsid w:val="342A327B"/>
    <w:rsid w:val="346E390C"/>
    <w:rsid w:val="352578B8"/>
    <w:rsid w:val="354F0D21"/>
    <w:rsid w:val="35593F9F"/>
    <w:rsid w:val="38900A9E"/>
    <w:rsid w:val="38940247"/>
    <w:rsid w:val="38B6402A"/>
    <w:rsid w:val="3A631B96"/>
    <w:rsid w:val="3A837B7A"/>
    <w:rsid w:val="3B5F2103"/>
    <w:rsid w:val="3E2E09E4"/>
    <w:rsid w:val="3E84450A"/>
    <w:rsid w:val="3EE644BF"/>
    <w:rsid w:val="3F217BA5"/>
    <w:rsid w:val="3F8A3964"/>
    <w:rsid w:val="401D5E83"/>
    <w:rsid w:val="40C84D05"/>
    <w:rsid w:val="41A87755"/>
    <w:rsid w:val="41D9584A"/>
    <w:rsid w:val="42965A3E"/>
    <w:rsid w:val="42D60840"/>
    <w:rsid w:val="43212191"/>
    <w:rsid w:val="43F04810"/>
    <w:rsid w:val="44FD1E17"/>
    <w:rsid w:val="45D40E6A"/>
    <w:rsid w:val="463D52AE"/>
    <w:rsid w:val="479B5209"/>
    <w:rsid w:val="47A7751B"/>
    <w:rsid w:val="47F07979"/>
    <w:rsid w:val="4BDB117F"/>
    <w:rsid w:val="4C985970"/>
    <w:rsid w:val="4D3E110E"/>
    <w:rsid w:val="4D8A3C25"/>
    <w:rsid w:val="4F2A29B3"/>
    <w:rsid w:val="4F2F7CA7"/>
    <w:rsid w:val="4F3C1FA2"/>
    <w:rsid w:val="50FD3DCB"/>
    <w:rsid w:val="528A7A77"/>
    <w:rsid w:val="529507E8"/>
    <w:rsid w:val="532F3613"/>
    <w:rsid w:val="546B24A4"/>
    <w:rsid w:val="547E2F51"/>
    <w:rsid w:val="56233AF4"/>
    <w:rsid w:val="572A7A22"/>
    <w:rsid w:val="58B05DAC"/>
    <w:rsid w:val="59E6768F"/>
    <w:rsid w:val="59EF57E4"/>
    <w:rsid w:val="5A243A52"/>
    <w:rsid w:val="5A8027AA"/>
    <w:rsid w:val="5A9131D8"/>
    <w:rsid w:val="5C583B9E"/>
    <w:rsid w:val="5CC46BD3"/>
    <w:rsid w:val="5D752E90"/>
    <w:rsid w:val="5DA5760C"/>
    <w:rsid w:val="5DAD644D"/>
    <w:rsid w:val="5DF2164D"/>
    <w:rsid w:val="5EAC20C0"/>
    <w:rsid w:val="5F115265"/>
    <w:rsid w:val="5F4767D0"/>
    <w:rsid w:val="5FFC3945"/>
    <w:rsid w:val="60A5073F"/>
    <w:rsid w:val="615A1A97"/>
    <w:rsid w:val="62F4190B"/>
    <w:rsid w:val="62FA5BF1"/>
    <w:rsid w:val="630A5DDA"/>
    <w:rsid w:val="63597839"/>
    <w:rsid w:val="63642101"/>
    <w:rsid w:val="63803558"/>
    <w:rsid w:val="63F34203"/>
    <w:rsid w:val="6530440E"/>
    <w:rsid w:val="65B80891"/>
    <w:rsid w:val="65F271C7"/>
    <w:rsid w:val="65F948B2"/>
    <w:rsid w:val="66BC3032"/>
    <w:rsid w:val="67964864"/>
    <w:rsid w:val="67ED661B"/>
    <w:rsid w:val="6888460E"/>
    <w:rsid w:val="69051666"/>
    <w:rsid w:val="699F4445"/>
    <w:rsid w:val="6AFA3AFC"/>
    <w:rsid w:val="6D134438"/>
    <w:rsid w:val="6FB75FE6"/>
    <w:rsid w:val="6FED1DFF"/>
    <w:rsid w:val="7347691E"/>
    <w:rsid w:val="73542225"/>
    <w:rsid w:val="74643500"/>
    <w:rsid w:val="749750BF"/>
    <w:rsid w:val="74BA430C"/>
    <w:rsid w:val="754B307D"/>
    <w:rsid w:val="765F6CC0"/>
    <w:rsid w:val="76F31F52"/>
    <w:rsid w:val="783D3E7D"/>
    <w:rsid w:val="78F646A4"/>
    <w:rsid w:val="7A5E48CD"/>
    <w:rsid w:val="7A6B592D"/>
    <w:rsid w:val="7B2C03A3"/>
    <w:rsid w:val="7C640645"/>
    <w:rsid w:val="7CAB274E"/>
    <w:rsid w:val="7CE35671"/>
    <w:rsid w:val="7F6210C1"/>
    <w:rsid w:val="7FC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欧阳嘉敏</cp:lastModifiedBy>
  <cp:lastPrinted>2020-11-02T08:11:00Z</cp:lastPrinted>
  <dcterms:modified xsi:type="dcterms:W3CDTF">2021-07-16T01:01:39Z</dcterms:modified>
  <dc:title>  采购项目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