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方正小标宋简体" w:hAnsi="黑体" w:eastAsia="方正小标宋简体" w:cs="黑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企业基本情况</w:t>
      </w:r>
      <w:r>
        <w:rPr>
          <w:rFonts w:hint="eastAsia" w:ascii="方正小标宋简体" w:hAnsi="黑体" w:eastAsia="方正小标宋简体" w:cs="黑体"/>
          <w:sz w:val="40"/>
          <w:szCs w:val="40"/>
        </w:rPr>
        <w:t>报告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（参考</w:t>
      </w:r>
      <w:r>
        <w:rPr>
          <w:rFonts w:hint="eastAsia" w:ascii="方正小标宋简体" w:hAnsi="黑体" w:eastAsia="方正小标宋简体" w:cs="黑体"/>
          <w:sz w:val="40"/>
          <w:szCs w:val="40"/>
        </w:rPr>
        <w:t>提纲</w:t>
      </w: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企业的基本情况。主要包括法人所有制性质、股权结构、主要股东概况、主营业务，上年度营业收入、纳税额、职工人数、企业总资产、资产负债率、银行信用等级等。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核心技术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研发情况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包括企业拥有自主研发平台、核心自主知识产权，核心技术行业地位、发明专利、标准制定、研发费用、产学研合作等情况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市场发展情况</w:t>
      </w:r>
    </w:p>
    <w:p>
      <w:pPr>
        <w:numPr>
          <w:ilvl w:val="255"/>
          <w:numId w:val="0"/>
        </w:numPr>
        <w:ind w:firstLine="640" w:firstLineChars="200"/>
        <w:rPr>
          <w:rFonts w:hint="eastAsia" w:ascii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包括产品所在行业市场规模、产品市场占有率，可持续的科研成果转化能力、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预期的经济效益等。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、发展前景及规划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产业发展战略与重点领域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2.企业三年规划目标和投资计划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0274"/>
    <w:rsid w:val="02A651C0"/>
    <w:rsid w:val="32EA0274"/>
    <w:rsid w:val="69B4534B"/>
    <w:rsid w:val="746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2021-03-24T02:38:00Z</dcterms:created>
  <dc:creator>郑凤珊</dc:creator>
  <cp:lastModifiedBy>凯</cp:lastModifiedBy>
  <dcterms:modified xsi:type="dcterms:W3CDTF">2021-04-28T02:26:07Z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B443E6D3226A45D28F3761FC69FC6AC7</vt:lpwstr>
  </property>
</Properties>
</file>