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505" w:val="left" w:leader="none"/>
          <w:tab w:pos="2827" w:val="left" w:leader="none"/>
          <w:tab w:pos="4149" w:val="left" w:leader="none"/>
          <w:tab w:pos="5471" w:val="left" w:leader="none"/>
          <w:tab w:pos="6794" w:val="left" w:leader="none"/>
          <w:tab w:pos="8116" w:val="left" w:leader="none"/>
        </w:tabs>
        <w:spacing w:line="1231" w:lineRule="exact" w:before="0"/>
        <w:ind w:left="183" w:right="0" w:firstLine="0"/>
        <w:jc w:val="left"/>
        <w:rPr>
          <w:rFonts w:ascii="方正小标宋简体" w:eastAsia="方正小标宋简体" w:hint="eastAsia"/>
          <w:b/>
          <w:sz w:val="80"/>
        </w:rPr>
      </w:pPr>
      <w:r>
        <w:rPr/>
        <w:pict>
          <v:group style="position:absolute;margin-left:56.650002pt;margin-top:137.799988pt;width:481.9pt;height:4.5pt;mso-position-horizontal-relative:page;mso-position-vertical-relative:page;z-index:-251729920" coordorigin="1133,2756" coordsize="9638,90">
            <v:line style="position:absolute" from="1133,2837" to="10771,2837" stroked="true" strokeweight=".9pt" strokecolor="#ff0000">
              <v:stroke dashstyle="solid"/>
            </v:line>
            <v:line style="position:absolute" from="1133,2783" to="10771,2783" stroked="true" strokeweight="2.7pt" strokecolor="#ff0000">
              <v:stroke dashstyle="solid"/>
            </v:line>
            <w10:wrap type="none"/>
          </v:group>
        </w:pict>
      </w:r>
      <w:r>
        <w:rPr/>
        <w:pict>
          <v:group style="position:absolute;margin-left:56.650002pt;margin-top:773.149963pt;width:481.9pt;height:4.5pt;mso-position-horizontal-relative:page;mso-position-vertical-relative:page;z-index:251659264" coordorigin="1133,15463" coordsize="9638,90">
            <v:line style="position:absolute" from="1133,15526" to="10771,15526" stroked="true" strokeweight="2.7pt" strokecolor="#ff0000">
              <v:stroke dashstyle="solid"/>
            </v:line>
            <v:line style="position:absolute" from="1133,15472" to="10771,15472" stroked="true" strokeweight=".9pt" strokecolor="#ff0000">
              <v:stroke dashstyle="solid"/>
            </v:line>
            <w10:wrap type="none"/>
          </v:group>
        </w:pict>
      </w:r>
      <w:r>
        <w:rPr>
          <w:rFonts w:ascii="方正小标宋简体" w:eastAsia="方正小标宋简体" w:hint="eastAsia"/>
          <w:b/>
          <w:color w:val="FF0000"/>
          <w:w w:val="85"/>
          <w:sz w:val="80"/>
        </w:rPr>
        <w:t>中</w:t>
        <w:tab/>
        <w:t>山</w:t>
        <w:tab/>
        <w:t>市</w:t>
        <w:tab/>
        <w:t>人</w:t>
        <w:tab/>
        <w:t>民</w:t>
        <w:tab/>
        <w:t>政</w:t>
        <w:tab/>
        <w:t>府</w:t>
      </w:r>
    </w:p>
    <w:p>
      <w:pPr>
        <w:pStyle w:val="BodyText"/>
        <w:rPr>
          <w:rFonts w:ascii="方正小标宋简体"/>
          <w:b/>
          <w:sz w:val="20"/>
        </w:rPr>
      </w:pPr>
    </w:p>
    <w:p>
      <w:pPr>
        <w:pStyle w:val="BodyText"/>
        <w:rPr>
          <w:rFonts w:ascii="方正小标宋简体"/>
          <w:b/>
          <w:sz w:val="20"/>
        </w:rPr>
      </w:pPr>
    </w:p>
    <w:p>
      <w:pPr>
        <w:pStyle w:val="BodyText"/>
        <w:spacing w:before="8"/>
        <w:rPr>
          <w:rFonts w:ascii="方正小标宋简体"/>
          <w:b/>
          <w:sz w:val="25"/>
        </w:rPr>
      </w:pPr>
    </w:p>
    <w:p>
      <w:pPr>
        <w:pStyle w:val="BodyText"/>
        <w:spacing w:before="65"/>
        <w:ind w:left="5988"/>
      </w:pPr>
      <w:r>
        <w:rPr/>
        <w:t>中府函〔</w:t>
      </w:r>
      <w:r>
        <w:rPr>
          <w:rFonts w:ascii="Times New Roman" w:eastAsia="Times New Roman"/>
        </w:rPr>
        <w:t>2021</w:t>
      </w:r>
      <w:r>
        <w:rPr/>
        <w:t>〕</w:t>
      </w:r>
      <w:r>
        <w:rPr>
          <w:rFonts w:ascii="Times New Roman" w:eastAsia="Times New Roman"/>
        </w:rPr>
        <w:t>43 </w:t>
      </w:r>
      <w:r>
        <w:rPr/>
        <w:t>号</w:t>
      </w:r>
    </w:p>
    <w:p>
      <w:pPr>
        <w:pStyle w:val="BodyText"/>
        <w:spacing w:before="10"/>
        <w:rPr>
          <w:sz w:val="49"/>
        </w:rPr>
      </w:pPr>
    </w:p>
    <w:p>
      <w:pPr>
        <w:spacing w:line="218" w:lineRule="auto" w:before="0"/>
        <w:ind w:left="1904" w:right="565" w:hanging="1498"/>
        <w:jc w:val="left"/>
        <w:rPr>
          <w:rFonts w:ascii="微软简标宋" w:eastAsia="微软简标宋"/>
          <w:sz w:val="44"/>
        </w:rPr>
      </w:pPr>
      <w:r>
        <w:rPr>
          <w:rFonts w:ascii="微软简标宋" w:eastAsia="微软简标宋"/>
          <w:spacing w:val="-13"/>
          <w:sz w:val="44"/>
        </w:rPr>
        <w:t>中山市人民政府关于中山市东凤镇穗成片区</w:t>
      </w:r>
      <w:r>
        <w:rPr>
          <w:rFonts w:ascii="微软简标宋" w:eastAsia="微软简标宋"/>
          <w:spacing w:val="-12"/>
          <w:sz w:val="44"/>
        </w:rPr>
        <w:t>控制性详细规划成果的批复</w:t>
      </w:r>
    </w:p>
    <w:p>
      <w:pPr>
        <w:pStyle w:val="BodyText"/>
        <w:spacing w:before="13"/>
        <w:rPr>
          <w:rFonts w:ascii="微软简标宋"/>
          <w:sz w:val="46"/>
        </w:rPr>
      </w:pPr>
    </w:p>
    <w:p>
      <w:pPr>
        <w:pStyle w:val="BodyText"/>
        <w:ind w:left="108"/>
      </w:pPr>
      <w:r>
        <w:rPr/>
        <w:t>东凤镇人民政府：</w:t>
      </w:r>
    </w:p>
    <w:p>
      <w:pPr>
        <w:pStyle w:val="BodyText"/>
        <w:spacing w:line="336" w:lineRule="auto" w:before="166"/>
        <w:ind w:left="109" w:right="214" w:firstLine="623"/>
        <w:jc w:val="right"/>
      </w:pPr>
      <w:r>
        <w:rPr>
          <w:spacing w:val="-8"/>
          <w:w w:val="95"/>
        </w:rPr>
        <w:t>你镇《关于审批〈中山市东凤镇穗成片区控制性详细规划调 </w:t>
      </w:r>
      <w:r>
        <w:rPr>
          <w:spacing w:val="-13"/>
        </w:rPr>
        <w:t>整</w:t>
      </w:r>
      <w:r>
        <w:rPr>
          <w:spacing w:val="-44"/>
        </w:rPr>
        <w:t>〉的请示》</w:t>
      </w:r>
      <w:r>
        <w:rPr>
          <w:spacing w:val="-10"/>
        </w:rPr>
        <w:t>（</w:t>
      </w:r>
      <w:r>
        <w:rPr>
          <w:spacing w:val="-13"/>
        </w:rPr>
        <w:t>东凤府〔</w:t>
      </w:r>
      <w:r>
        <w:rPr>
          <w:rFonts w:ascii="Times New Roman" w:eastAsia="Times New Roman"/>
          <w:spacing w:val="-7"/>
        </w:rPr>
        <w:t>2021</w:t>
      </w:r>
      <w:r>
        <w:rPr>
          <w:spacing w:val="-13"/>
        </w:rPr>
        <w:t>〕</w:t>
      </w:r>
      <w:r>
        <w:rPr>
          <w:rFonts w:ascii="Times New Roman" w:eastAsia="Times New Roman"/>
        </w:rPr>
        <w:t>2 </w:t>
      </w:r>
      <w:r>
        <w:rPr>
          <w:spacing w:val="-10"/>
        </w:rPr>
        <w:t>号</w:t>
      </w:r>
      <w:r>
        <w:rPr>
          <w:spacing w:val="-13"/>
        </w:rPr>
        <w:t>）收悉。经研究，批复如下：</w:t>
      </w:r>
      <w:r>
        <w:rPr>
          <w:spacing w:val="-13"/>
          <w:w w:val="95"/>
        </w:rPr>
        <w:t>一</w:t>
      </w:r>
      <w:r>
        <w:rPr>
          <w:spacing w:val="-25"/>
          <w:w w:val="95"/>
        </w:rPr>
        <w:t>、经审核，《中山市东凤镇穗成片区控制性详细规划调整》</w:t>
      </w:r>
    </w:p>
    <w:p>
      <w:pPr>
        <w:pStyle w:val="BodyText"/>
        <w:spacing w:line="336" w:lineRule="auto"/>
        <w:ind w:left="108" w:right="254"/>
        <w:jc w:val="both"/>
      </w:pPr>
      <w:r>
        <w:rPr>
          <w:spacing w:val="-16"/>
        </w:rPr>
        <w:t>修编程序符合《中华人民共和国城乡规划法</w:t>
      </w:r>
      <w:r>
        <w:rPr>
          <w:spacing w:val="-32"/>
        </w:rPr>
        <w:t>》《广东省城乡规划条</w:t>
      </w:r>
      <w:r>
        <w:rPr>
          <w:spacing w:val="-29"/>
        </w:rPr>
        <w:t>例》《城市、镇控制性详细规划编制审批办法》《广东省城市控制性详细规划管理条例》相关要求，编制成果符合市、镇总体规划要求，因此，原则同意《中山市东凤镇穗成片区控制性详细规划</w:t>
      </w:r>
      <w:r>
        <w:rPr>
          <w:spacing w:val="-3"/>
          <w:w w:val="95"/>
        </w:rPr>
        <w:t>调整》，命名调整为《中山市东凤镇穗成片区控制性详细规划</w:t>
      </w:r>
    </w:p>
    <w:p>
      <w:pPr>
        <w:pStyle w:val="BodyText"/>
        <w:ind w:left="108"/>
      </w:pPr>
      <w:r>
        <w:rPr>
          <w:spacing w:val="-13"/>
          <w:w w:val="99"/>
        </w:rPr>
        <w:t>（</w:t>
      </w:r>
      <w:r>
        <w:rPr>
          <w:rFonts w:ascii="Times New Roman" w:eastAsia="Times New Roman"/>
          <w:spacing w:val="-7"/>
          <w:w w:val="99"/>
        </w:rPr>
        <w:t>2020</w:t>
      </w:r>
      <w:r>
        <w:rPr>
          <w:spacing w:val="-166"/>
          <w:w w:val="99"/>
        </w:rPr>
        <w:t>）</w:t>
      </w:r>
      <w:r>
        <w:rPr>
          <w:spacing w:val="-163"/>
          <w:w w:val="99"/>
        </w:rPr>
        <w:t>》</w:t>
      </w:r>
      <w:r>
        <w:rPr>
          <w:spacing w:val="-13"/>
          <w:w w:val="99"/>
        </w:rPr>
        <w:t>（</w:t>
      </w:r>
      <w:r>
        <w:rPr>
          <w:spacing w:val="-39"/>
          <w:w w:val="99"/>
        </w:rPr>
        <w:t>简称《控规》</w:t>
      </w:r>
      <w:r>
        <w:rPr>
          <w:spacing w:val="-164"/>
          <w:w w:val="99"/>
        </w:rPr>
        <w:t>）</w:t>
      </w:r>
      <w:r>
        <w:rPr>
          <w:w w:val="99"/>
        </w:rPr>
        <w:t>。</w:t>
      </w:r>
    </w:p>
    <w:p>
      <w:pPr>
        <w:pStyle w:val="BodyText"/>
        <w:spacing w:line="336" w:lineRule="auto" w:before="163"/>
        <w:ind w:left="108" w:right="106" w:firstLine="624"/>
      </w:pPr>
      <w:r>
        <w:rPr>
          <w:spacing w:val="-21"/>
          <w:w w:val="95"/>
        </w:rPr>
        <w:t>二、涉及《控规》与原建设用地出让合同规划条件不一致的， </w:t>
      </w:r>
      <w:r>
        <w:rPr>
          <w:spacing w:val="-8"/>
        </w:rPr>
        <w:t>要按照出让合同执行，严格管理，不得占用基本农田，不得侵占生态控制线，不得随意减少公共绿地及公共服务设施用地；如有</w:t>
      </w:r>
      <w:r>
        <w:rPr>
          <w:spacing w:val="-27"/>
        </w:rPr>
        <w:t>变化，应按照《中华人民共和国城乡规划法》《建设用地容积率管</w:t>
      </w:r>
    </w:p>
    <w:p>
      <w:pPr>
        <w:spacing w:after="0" w:line="336" w:lineRule="auto"/>
        <w:sectPr>
          <w:type w:val="continuous"/>
          <w:pgSz w:w="11910" w:h="16840"/>
          <w:pgMar w:top="1540" w:bottom="280" w:left="14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54"/>
        <w:ind w:left="108"/>
      </w:pPr>
      <w:r>
        <w:rPr/>
        <w:t>理办法》等有关规定办理。</w:t>
      </w:r>
    </w:p>
    <w:p>
      <w:pPr>
        <w:pStyle w:val="BodyText"/>
        <w:spacing w:line="336" w:lineRule="auto" w:before="164"/>
        <w:ind w:left="108" w:right="262" w:firstLine="624"/>
        <w:jc w:val="both"/>
      </w:pPr>
      <w:r>
        <w:rPr>
          <w:spacing w:val="-8"/>
          <w:w w:val="95"/>
        </w:rPr>
        <w:t>三、《控规》为中山东凤镇穗成片区范围内地块及周边用地 建设发展的法定文件。在今后实施过程中，相关地块控制、道路  交通等建设均应符合《控规》的要求。市自然资源局要加强业务  </w:t>
      </w:r>
      <w:r>
        <w:rPr>
          <w:spacing w:val="-13"/>
        </w:rPr>
        <w:t>指导。</w:t>
      </w:r>
    </w:p>
    <w:p>
      <w:pPr>
        <w:pStyle w:val="BodyText"/>
        <w:spacing w:line="336" w:lineRule="auto" w:before="1"/>
        <w:ind w:left="108" w:right="114" w:firstLine="624"/>
      </w:pPr>
      <w:r>
        <w:rPr/>
        <w:pict>
          <v:group style="position:absolute;margin-left:304.320007pt;margin-top:116.481766pt;width:148pt;height:139pt;mso-position-horizontal-relative:page;mso-position-vertical-relative:paragraph;z-index:-251655168;mso-wrap-distance-left:0;mso-wrap-distance-right:0" coordorigin="6086,2330" coordsize="2960,2780">
            <v:shape style="position:absolute;left:6086;top:2329;width:2960;height:2780" type="#_x0000_t75" alt="?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86;top:2329;width:2960;height:27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41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中山市人民政府</w:t>
                    </w:r>
                  </w:p>
                  <w:p>
                    <w:pPr>
                      <w:spacing w:before="163"/>
                      <w:ind w:left="294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rFonts w:ascii="Times New Roman" w:eastAsia="Times New Roman"/>
                        <w:sz w:val="32"/>
                      </w:rPr>
                      <w:t>2021 </w:t>
                    </w:r>
                    <w:r>
                      <w:rPr>
                        <w:sz w:val="32"/>
                      </w:rPr>
                      <w:t>年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>2 </w:t>
                    </w:r>
                    <w:r>
                      <w:rPr>
                        <w:sz w:val="32"/>
                      </w:rPr>
                      <w:t>月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>26 </w:t>
                    </w:r>
                    <w:r>
                      <w:rPr>
                        <w:sz w:val="32"/>
                      </w:rPr>
                      <w:t>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8"/>
        </w:rPr>
        <w:t>四、你镇要加强对《控规》实施的指导、监督和检查工作， 不得随意调整《控规》；确需调整的，必须按法定程序办理，确</w:t>
      </w:r>
      <w:r>
        <w:rPr>
          <w:spacing w:val="-30"/>
        </w:rPr>
        <w:t>保《控规》的严格实施，并在《控规》获批之日起 </w:t>
      </w:r>
      <w:r>
        <w:rPr>
          <w:rFonts w:ascii="Times New Roman" w:eastAsia="Times New Roman"/>
        </w:rPr>
        <w:t>20 </w:t>
      </w:r>
      <w:r>
        <w:rPr>
          <w:spacing w:val="-13"/>
        </w:rPr>
        <w:t>个工作日内， 向社会公布。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54"/>
        <w:ind w:left="108"/>
      </w:pPr>
      <w:r>
        <w:rPr>
          <w:rFonts w:ascii="黑体" w:eastAsia="黑体" w:hint="eastAsia"/>
        </w:rPr>
        <w:t>公开方式</w:t>
      </w:r>
      <w:r>
        <w:rPr/>
        <w:t>：主动公开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spacing w:line="384" w:lineRule="auto" w:before="0"/>
        <w:ind w:left="1181" w:right="150" w:hanging="804"/>
        <w:jc w:val="left"/>
        <w:rPr>
          <w:sz w:val="28"/>
        </w:rPr>
      </w:pPr>
      <w:r>
        <w:rPr>
          <w:spacing w:val="-23"/>
          <w:sz w:val="28"/>
        </w:rPr>
        <w:t>抄送：市发展改革局，教育体育局，工业和信息化局，自然资源局，生态</w:t>
      </w:r>
      <w:r>
        <w:rPr>
          <w:spacing w:val="-15"/>
          <w:sz w:val="28"/>
        </w:rPr>
        <w:t>环境局，住房城乡建设局，交通运输局，公路事务中心，水务局， </w:t>
      </w:r>
      <w:r>
        <w:rPr>
          <w:spacing w:val="-23"/>
          <w:sz w:val="28"/>
        </w:rPr>
        <w:t>农业农村局，文化广电旅游局，城市更新局，城建集团，交通发展</w:t>
      </w:r>
      <w:r>
        <w:rPr>
          <w:spacing w:val="-9"/>
          <w:sz w:val="28"/>
        </w:rPr>
        <w:t>集团。</w:t>
      </w:r>
    </w:p>
    <w:sectPr>
      <w:pgSz w:w="11910" w:h="16840"/>
      <w:pgMar w:top="1580" w:bottom="280" w:left="14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_GB2312">
    <w:altName w:val="仿宋_GB2312"/>
    <w:charset w:val="86"/>
    <w:family w:val="modern"/>
    <w:pitch w:val="fixed"/>
  </w:font>
  <w:font w:name="微软简标宋">
    <w:altName w:val="微软简标宋"/>
    <w:charset w:val="86"/>
    <w:family w:val="auto"/>
    <w:pitch w:val="variable"/>
  </w:font>
  <w:font w:name="方正小标宋简体">
    <w:altName w:val="方正小标宋简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中山市人民政府办公室文件</dc:title>
  <dcterms:created xsi:type="dcterms:W3CDTF">2021-03-11T01:27:56Z</dcterms:created>
  <dcterms:modified xsi:type="dcterms:W3CDTF">2021-03-11T01:27:56Z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2021-03-11T00:00:00Z</vt:filetime>
  </property>
</Properties>
</file>