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因中山市东凤镇人民政府建设项目建设需要，拟征收</w:t>
      </w:r>
      <w:r>
        <w:rPr>
          <w:rFonts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东凤镇民乐社区</w:t>
      </w:r>
      <w:r>
        <w:rPr>
          <w:rFonts w:ascii="仿宋" w:hAnsi="仿宋" w:eastAsia="仿宋"/>
          <w:sz w:val="28"/>
          <w:szCs w:val="28"/>
        </w:rPr>
        <w:t>股份合作经济联合社</w:t>
      </w:r>
      <w:r>
        <w:rPr>
          <w:rFonts w:hint="eastAsia" w:ascii="仿宋" w:hAnsi="仿宋" w:eastAsia="仿宋"/>
          <w:sz w:val="28"/>
          <w:szCs w:val="28"/>
        </w:rPr>
        <w:t>农民集体土地2.4308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东凤镇民乐社区</w:t>
      </w:r>
      <w:r>
        <w:rPr>
          <w:rFonts w:ascii="仿宋" w:hAnsi="仿宋" w:eastAsia="仿宋"/>
          <w:sz w:val="28"/>
          <w:szCs w:val="28"/>
        </w:rPr>
        <w:t>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东凤镇民乐社区</w:t>
      </w:r>
      <w:r>
        <w:rPr>
          <w:rFonts w:ascii="仿宋" w:hAnsi="仿宋" w:eastAsia="仿宋"/>
          <w:sz w:val="28"/>
          <w:szCs w:val="28"/>
        </w:rPr>
        <w:t>股份合作经济联合社</w:t>
      </w:r>
      <w:r>
        <w:rPr>
          <w:rFonts w:hint="eastAsia" w:ascii="仿宋" w:hAnsi="仿宋" w:eastAsia="仿宋"/>
          <w:sz w:val="28"/>
          <w:szCs w:val="28"/>
        </w:rPr>
        <w:t>农民集体土地2.4308公顷，其中耕地0.4351公顷、坑塘水面1.6294公顷、建设用地0.2078公顷、未利用地0.1585公顷。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三、被征收土地拟建设用途：成片开发建设需要用地。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（一）土地补偿费和安置补助费标准:耕地180万元/公顷，坑塘水面180万元/公顷,建设用地180万元/公顷,未利用地180万元/公顷，共437.544万元。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</w:t>
      </w:r>
      <w:r>
        <w:rPr>
          <w:rFonts w:hint="eastAsia" w:ascii="仿宋" w:hAnsi="仿宋" w:eastAsia="仿宋"/>
          <w:color w:val="0000FF"/>
          <w:sz w:val="28"/>
          <w:szCs w:val="28"/>
        </w:rPr>
        <w:t>面积合共为0.36464公顷，其中0.02034公顷按照折算成货币补偿，折算标准为656万元/公顷, 共13.343万元，剩余0.3</w:t>
      </w:r>
      <w:bookmarkStart w:id="0" w:name="_GoBack"/>
      <w:bookmarkEnd w:id="0"/>
      <w:r>
        <w:rPr>
          <w:rFonts w:hint="eastAsia" w:ascii="仿宋" w:hAnsi="仿宋" w:eastAsia="仿宋"/>
          <w:color w:val="0000FF"/>
          <w:sz w:val="28"/>
          <w:szCs w:val="28"/>
        </w:rPr>
        <w:t>443公顷，按照折算成货币补偿，折算标准为652万元/公顷, 共224.4771万元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hint="eastAsia" w:eastAsia="仿宋"/>
          <w:lang w:eastAsia="zh-CN"/>
        </w:rPr>
        <w:sectPr>
          <w:pgSz w:w="11906" w:h="16838"/>
          <w:pgMar w:top="1440" w:right="1800" w:bottom="898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。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1F743F23"/>
    <w:rsid w:val="324A7BB1"/>
    <w:rsid w:val="469515B6"/>
    <w:rsid w:val="59877843"/>
    <w:rsid w:val="6138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</TotalTime>
  <ScaleCrop>false</ScaleCrop>
  <LinksUpToDate>false</LinksUpToDate>
  <CharactersWithSpaces>20777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俊</cp:lastModifiedBy>
  <dcterms:modified xsi:type="dcterms:W3CDTF">2020-12-20T15:00:52Z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