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应租方为石岐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</w:t>
      </w:r>
      <w:r>
        <w:rPr>
          <w:rFonts w:hint="eastAsia" w:ascii="仿宋_GB2312" w:hAnsi="仿宋_GB2312" w:eastAsia="仿宋_GB2312" w:cs="仿宋_GB2312"/>
          <w:sz w:val="32"/>
          <w:szCs w:val="32"/>
        </w:rPr>
        <w:t>普惠性幼儿园；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承租物业后需对校舍进行翻新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加固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sz w:val="32"/>
          <w:szCs w:val="32"/>
        </w:rPr>
        <w:t>，投入资金不低于250万元；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C0ABC6"/>
    <w:multiLevelType w:val="singleLevel"/>
    <w:tmpl w:val="F6C0AB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D2853"/>
    <w:rsid w:val="537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2021-03-03T07:18:00Z</dcterms:created>
  <dc:creator>NTKO</dc:creator>
  <cp:lastModifiedBy>NTKO</cp:lastModifiedBy>
  <dcterms:modified xsi:type="dcterms:W3CDTF">2021-03-03T07:18:28Z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