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553" w:type="dxa"/>
        <w:jc w:val="center"/>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0"/>
        <w:gridCol w:w="918"/>
        <w:gridCol w:w="1245"/>
        <w:gridCol w:w="2610"/>
        <w:gridCol w:w="2415"/>
        <w:gridCol w:w="104"/>
        <w:gridCol w:w="1156"/>
        <w:gridCol w:w="1181"/>
        <w:gridCol w:w="138"/>
        <w:gridCol w:w="1037"/>
        <w:gridCol w:w="720"/>
        <w:gridCol w:w="705"/>
        <w:gridCol w:w="585"/>
        <w:gridCol w:w="690"/>
        <w:gridCol w:w="735"/>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30" w:hRule="atLeast"/>
          <w:jc w:val="center"/>
        </w:trPr>
        <w:tc>
          <w:tcPr>
            <w:tcW w:w="460"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号</w:t>
            </w:r>
          </w:p>
        </w:tc>
        <w:tc>
          <w:tcPr>
            <w:tcW w:w="918" w:type="dxa"/>
            <w:vMerge w:val="restart"/>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一级事项</w:t>
            </w:r>
          </w:p>
        </w:tc>
        <w:tc>
          <w:tcPr>
            <w:tcW w:w="1245"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二级事项</w:t>
            </w:r>
          </w:p>
        </w:tc>
        <w:tc>
          <w:tcPr>
            <w:tcW w:w="2610"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公开内容</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（要素）</w:t>
            </w:r>
          </w:p>
        </w:tc>
        <w:tc>
          <w:tcPr>
            <w:tcW w:w="2415"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 xml:space="preserve">公开依据                                                    </w:t>
            </w:r>
          </w:p>
        </w:tc>
        <w:tc>
          <w:tcPr>
            <w:tcW w:w="1260"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公开时限</w:t>
            </w:r>
          </w:p>
        </w:tc>
        <w:tc>
          <w:tcPr>
            <w:tcW w:w="1181" w:type="dxa"/>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公开主体</w:t>
            </w:r>
          </w:p>
        </w:tc>
        <w:tc>
          <w:tcPr>
            <w:tcW w:w="1175" w:type="dxa"/>
            <w:gridSpan w:val="2"/>
            <w:vMerge w:val="restart"/>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渠道和载体</w:t>
            </w:r>
          </w:p>
        </w:tc>
        <w:tc>
          <w:tcPr>
            <w:tcW w:w="1425"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对象</w:t>
            </w:r>
          </w:p>
        </w:tc>
        <w:tc>
          <w:tcPr>
            <w:tcW w:w="1275"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方式</w:t>
            </w:r>
          </w:p>
        </w:tc>
        <w:tc>
          <w:tcPr>
            <w:tcW w:w="1589" w:type="dxa"/>
            <w:gridSpan w:val="2"/>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r>
              <w:rPr>
                <w:rFonts w:hint="eastAsia" w:ascii="黑体" w:hAnsi="黑体" w:eastAsia="黑体" w:cs="黑体"/>
                <w:i w:val="0"/>
                <w:color w:val="000000"/>
                <w:kern w:val="0"/>
                <w:sz w:val="22"/>
                <w:szCs w:val="22"/>
                <w:u w:val="none"/>
                <w:lang w:val="en-US" w:eastAsia="zh-CN" w:bidi="ar"/>
              </w:rPr>
              <w:br w:type="textWrapping"/>
            </w:r>
            <w:r>
              <w:rPr>
                <w:rFonts w:hint="eastAsia" w:ascii="黑体" w:hAnsi="黑体" w:eastAsia="黑体" w:cs="黑体"/>
                <w:i w:val="0"/>
                <w:color w:val="000000"/>
                <w:kern w:val="0"/>
                <w:sz w:val="22"/>
                <w:szCs w:val="22"/>
                <w:u w:val="none"/>
                <w:lang w:val="en-US" w:eastAsia="zh-CN" w:bidi="ar"/>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15" w:hRule="atLeast"/>
          <w:jc w:val="center"/>
        </w:trPr>
        <w:tc>
          <w:tcPr>
            <w:tcW w:w="460" w:type="dxa"/>
            <w:vMerge w:val="continue"/>
            <w:vAlign w:val="center"/>
          </w:tcPr>
          <w:p>
            <w:pPr>
              <w:jc w:val="center"/>
              <w:rPr>
                <w:rFonts w:hint="eastAsia" w:ascii="黑体" w:hAnsi="黑体" w:eastAsia="黑体" w:cs="黑体"/>
                <w:i w:val="0"/>
                <w:color w:val="000000"/>
                <w:sz w:val="22"/>
                <w:szCs w:val="22"/>
                <w:u w:val="none"/>
              </w:rPr>
            </w:pPr>
          </w:p>
        </w:tc>
        <w:tc>
          <w:tcPr>
            <w:tcW w:w="918" w:type="dxa"/>
            <w:vMerge w:val="continue"/>
            <w:vAlign w:val="center"/>
          </w:tcPr>
          <w:p>
            <w:pPr>
              <w:jc w:val="center"/>
              <w:rPr>
                <w:rFonts w:hint="eastAsia" w:ascii="黑体" w:hAnsi="黑体" w:eastAsia="黑体" w:cs="黑体"/>
                <w:b w:val="0"/>
                <w:bCs w:val="0"/>
                <w:i w:val="0"/>
                <w:color w:val="000000"/>
                <w:sz w:val="22"/>
                <w:szCs w:val="22"/>
                <w:u w:val="none"/>
              </w:rPr>
            </w:pPr>
          </w:p>
        </w:tc>
        <w:tc>
          <w:tcPr>
            <w:tcW w:w="1245" w:type="dxa"/>
            <w:vMerge w:val="continue"/>
            <w:vAlign w:val="center"/>
          </w:tcPr>
          <w:p>
            <w:pPr>
              <w:jc w:val="center"/>
              <w:rPr>
                <w:rFonts w:hint="eastAsia" w:ascii="黑体" w:hAnsi="黑体" w:eastAsia="黑体" w:cs="黑体"/>
                <w:i w:val="0"/>
                <w:color w:val="000000"/>
                <w:sz w:val="22"/>
                <w:szCs w:val="22"/>
                <w:u w:val="none"/>
              </w:rPr>
            </w:pPr>
          </w:p>
        </w:tc>
        <w:tc>
          <w:tcPr>
            <w:tcW w:w="2610" w:type="dxa"/>
            <w:vMerge w:val="continue"/>
            <w:vAlign w:val="center"/>
          </w:tcPr>
          <w:p>
            <w:pPr>
              <w:jc w:val="center"/>
              <w:rPr>
                <w:rFonts w:hint="eastAsia" w:ascii="黑体" w:hAnsi="黑体" w:eastAsia="黑体" w:cs="黑体"/>
                <w:i w:val="0"/>
                <w:color w:val="000000"/>
                <w:sz w:val="22"/>
                <w:szCs w:val="22"/>
                <w:u w:val="none"/>
              </w:rPr>
            </w:pPr>
          </w:p>
        </w:tc>
        <w:tc>
          <w:tcPr>
            <w:tcW w:w="2415" w:type="dxa"/>
            <w:vMerge w:val="continue"/>
            <w:vAlign w:val="center"/>
          </w:tcPr>
          <w:p>
            <w:pPr>
              <w:jc w:val="center"/>
              <w:rPr>
                <w:rFonts w:hint="eastAsia" w:ascii="黑体" w:hAnsi="黑体" w:eastAsia="黑体" w:cs="黑体"/>
                <w:i w:val="0"/>
                <w:color w:val="000000"/>
                <w:sz w:val="22"/>
                <w:szCs w:val="22"/>
                <w:u w:val="none"/>
              </w:rPr>
            </w:pPr>
          </w:p>
        </w:tc>
        <w:tc>
          <w:tcPr>
            <w:tcW w:w="1260" w:type="dxa"/>
            <w:gridSpan w:val="2"/>
            <w:vMerge w:val="continue"/>
            <w:vAlign w:val="center"/>
          </w:tcPr>
          <w:p>
            <w:pPr>
              <w:jc w:val="center"/>
              <w:rPr>
                <w:rFonts w:hint="eastAsia" w:ascii="黑体" w:hAnsi="黑体" w:eastAsia="黑体" w:cs="黑体"/>
                <w:i w:val="0"/>
                <w:color w:val="000000"/>
                <w:sz w:val="22"/>
                <w:szCs w:val="22"/>
                <w:u w:val="none"/>
              </w:rPr>
            </w:pPr>
          </w:p>
        </w:tc>
        <w:tc>
          <w:tcPr>
            <w:tcW w:w="1181" w:type="dxa"/>
            <w:vMerge w:val="continue"/>
            <w:vAlign w:val="center"/>
          </w:tcPr>
          <w:p>
            <w:pPr>
              <w:jc w:val="center"/>
              <w:rPr>
                <w:rFonts w:hint="eastAsia" w:ascii="黑体" w:hAnsi="黑体" w:eastAsia="黑体" w:cs="黑体"/>
                <w:i w:val="0"/>
                <w:color w:val="000000"/>
                <w:sz w:val="22"/>
                <w:szCs w:val="22"/>
                <w:u w:val="none"/>
              </w:rPr>
            </w:pPr>
          </w:p>
        </w:tc>
        <w:tc>
          <w:tcPr>
            <w:tcW w:w="1175" w:type="dxa"/>
            <w:gridSpan w:val="2"/>
            <w:vMerge w:val="continue"/>
            <w:vAlign w:val="center"/>
          </w:tcPr>
          <w:p>
            <w:pPr>
              <w:jc w:val="center"/>
              <w:rPr>
                <w:rFonts w:hint="eastAsia" w:ascii="黑体" w:hAnsi="黑体" w:eastAsia="黑体" w:cs="黑体"/>
                <w:i w:val="0"/>
                <w:color w:val="000000"/>
                <w:sz w:val="22"/>
                <w:szCs w:val="22"/>
                <w:u w:val="none"/>
              </w:rPr>
            </w:pPr>
          </w:p>
        </w:tc>
        <w:tc>
          <w:tcPr>
            <w:tcW w:w="720" w:type="dxa"/>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全社会</w:t>
            </w:r>
          </w:p>
        </w:tc>
        <w:tc>
          <w:tcPr>
            <w:tcW w:w="705" w:type="dxa"/>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特定群体</w:t>
            </w:r>
          </w:p>
        </w:tc>
        <w:tc>
          <w:tcPr>
            <w:tcW w:w="58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i w:val="0"/>
                <w:color w:val="000000"/>
                <w:kern w:val="0"/>
                <w:sz w:val="22"/>
                <w:szCs w:val="22"/>
                <w:u w:val="none"/>
                <w:lang w:val="en-US" w:eastAsia="zh-CN" w:bidi="ar"/>
              </w:rPr>
              <w:t>主动</w:t>
            </w:r>
          </w:p>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公开</w:t>
            </w:r>
          </w:p>
        </w:tc>
        <w:tc>
          <w:tcPr>
            <w:tcW w:w="690" w:type="dxa"/>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依申请公开</w:t>
            </w:r>
          </w:p>
        </w:tc>
        <w:tc>
          <w:tcPr>
            <w:tcW w:w="735" w:type="dxa"/>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市级</w:t>
            </w:r>
          </w:p>
        </w:tc>
        <w:tc>
          <w:tcPr>
            <w:tcW w:w="854" w:type="dxa"/>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镇（街）级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01 行政许可类事项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医疗机构设置审批（含港澳台，外商独资除外）（权限内）</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【法律】《中华人民共和国中医药法》（中华人民共和国主席令第57号）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【部门规章及规范性文件】《医疗美容服务管理办法》（中华人民共和国卫生部令第19号公布 2016年1月19日修订）</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89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52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结果信息——设置审批结果信息</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01 行政许可类事项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医疗机构执业登记（人体器官移植除外）（权限内）</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【部门规章及规范性文件】《医疗美容服务管理办法》（中华人民共和国卫生部令第19号公布 2016年1月19日修订）</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45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51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结果信息——医疗机构名称、地址、诊疗科目、法定代表人、    主要负责人、登记号、医疗机构执业许可证有效期限、审批机关</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4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01 行政许可类事项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公共场所卫生许可</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【法律】《中华人民共和国行政许可法》（中华人民共和国主席令第7号）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【国务院文件】《国务院关于在全国推开“证照分离”改革的通知》（国发〔2018〕35号）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【国务院文件】《国务院关于整合调整餐饮服务场所的公共场所卫生许可证和食品经营许可的决定》（国发〔2016〕12号）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【国务院文件】《国务院关于第六批取消和调整行政审批项目的决定》（国发〔2012〕52号）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【部门规章及规范性文件】《关于全面推开公共场所卫生许可告知承诺制改革有关事项的通知》（国卫办监督发〔2018〕27号）</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89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过程信息，各地可根据实际情况适当公开受理、审核、审批、送达等相关信息</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结果信息——卫生许可证信息</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对不符合规定条件的医疗机构擅自从事精神障碍诊断、治疗的处罚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对无证从事婚前医学检查、遗传病诊断、产前诊断或者医学技术鉴定的处罚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【部门规章及规范性文件】《产前诊断技术管理办法》（2002年12月13日中华人民共和国卫生部令第33号）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开展孕妇外周血胎儿游离DNA产前筛查与诊断工作的通知》（国办卫妇幼发﹝2016﹞45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和计划生育委员会令第9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对无证出具有关医学证明的处罚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对无证施行终止妊娠手术或者采取其他方法终止妊娠，致人死亡、残疾、丧失或基本丧失劳动能力的处罚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对违法出具有关虚假医学证明或者进行胎儿性别鉴定的处罚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【部门规章及规范性文件】《禁止非医学需要的胎儿性别鉴定和选择性别人工终止妊娠的规定》（2016年3月28日中华人民共和国国家卫生计生委9号令）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对以不正当手段取得医师执业证书的处罚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Merge w:val="continue"/>
            <w:vAlign w:val="center"/>
          </w:tcPr>
          <w:p>
            <w:pPr>
              <w:jc w:val="center"/>
              <w:rPr>
                <w:rFonts w:hint="eastAsia" w:ascii="宋体" w:hAnsi="宋体" w:eastAsia="宋体" w:cs="宋体"/>
                <w:i w:val="0"/>
                <w:color w:val="000000"/>
                <w:sz w:val="18"/>
                <w:szCs w:val="18"/>
                <w:u w:val="none"/>
              </w:rPr>
            </w:pPr>
          </w:p>
        </w:tc>
        <w:tc>
          <w:tcPr>
            <w:tcW w:w="1181" w:type="dxa"/>
            <w:vMerge w:val="continue"/>
            <w:vAlign w:val="center"/>
          </w:tcPr>
          <w:p>
            <w:pPr>
              <w:jc w:val="center"/>
              <w:rPr>
                <w:rFonts w:hint="eastAsia" w:ascii="宋体" w:hAnsi="宋体" w:eastAsia="宋体" w:cs="宋体"/>
                <w:i w:val="0"/>
                <w:color w:val="000000"/>
                <w:sz w:val="18"/>
                <w:szCs w:val="18"/>
                <w:u w:val="none"/>
              </w:rPr>
            </w:pPr>
          </w:p>
        </w:tc>
        <w:tc>
          <w:tcPr>
            <w:tcW w:w="1175" w:type="dxa"/>
            <w:gridSpan w:val="2"/>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415" w:type="dxa"/>
            <w:vMerge w:val="continue"/>
            <w:vAlign w:val="center"/>
          </w:tcPr>
          <w:p>
            <w:pPr>
              <w:jc w:val="left"/>
              <w:rPr>
                <w:rFonts w:hint="eastAsia" w:ascii="宋体" w:hAnsi="宋体" w:eastAsia="宋体" w:cs="宋体"/>
                <w:i w:val="0"/>
                <w:color w:val="000000"/>
                <w:sz w:val="18"/>
                <w:szCs w:val="18"/>
                <w:u w:val="none"/>
              </w:rPr>
            </w:pP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对医师在执业活动中违反卫生行政规章制度或者技术操作规范，造成严重后果的处罚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41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26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18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175"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restart"/>
            <w:vAlign w:val="center"/>
          </w:tcPr>
          <w:p>
            <w:pPr>
              <w:jc w:val="left"/>
              <w:rPr>
                <w:rFonts w:hint="eastAsia" w:ascii="宋体" w:hAnsi="宋体" w:eastAsia="宋体" w:cs="宋体"/>
                <w:i w:val="0"/>
                <w:color w:val="000000"/>
                <w:sz w:val="18"/>
                <w:szCs w:val="18"/>
                <w:u w:val="none"/>
              </w:rPr>
            </w:pPr>
          </w:p>
        </w:tc>
        <w:tc>
          <w:tcPr>
            <w:tcW w:w="1156" w:type="dxa"/>
            <w:vAlign w:val="center"/>
          </w:tcPr>
          <w:p>
            <w:pPr>
              <w:jc w:val="center"/>
              <w:rPr>
                <w:rFonts w:hint="eastAsia" w:ascii="宋体" w:hAnsi="宋体" w:eastAsia="宋体" w:cs="宋体"/>
                <w:i w:val="0"/>
                <w:color w:val="000000"/>
                <w:sz w:val="18"/>
                <w:szCs w:val="18"/>
                <w:u w:val="none"/>
              </w:rPr>
            </w:pPr>
          </w:p>
        </w:tc>
        <w:tc>
          <w:tcPr>
            <w:tcW w:w="1319" w:type="dxa"/>
            <w:gridSpan w:val="2"/>
            <w:vAlign w:val="center"/>
          </w:tcPr>
          <w:p>
            <w:pPr>
              <w:jc w:val="center"/>
              <w:rPr>
                <w:rFonts w:hint="eastAsia" w:ascii="宋体" w:hAnsi="宋体" w:eastAsia="宋体" w:cs="宋体"/>
                <w:i w:val="0"/>
                <w:color w:val="000000"/>
                <w:sz w:val="18"/>
                <w:szCs w:val="18"/>
                <w:u w:val="none"/>
              </w:rPr>
            </w:pPr>
          </w:p>
        </w:tc>
        <w:tc>
          <w:tcPr>
            <w:tcW w:w="1037" w:type="dxa"/>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对医师在执业活动中隐匿、伪造或者擅自销毁医学文书及有关资料的处罚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对医师在执业活动中不按照规定使用麻醉药品、医疗用毒性药品、精神药品和放射性药品的处罚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对未经批准擅自开办医疗机构行医或者非法医师行医的处罚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对医疗机构未取得《医疗机构执业许可证》擅自开展性病诊疗活动的处罚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【部门规章及规范性文件】《性病防治管理办法》（中华人民共和国卫生部令第15号）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restart"/>
            <w:vAlign w:val="center"/>
          </w:tcPr>
          <w:p>
            <w:pPr>
              <w:jc w:val="left"/>
              <w:rPr>
                <w:rFonts w:hint="eastAsia" w:ascii="宋体" w:hAnsi="宋体" w:eastAsia="宋体" w:cs="宋体"/>
                <w:i w:val="0"/>
                <w:color w:val="000000"/>
                <w:sz w:val="18"/>
                <w:szCs w:val="18"/>
                <w:u w:val="none"/>
              </w:rPr>
            </w:pPr>
          </w:p>
        </w:tc>
        <w:tc>
          <w:tcPr>
            <w:tcW w:w="1156" w:type="dxa"/>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对医疗机构逾期不校验《医疗机构执业许可证》的处罚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restart"/>
            <w:vAlign w:val="center"/>
          </w:tcPr>
          <w:p>
            <w:pPr>
              <w:jc w:val="left"/>
              <w:rPr>
                <w:rFonts w:hint="eastAsia" w:ascii="宋体" w:hAnsi="宋体" w:eastAsia="宋体" w:cs="宋体"/>
                <w:i w:val="0"/>
                <w:color w:val="000000"/>
                <w:sz w:val="18"/>
                <w:szCs w:val="18"/>
                <w:u w:val="none"/>
              </w:rPr>
            </w:pPr>
          </w:p>
        </w:tc>
        <w:tc>
          <w:tcPr>
            <w:tcW w:w="1156" w:type="dxa"/>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对医疗机构出卖、转让、出借《医疗机构执业许可证》的处罚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对医疗机构诊疗活动超出登记范围的处罚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对医疗机构使用非卫生技术人员从事医疗卫生技术工作的处罚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【部门规章及规范性文件】《医疗机构管理条例实施细则》（1994年中华人民共和国卫生部令第35号）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6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对医疗机构违反《医疗机构管理条例》出具虚假证明文件的处罚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jc w:val="center"/>
              <w:rPr>
                <w:rFonts w:hint="eastAsia" w:ascii="宋体" w:hAnsi="宋体" w:eastAsia="宋体" w:cs="宋体"/>
                <w:i w:val="0"/>
                <w:color w:val="000000"/>
                <w:sz w:val="18"/>
                <w:szCs w:val="18"/>
                <w:u w:val="none"/>
              </w:rPr>
            </w:pPr>
          </w:p>
        </w:tc>
        <w:tc>
          <w:tcPr>
            <w:tcW w:w="918" w:type="dxa"/>
            <w:vMerge w:val="restart"/>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对医疗机构发生医疗事故的处罚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对医务人员发生医疗事故的处罚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对疾病预防控制机构、接种单位发现预防接种异常反应或者疑似预防接种异常反应，未按照规定及时处理或者报告的处罚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6"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18" w:type="dxa"/>
            <w:vMerge w:val="restart"/>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对疾病预防控制机构、接种单位擅自进行群体性预防接种的处罚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6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对疾病预防控制机构、接种单位接种疫苗未遵守预防接种工作规范、免疫程序、疫苗使用指导原则、接种方案的处罚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snapToGrid w:val="0"/>
                <w:color w:val="000000"/>
                <w:spacing w:val="-6"/>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46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对违反《疫苗流通和预防接种管理条例》规定发布接种第二类疫苗的建议信息的处罚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对疾病预防控制机构未依照规定建立并保存疫苗购进、储存、分发、供应记录的处罚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对未经卫生主管部门依法指定擅自从事接种工作的处罚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对实施预防接种的医疗卫生人员未按照规定填写并保存接种记录的处罚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对疾病预防控制机构未按照使用计划将第一类疫苗分发到下级疾病预防控制机构、接种单位、乡级医疗卫生机构的处罚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9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对疾控机构未依法履行传染病疫情报告、通报职责，或者隐瞒、谎报、缓报传染病疫情的处罚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对医疗机构未按照规定承担本单位的传染病预防、控制工作、医院感染控制任务和责任区域内的传染病预防工作的处罚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对医疗机构未按照规定报告传染病疫情，或者隐瞒、谎报、缓报传染病疫情的处罚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对医疗机构发现传染病疫情时，未按照规定对传染病病人、疑似传染病病人提供医疗救护、现场救援、接诊、转诊的，或者拒绝接受转诊的处罚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对医疗机构未按照规定对医疗器械进行消毒，或者对按照规定一次使用的医疗器具予以销毁，再次使用的处罚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对医疗机构在医疗救治过程中未按照规定保管医学记录资料的处罚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对医疗卫生机构无正当理由，阻碍卫生行政主管部门执法人员执行职务，拒绝执法人员进入现场，或者不配合执法部门的检查、监测、调查取证的处罚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对被传染病病原体污染的污水、污物、粪便不按规定进行消毒处理的处罚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对收治的传染病病人或者疑似传染病病人产生的生活垃圾，未按照医疗废物进行管理和处置的处罚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【行政法规】《医疗废物管理条例》（中华人民共和国国务院令第380号）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【部门规章及规范性文件】《医疗卫生机构医疗废物管理办法》(中华人民共和国卫生部令第36号)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对饮用水供水单位供应的饮用水不符合国家规定的生活饮用水卫生标准的处罚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【部门规章及规范性文件】《生活饮用水卫生监督管理办法》（建设部、中华人民共和国卫生部令第53号）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对涉及饮用水卫生安全的产品不符合国家卫生标准和卫生规范的处罚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【行政法规】《国务院对确需保留的行政审批项目设定行政许可的决定》（中华人民共和国国务院令第412号，2009年1月29日予以修改）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对在自然疫源地和可能是自然疫源地的地区兴建大型建设项目未经卫生调查即进行施工的处罚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对采供血机构非法采集血液或者组织他人出卖血液的处罚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对非法采集血液的处罚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对血站医疗机构出售无偿献血的血液的处罚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对临床用血的包装、储存、运输，不符合国家规定的卫生标准和要求的处罚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对三级、四级实验室未经批准从事某种高致病性病原微生物或者疑似高致病病原微生物实验活动的处罚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8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对实验室在相关实验活动结束后，未依照规定及时将病原微生物菌（毒）种和样本就地销毁或者送交保藏机构保管的处罚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对未经批准擅自从事在我国尚未发现或者已经宣布消灭的病原微生物相关实验活动的处罚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对在未经指定的专业实验室从事在我国尚未发现或者已经宣布消灭的病原微生物相关实验活动的处罚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对在同一个实验室的同一个独立安全区域内同时从事两种或者两种以上高致病性病原微生物的相关实验活动的处罚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对发生病原微生物被盗、被抢、丢失、泄漏，承运单位、护送人、保藏机构和实验室的设立单位未依照本条例的规定报告的处罚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对未依法取得公共场所卫生许可证擅自营业的处罚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对未按照规定对公共场所的空气、微小气候、水质、采光、照明、噪声、顾客用品用具等进行卫生检测，造成公共场所卫生质量不符合卫生标准和要求的处罚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对未按照规定对顾客用品用具等进行清洗、消毒、保洁，或者重复使用一次性用品用具的处罚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对公共场所经营者违反《公共场所卫生管理条例实施细则》第三十七条有关规定的处罚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对公共场所经营者安排未获得有效健康合格证明的从业人员从事直接为顾客服务工作的行政处罚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对公共场所经营者对发生的危害健康事故未立即采取处置措施，导致危害扩大，或者隐瞒、缓报、谎报的行政处罚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对超出资质认可或者诊疗项目登记范围从事职业卫生技术服务或者职业病诊断的处罚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对从事职业卫生技术服务的机构、承担职业健康检查以及职业病诊断的医疗卫生机构出具虚假证明文件的处罚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对未取得职业卫生技术服务资质认可擅自从事职业卫生技术服务的处罚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对本行政区域内用人单位未落实职业病防治责任的处罚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对从事职业卫生技术服务的机构、承担职业健康检查以及职业病诊断的医疗卫生机构不按照《中华人民共和国职业病防治法》规定履行法定职责的处罚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对未按照规定报告麻醉药品和精神药品的进货、库存、使用数量的处罚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56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对紧急借用麻醉药品和第一类精神药品后未备案的处罚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47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476" w:hRule="atLeast"/>
          <w:jc w:val="center"/>
        </w:trPr>
        <w:tc>
          <w:tcPr>
            <w:tcW w:w="460" w:type="dxa"/>
            <w:vAlign w:val="center"/>
          </w:tcPr>
          <w:p>
            <w:pPr>
              <w:jc w:val="center"/>
              <w:rPr>
                <w:rFonts w:hint="eastAsia" w:ascii="宋体" w:hAnsi="宋体" w:eastAsia="宋体" w:cs="宋体"/>
                <w:i w:val="0"/>
                <w:color w:val="000000"/>
                <w:sz w:val="18"/>
                <w:szCs w:val="18"/>
                <w:u w:val="none"/>
              </w:rPr>
            </w:pPr>
          </w:p>
        </w:tc>
        <w:tc>
          <w:tcPr>
            <w:tcW w:w="918" w:type="dxa"/>
            <w:vAlign w:val="center"/>
          </w:tcPr>
          <w:p>
            <w:pPr>
              <w:jc w:val="center"/>
              <w:rPr>
                <w:rFonts w:hint="eastAsia" w:ascii="宋体" w:hAnsi="宋体" w:eastAsia="宋体" w:cs="宋体"/>
                <w:b w:val="0"/>
                <w:bCs w:val="0"/>
                <w:i w:val="0"/>
                <w:color w:val="000000"/>
                <w:sz w:val="18"/>
                <w:szCs w:val="18"/>
                <w:u w:val="none"/>
              </w:rPr>
            </w:pPr>
          </w:p>
        </w:tc>
        <w:tc>
          <w:tcPr>
            <w:tcW w:w="1245" w:type="dxa"/>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519" w:type="dxa"/>
            <w:gridSpan w:val="2"/>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对未依照规定销毁麻醉药品和精神药品的处罚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对医疗机构未按照规定购买、储存麻醉药品和第一类精神药品的处罚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对医疗卫生机构未履行艾滋病监测职责的处罚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对医疗卫生机构未按照规定免费提供咨询和初筛检测的处罚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对医疗卫生机构对临时应急采集的血液未进行艾滋病检测，对临床用血艾滋病检测结果未进行核查，或者将艾滋病检测阳性的血液用于临床的处罚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对医疗卫生机构未遵守标准防护原则，或者未执行操作规程和消毒管理制度，发生艾滋病医院感染或者医源性感染的处罚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对医疗卫生机构未采取有效的卫生防护措施和医疗保健措施的处罚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79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对医疗卫生机构推诿、拒绝治疗艾滋病病毒感染者或者艾滋病病人的其他疾病，或者对艾滋病病毒感染者、艾滋病病人未提供咨询、诊断和质量服务的处罚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对医疗卫生机构未对艾滋病病毒感染者或者艾滋病病人进行医学随访的处罚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对医疗卫生未按照规定对感染艾滋病病毒的孕产妇及其婴儿提供预防艾滋病母婴传播技术指导的处罚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对医疗卫生机构发生感染性疾病暴发、流行时未及时报告当地卫生行政部门，并采取有效消毒措施的处罚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02 行政处罚类事项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对医疗机构允许未取得护士执业证书的人员或者允许未办理执业地点变更手续、延续执业注册有效期的护士在本机构从事诊疗技术规范规定的护理活动的处罚</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【行政法规】《护士条例》（中华人民共和国国务院令第517号）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【局业务文件】《中山市卫生和计划生育局行政处罚自由裁量权细化标准》</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1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1319"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镇（区）综合行政执法部门</w:t>
            </w:r>
          </w:p>
        </w:tc>
        <w:tc>
          <w:tcPr>
            <w:tcW w:w="103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918"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04行政征收类事项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社会抚养费征收</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【行政法规】《社会抚养费征收管理办法》（中华人民共和国国务院令第357号）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办理机构</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p>
        </w:tc>
        <w:tc>
          <w:tcPr>
            <w:tcW w:w="918" w:type="dxa"/>
            <w:vAlign w:val="center"/>
          </w:tcPr>
          <w:p>
            <w:pPr>
              <w:widowControl/>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cs="宋体"/>
                <w:b w:val="0"/>
                <w:bCs w:val="0"/>
                <w:color w:val="000000"/>
                <w:kern w:val="0"/>
                <w:sz w:val="18"/>
                <w:szCs w:val="18"/>
                <w:lang w:bidi="ar"/>
              </w:rPr>
              <w:t>05 行政给付类事项</w:t>
            </w:r>
          </w:p>
        </w:tc>
        <w:tc>
          <w:tcPr>
            <w:tcW w:w="1245"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农村部分计划生育家庭奖励</w:t>
            </w:r>
          </w:p>
        </w:tc>
        <w:tc>
          <w:tcPr>
            <w:tcW w:w="261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法律法规和政策文件</w:t>
            </w:r>
          </w:p>
        </w:tc>
        <w:tc>
          <w:tcPr>
            <w:tcW w:w="2519" w:type="dxa"/>
            <w:gridSpan w:val="2"/>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【法律】《中华人民共和国人口与计划生育法》（中华人民共和国主席令第41号 2015年12月27日修正）</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【部门规章及规范性文件】《关于印发〈中山市农村部分计划生育家庭奖励实施办法（试行）〉的通知》（中计育发字〔2004〕26号）； </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 《关于调整我市农村部分计划生育家庭奖励标准的通知》（中卫计[2014]100号)；</w:t>
            </w:r>
          </w:p>
          <w:p>
            <w:pPr>
              <w:widowControl/>
              <w:jc w:val="left"/>
              <w:textAlignment w:val="center"/>
              <w:rPr>
                <w:rFonts w:hint="eastAsia" w:ascii="宋体" w:hAnsi="宋体" w:eastAsia="宋体" w:cs="宋体"/>
                <w:i w:val="0"/>
                <w:color w:val="000000"/>
                <w:kern w:val="0"/>
                <w:sz w:val="18"/>
                <w:szCs w:val="18"/>
                <w:u w:val="none"/>
                <w:lang w:val="en-US" w:eastAsia="zh-CN" w:bidi="ar"/>
              </w:rPr>
            </w:pPr>
          </w:p>
        </w:tc>
        <w:tc>
          <w:tcPr>
            <w:tcW w:w="1156"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自信息形成或者变更之日起20个工作日内予以公开</w:t>
            </w:r>
          </w:p>
        </w:tc>
        <w:tc>
          <w:tcPr>
            <w:tcW w:w="1319" w:type="dxa"/>
            <w:gridSpan w:val="2"/>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市、镇（区）卫生健康行政部门</w:t>
            </w:r>
          </w:p>
        </w:tc>
        <w:tc>
          <w:tcPr>
            <w:tcW w:w="103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 xml:space="preserve">■政府网站        </w:t>
            </w:r>
          </w:p>
        </w:tc>
        <w:tc>
          <w:tcPr>
            <w:tcW w:w="72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w:t>
            </w:r>
          </w:p>
        </w:tc>
        <w:tc>
          <w:tcPr>
            <w:tcW w:w="705" w:type="dxa"/>
            <w:vAlign w:val="center"/>
          </w:tcPr>
          <w:p>
            <w:pPr>
              <w:jc w:val="center"/>
              <w:rPr>
                <w:rFonts w:hint="eastAsia" w:ascii="宋体" w:hAnsi="宋体" w:eastAsia="宋体" w:cs="宋体"/>
                <w:i w:val="0"/>
                <w:color w:val="000000"/>
                <w:sz w:val="18"/>
                <w:szCs w:val="18"/>
                <w:u w:val="none"/>
              </w:rPr>
            </w:pPr>
          </w:p>
        </w:tc>
        <w:tc>
          <w:tcPr>
            <w:tcW w:w="585"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w:t>
            </w:r>
          </w:p>
        </w:tc>
        <w:tc>
          <w:tcPr>
            <w:tcW w:w="690" w:type="dxa"/>
            <w:vAlign w:val="center"/>
          </w:tcPr>
          <w:p>
            <w:pPr>
              <w:jc w:val="center"/>
              <w:rPr>
                <w:rFonts w:hint="eastAsia" w:ascii="宋体" w:hAnsi="宋体" w:eastAsia="宋体" w:cs="宋体"/>
                <w:i w:val="0"/>
                <w:color w:val="000000"/>
                <w:sz w:val="18"/>
                <w:szCs w:val="18"/>
                <w:u w:val="none"/>
              </w:rPr>
            </w:pPr>
          </w:p>
        </w:tc>
        <w:tc>
          <w:tcPr>
            <w:tcW w:w="735"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w:t>
            </w:r>
          </w:p>
        </w:tc>
        <w:tc>
          <w:tcPr>
            <w:tcW w:w="854"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restart"/>
            <w:vAlign w:val="center"/>
          </w:tcPr>
          <w:p>
            <w:pPr>
              <w:widowControl/>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color w:val="000000"/>
                <w:kern w:val="0"/>
                <w:sz w:val="18"/>
                <w:szCs w:val="18"/>
                <w:lang w:bidi="ar"/>
              </w:rPr>
              <w:t>8</w:t>
            </w:r>
            <w:r>
              <w:rPr>
                <w:rFonts w:hint="eastAsia" w:ascii="宋体" w:hAnsi="宋体" w:cs="宋体"/>
                <w:color w:val="000000"/>
                <w:kern w:val="0"/>
                <w:sz w:val="18"/>
                <w:szCs w:val="18"/>
                <w:lang w:val="en-US" w:eastAsia="zh-CN" w:bidi="ar"/>
              </w:rPr>
              <w:t>5</w:t>
            </w:r>
          </w:p>
        </w:tc>
        <w:tc>
          <w:tcPr>
            <w:tcW w:w="918" w:type="dxa"/>
            <w:vMerge w:val="restart"/>
            <w:vAlign w:val="center"/>
          </w:tcPr>
          <w:p>
            <w:pPr>
              <w:widowControl/>
              <w:jc w:val="center"/>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color w:val="000000"/>
                <w:kern w:val="0"/>
                <w:sz w:val="18"/>
                <w:szCs w:val="18"/>
                <w:lang w:bidi="ar"/>
              </w:rPr>
              <w:t>05 行政给付类事项</w:t>
            </w:r>
          </w:p>
        </w:tc>
        <w:tc>
          <w:tcPr>
            <w:tcW w:w="1245"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独生子女父母奖励</w:t>
            </w:r>
          </w:p>
        </w:tc>
        <w:tc>
          <w:tcPr>
            <w:tcW w:w="2610" w:type="dxa"/>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法律法规和政策文件</w:t>
            </w:r>
          </w:p>
        </w:tc>
        <w:tc>
          <w:tcPr>
            <w:tcW w:w="2519" w:type="dxa"/>
            <w:gridSpan w:val="2"/>
            <w:vMerge w:val="restart"/>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【法律】《中华人民共和国人口与计划生育法》（中华人民共和国主席令第41号 2015年12月27日修正）</w:t>
            </w:r>
          </w:p>
          <w:p>
            <w:pPr>
              <w:widowControl/>
              <w:jc w:val="left"/>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部门规章及规范性文件】《印发中山市城镇独生子女计划生育奖励制度实施办法（试行）的通知》（中府办〔2011〕45号）、《关于我市妥善解决城镇独生子女父母计划生育奖励及历史遗留问题的通告》（中计育〔2011〕1号）、《关于&lt;中山市城镇独生子女父母计划生育奖励实施细则（试行）&gt;有关问题的补充说明》（中计育发字〔2013〕40号）、《关于中山市城镇独生子女父母计划生育奖励实施细则（试行）有关问题的补充说明》（中卫计〔2014〕70号）</w:t>
            </w:r>
          </w:p>
        </w:tc>
        <w:tc>
          <w:tcPr>
            <w:tcW w:w="1156"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自信息形成或者变更之日起20个工作日内予以公开</w:t>
            </w:r>
          </w:p>
        </w:tc>
        <w:tc>
          <w:tcPr>
            <w:tcW w:w="1319" w:type="dxa"/>
            <w:gridSpan w:val="2"/>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市、镇（区）卫生健康行政部门</w:t>
            </w:r>
          </w:p>
        </w:tc>
        <w:tc>
          <w:tcPr>
            <w:tcW w:w="1037" w:type="dxa"/>
            <w:vMerge w:val="restart"/>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 xml:space="preserve">■政府网站        </w:t>
            </w:r>
          </w:p>
        </w:tc>
        <w:tc>
          <w:tcPr>
            <w:tcW w:w="720"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c>
          <w:tcPr>
            <w:tcW w:w="854"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3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restart"/>
            <w:vAlign w:val="center"/>
          </w:tcPr>
          <w:p>
            <w:pPr>
              <w:widowControl/>
              <w:jc w:val="center"/>
              <w:textAlignment w:val="center"/>
              <w:rPr>
                <w:rFonts w:hint="eastAsia" w:ascii="宋体" w:hAnsi="宋体" w:cs="宋体"/>
                <w:color w:val="000000"/>
                <w:kern w:val="0"/>
                <w:sz w:val="18"/>
                <w:szCs w:val="18"/>
                <w:lang w:bidi="ar"/>
              </w:rPr>
            </w:pPr>
          </w:p>
          <w:p>
            <w:pPr>
              <w:widowControl/>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color w:val="000000"/>
                <w:kern w:val="0"/>
                <w:sz w:val="18"/>
                <w:szCs w:val="18"/>
                <w:lang w:bidi="ar"/>
              </w:rPr>
              <w:t>8</w:t>
            </w:r>
            <w:r>
              <w:rPr>
                <w:rFonts w:hint="eastAsia" w:ascii="宋体" w:hAnsi="宋体" w:cs="宋体"/>
                <w:color w:val="000000"/>
                <w:kern w:val="0"/>
                <w:sz w:val="18"/>
                <w:szCs w:val="18"/>
                <w:lang w:val="en-US" w:eastAsia="zh-CN" w:bidi="ar"/>
              </w:rPr>
              <w:t>6</w:t>
            </w:r>
          </w:p>
        </w:tc>
        <w:tc>
          <w:tcPr>
            <w:tcW w:w="918" w:type="dxa"/>
            <w:vMerge w:val="restart"/>
            <w:vAlign w:val="center"/>
          </w:tcPr>
          <w:p>
            <w:pPr>
              <w:widowControl/>
              <w:jc w:val="center"/>
              <w:textAlignment w:val="center"/>
              <w:rPr>
                <w:rFonts w:hint="eastAsia" w:ascii="宋体" w:hAnsi="宋体" w:eastAsia="宋体" w:cs="宋体"/>
                <w:b w:val="0"/>
                <w:bCs w:val="0"/>
                <w:i w:val="0"/>
                <w:color w:val="000000"/>
                <w:sz w:val="18"/>
                <w:szCs w:val="18"/>
                <w:u w:val="none"/>
              </w:rPr>
            </w:pPr>
            <w:r>
              <w:rPr>
                <w:rFonts w:hint="eastAsia" w:ascii="宋体" w:hAnsi="宋体" w:cs="宋体"/>
                <w:b w:val="0"/>
                <w:bCs w:val="0"/>
                <w:color w:val="000000"/>
                <w:kern w:val="0"/>
                <w:sz w:val="18"/>
                <w:szCs w:val="18"/>
                <w:lang w:bidi="ar"/>
              </w:rPr>
              <w:t>05 行政给付类事项</w:t>
            </w:r>
          </w:p>
        </w:tc>
        <w:tc>
          <w:tcPr>
            <w:tcW w:w="1245"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计划生育家庭特别扶助</w:t>
            </w:r>
          </w:p>
        </w:tc>
        <w:tc>
          <w:tcPr>
            <w:tcW w:w="2610" w:type="dxa"/>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法律法规和政策文件</w:t>
            </w:r>
          </w:p>
        </w:tc>
        <w:tc>
          <w:tcPr>
            <w:tcW w:w="2519" w:type="dxa"/>
            <w:gridSpan w:val="2"/>
            <w:vMerge w:val="restart"/>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【法律】《中华人民共和国人口与计划生育法》（中华人民共和国主席令第41号 2015年12月27日修正）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【部门规章及规范性文件】《关于印发全国独生子女伤残死亡家庭特别扶助制度试点方案的通知》（国人口发〔2007〕78号）</w:t>
            </w:r>
          </w:p>
          <w:p>
            <w:pPr>
              <w:widowControl/>
              <w:jc w:val="left"/>
              <w:textAlignment w:val="center"/>
              <w:rPr>
                <w:rFonts w:hint="eastAsia" w:ascii="宋体" w:hAnsi="宋体" w:cs="宋体"/>
                <w:color w:val="000000"/>
                <w:kern w:val="0"/>
                <w:sz w:val="18"/>
                <w:szCs w:val="18"/>
                <w:lang w:bidi="ar"/>
              </w:rPr>
            </w:pPr>
          </w:p>
          <w:p>
            <w:pPr>
              <w:widowControl/>
              <w:jc w:val="left"/>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部门规章及规范性文件】《关于印发&lt;中山市计划生育家庭特别扶助制度实施办法（试行）&gt;的通知》（中计育发字〔2009〕36号）；2、《转发关于进一步做好计划生育特殊困难家庭扶助工作的通知》（中卫计〔2015〕33号）</w:t>
            </w:r>
          </w:p>
        </w:tc>
        <w:tc>
          <w:tcPr>
            <w:tcW w:w="1156"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自信息形成或者变更之日起20个工作日内予以公开</w:t>
            </w:r>
          </w:p>
        </w:tc>
        <w:tc>
          <w:tcPr>
            <w:tcW w:w="1319" w:type="dxa"/>
            <w:gridSpan w:val="2"/>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市、镇（区）卫生健康行政部门</w:t>
            </w:r>
          </w:p>
        </w:tc>
        <w:tc>
          <w:tcPr>
            <w:tcW w:w="1037" w:type="dxa"/>
            <w:vMerge w:val="restart"/>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 xml:space="preserve">■政府网站  </w:t>
            </w:r>
          </w:p>
        </w:tc>
        <w:tc>
          <w:tcPr>
            <w:tcW w:w="720"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c>
          <w:tcPr>
            <w:tcW w:w="854" w:type="dxa"/>
            <w:vMerge w:val="restart"/>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05 行政给付类事项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无偿献血及其配偶和直系亲属临床用血费用报销</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■精准推送         </w:t>
            </w: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022"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06 行政检查类事项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对医疗机构的监督检查（包括对本行政区域内有关机构和个人诊疗活动、职业病防治、放射诊疗、处方、抗菌药物使用等的检查）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【部门规章及规范性文件】《放射诊疗管理规定》（中华人民共和国卫生部令第46号 2016年1月19日修正）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【部门规章及规范性文件】《放射工作人员职业健康管理办法》（中华人民共和国卫生部令第55号）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【部门规章及规范性文件】《抗菌药物临床应用管理办法》（中华人民共和国卫生部令第84号）【局业务文件】《中山市卫生健康局随机抽查事项清单》</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8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18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89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06 行政检查类事项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对学校卫生工作的监督检查 </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【行政法规】《学校卫生工作条例》（中华人民共和国国家教育委员会令第10号、中华人民共和国卫生部令第1号）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【部门规章及规范性文件】《卫生部关于印发&lt;学校卫生监督工作规范&gt;的通知》（卫监督发〔2012〕62号）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【局业务文件】《中山市卫生健康局随机抽查事项清单》</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7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426"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06 行政检查类事项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对消毒产品生产企业和消毒服务机构的监督检查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【部门规章及规范性文件】《卫生部关于卫生监督体系建设的若干规定》（中华人民共和国卫生部令第39号）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【部门规章及规范性文件】《国家卫生计生委关于印发消毒产品卫生监督工作规范的通知》（国卫监督发〔2014〕40号）</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【局业务文件】《中山市卫生健康局随机抽查事项清单》</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7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91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06 行政检查类事项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对传染病防治工作的监督检查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【部门规章及规范性文件《国家卫生计生委关于印发传染病防治卫生监督工作规范的通知》（国卫监督发〔2014〕44号）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06"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06 行政检查类事项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对血站、单采血浆站采供血及医疗机构临床用血的检查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【行政法规】《血液制品管理条例》（中华人民共和国国务院令第208号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【部门规章及规范性文件】《医疗机构临床用血管理办法》（中华人民共和国卫生部令第85号）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【部门规章及规范性文件】《单采血浆站管理办法》 （中华人民共和国卫生部令第58号发布 2016年1月19日修正）</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851"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06 行政检查类事项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对公共场所、饮用水供水单位、 涉及饮用水卫生安全产品的监督检查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1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918"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07行政确认类事项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出生医学证明办理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【部门规章及规范性文件】《关于启用新版出生医学证明（第六版）的通知》（国卫办妇幼发〔2018）38号）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95</w:t>
            </w:r>
          </w:p>
        </w:tc>
        <w:tc>
          <w:tcPr>
            <w:tcW w:w="918"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07行政确认类事项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对作出突出贡献的医师的表彰奖励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8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97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对作出突出贡献的护士的表彰奖励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【行政法规】《护士条例》（中华人民共和国国务院令第517号）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98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99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对在精神卫生工作中做出突出贡献的组织、个人给予表彰、奖励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对在突发事件应急处理、突发公共卫生事件与传染病疫情监测信息报告管理工作中做出贡献人员的表彰和奖励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【部门规章及规范性文件】《突发公共卫生事件与传染病疫情监测信息报告管理办法》（中华人民共和国卫生部令第37号）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【行政法规】《血吸虫病防治条例》（中华人民共和国国务院令第463号）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【行政法规】《学校卫生工作条例》(国家教育委员会令第10号　中华人民共和国卫生部令第1号) </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spacing w:val="-6"/>
                <w:kern w:val="0"/>
                <w:sz w:val="18"/>
                <w:szCs w:val="18"/>
                <w:u w:val="none"/>
                <w:lang w:val="en-US" w:eastAsia="zh-CN" w:bidi="ar"/>
              </w:rPr>
              <w:t>对在中医药事业中做出显著贡献的组织和个人的表彰、奖励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【法律】《中华人民共和国中医药法》（中华人民共和国主席令第59号）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【部门规章及规范性文件】《中山市举报“两非”案件奖励制度</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【法律】《中华人民共和国献血法》（中华人民共和国主席令第93号）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【部门规章及规范性文件】《全国无偿献血表彰奖励办法》（国卫医发〔2014〕30号）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7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2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7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08 行政奖励类事项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2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2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110</w:t>
            </w:r>
          </w:p>
        </w:tc>
        <w:tc>
          <w:tcPr>
            <w:tcW w:w="918" w:type="dxa"/>
            <w:vMerge w:val="restart"/>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09 行政裁决类事项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医疗机构名称裁定（权限内）</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4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结果信息——行政裁决书</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10 行政备案类事项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办事指南，包括：适用范围、办理依据、办理条件、申办材料、办理方式、办理流程、办理时限、结果送达、咨询方式、监督投诉渠道、办理地址和时间、办理进程、结果查询</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居民健康档案管理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spacing w:val="6"/>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snapToGrid w:val="0"/>
                <w:color w:val="000000"/>
                <w:spacing w:val="6"/>
                <w:kern w:val="0"/>
                <w:sz w:val="18"/>
                <w:szCs w:val="18"/>
                <w:u w:val="none"/>
                <w:lang w:val="en-US" w:eastAsia="zh-CN" w:bidi="ar"/>
              </w:rPr>
              <w:br w:type="textWrapping"/>
            </w:r>
            <w:r>
              <w:rPr>
                <w:rFonts w:hint="eastAsia" w:ascii="宋体" w:hAnsi="宋体" w:eastAsia="宋体" w:cs="宋体"/>
                <w:i w:val="0"/>
                <w:snapToGrid w:val="0"/>
                <w:color w:val="000000"/>
                <w:spacing w:val="6"/>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snapToGrid w:val="0"/>
                <w:color w:val="000000"/>
                <w:spacing w:val="6"/>
                <w:kern w:val="0"/>
                <w:sz w:val="18"/>
                <w:szCs w:val="18"/>
                <w:u w:val="none"/>
                <w:lang w:val="en-US" w:eastAsia="zh-CN" w:bidi="ar"/>
              </w:rPr>
              <w:br w:type="textWrapping"/>
            </w:r>
            <w:r>
              <w:rPr>
                <w:rFonts w:hint="eastAsia" w:ascii="宋体" w:hAnsi="宋体" w:eastAsia="宋体" w:cs="宋体"/>
                <w:i w:val="0"/>
                <w:snapToGrid w:val="0"/>
                <w:color w:val="000000"/>
                <w:spacing w:val="6"/>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健康教育</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0～6岁儿童健康管理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6"/>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孕产妇健康管理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老年人健康管理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6"/>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慢性病患者健康管理（包括高血压患者健康管理和 2 型糖尿病患者健康管理）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严重精神障碍患者管理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6"/>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肺结核患者健康管理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中医药健康管理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6"/>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传染病及突发公共卫生事件报告和处理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卫生监督协管</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6"/>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spacing w:val="6"/>
                <w:kern w:val="0"/>
                <w:sz w:val="18"/>
                <w:szCs w:val="18"/>
                <w:u w:val="none"/>
                <w:lang w:val="en-US" w:eastAsia="zh-CN" w:bidi="ar"/>
              </w:rPr>
              <w:br w:type="textWrapping"/>
            </w:r>
            <w:r>
              <w:rPr>
                <w:rFonts w:hint="eastAsia" w:ascii="宋体" w:hAnsi="宋体" w:eastAsia="宋体" w:cs="宋体"/>
                <w:i w:val="0"/>
                <w:color w:val="000000"/>
                <w:spacing w:val="6"/>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基本避孕服务</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【部门规章及规范性文件】《关于做好2017年国家基本公共卫生服务项目工作的通知》（国卫基层发〔2017〕46号）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健康素养促进行动</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16"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免费孕前优生健康检查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【部门规章及规范性文件】《国家人口计生委、财政部关于开展国家免费孕前优生健康检查项目试点工作的通知》 （国人口发〔2010〕29号）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【部门规章及规范性文件】《国家卫生计生委办公厅关于做好2016年国家免费孕前优生健康检查项目工作的通知》 （国卫办妇幼函〔2016〕894号）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127</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新生儿疾病筛查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【部门规章及规范性文件】《新生儿疾病筛查管理办法》（中华人民共和国卫生部令第64号）【部门规章及规范性文件】《中山市新生儿疾病免费筛查工作方案》（中山卫计[2018]3号）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【部门规章及规范性文件】《中山市新生儿疾病筛查实施方案(2020版)》（中山卫健〔2020〕49号）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128</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增补叶酸预防神经管缺陷项目</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【部门规章及规范性文件】《卫生部关于印发&lt;增补叶酸预防神经管缺陷项目管理方案&gt;》的通知（卫妇社发〔2009〕60号）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【部门规章及规范性文件】《增补叶酸预防神经管缺陷项目管理方案》（卫妇社发〔2009〕60号）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 《中山市卫生计生局关于进一步加强叶酸发放管理的通知》（中山卫计[2018]38号）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【部门规章及规范性文件】《广东省卫生健康委办公室关于做好新划入基本公共卫生服务妇幼相关项目工作的通知》（粤卫办妇幼函[2020]3号）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771"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129</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死亡医学证明办理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【部门规章及规范性文件】《国家卫生计生委 公安部 民政部关于进一步规范人口死亡医学证明和信息登记管理工作的通知》（国卫规划发〔2013〕57号）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出具医学诊断证明</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住院病历复制、查阅</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【部门规章及规范性文件】《医疗机构病历管理规定（2013年版）》（国卫医发〔2013〕31号）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132</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医疗事故争议处理</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【行政法规】《医疗纠纷预防和处理条例》(中华人民共和国国务院令第701号)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病媒生物防制</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【部门规章及规范性文件】《国务院关于进一步加强新时期爱国卫生工作的意见》（国发〔2014〕66号）</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restart"/>
            <w:vAlign w:val="center"/>
          </w:tcPr>
          <w:p>
            <w:pPr>
              <w:jc w:val="center"/>
              <w:rPr>
                <w:rFonts w:hint="eastAsia" w:ascii="宋体" w:hAnsi="宋体" w:eastAsia="宋体" w:cs="宋体"/>
                <w:b w:val="0"/>
                <w:bCs w:val="0"/>
                <w:i w:val="0"/>
                <w:color w:val="000000"/>
                <w:sz w:val="18"/>
                <w:szCs w:val="18"/>
                <w:u w:val="none"/>
              </w:rPr>
            </w:pPr>
          </w:p>
        </w:tc>
        <w:tc>
          <w:tcPr>
            <w:tcW w:w="1245" w:type="dxa"/>
            <w:vMerge w:val="restart"/>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【部门规章及规范性文件】《农村妇女“两癌”检查项目管理方案》的通知 （卫妇社发〔2009〕61号）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【部门规章及规范性文件】《国家卫生计生委妇幼司关于印发农村妇女两癌检查项目管理方案（2015年版）的通知》（国卫妇幼妇卫便函〔2015〕71号）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156"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1319" w:type="dxa"/>
            <w:gridSpan w:val="2"/>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市、镇（区）卫生健康行政部门</w:t>
            </w: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restart"/>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2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918"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 公共卫生服务事项</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农村妇女“两癌”检查</w:t>
            </w: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519" w:type="dxa"/>
            <w:gridSpan w:val="2"/>
            <w:vMerge w:val="continue"/>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156"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19" w:type="dxa"/>
            <w:gridSpan w:val="2"/>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3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5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0"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continue"/>
            <w:vAlign w:val="center"/>
          </w:tcPr>
          <w:p>
            <w:pPr>
              <w:jc w:val="center"/>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服务项目和内容</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restart"/>
            <w:vAlign w:val="center"/>
          </w:tcPr>
          <w:p>
            <w:pPr>
              <w:jc w:val="left"/>
              <w:rPr>
                <w:rFonts w:hint="eastAsia" w:ascii="宋体" w:hAnsi="宋体" w:eastAsia="宋体" w:cs="宋体"/>
                <w:i w:val="0"/>
                <w:color w:val="000000"/>
                <w:sz w:val="18"/>
                <w:szCs w:val="18"/>
                <w:u w:val="none"/>
              </w:rPr>
            </w:pPr>
          </w:p>
        </w:tc>
        <w:tc>
          <w:tcPr>
            <w:tcW w:w="720" w:type="dxa"/>
            <w:vMerge w:val="restart"/>
            <w:vAlign w:val="center"/>
          </w:tcPr>
          <w:p>
            <w:pPr>
              <w:jc w:val="center"/>
              <w:rPr>
                <w:rFonts w:hint="eastAsia" w:ascii="宋体" w:hAnsi="宋体" w:eastAsia="宋体" w:cs="宋体"/>
                <w:i w:val="0"/>
                <w:color w:val="000000"/>
                <w:sz w:val="18"/>
                <w:szCs w:val="18"/>
                <w:u w:val="none"/>
              </w:rPr>
            </w:pPr>
          </w:p>
        </w:tc>
        <w:tc>
          <w:tcPr>
            <w:tcW w:w="705" w:type="dxa"/>
            <w:vMerge w:val="restart"/>
            <w:vAlign w:val="center"/>
          </w:tcPr>
          <w:p>
            <w:pPr>
              <w:jc w:val="center"/>
              <w:rPr>
                <w:rFonts w:hint="eastAsia" w:ascii="宋体" w:hAnsi="宋体" w:eastAsia="宋体" w:cs="宋体"/>
                <w:i w:val="0"/>
                <w:color w:val="000000"/>
                <w:sz w:val="18"/>
                <w:szCs w:val="18"/>
                <w:u w:val="none"/>
              </w:rPr>
            </w:pPr>
          </w:p>
        </w:tc>
        <w:tc>
          <w:tcPr>
            <w:tcW w:w="585" w:type="dxa"/>
            <w:vMerge w:val="restart"/>
            <w:vAlign w:val="center"/>
          </w:tcPr>
          <w:p>
            <w:pPr>
              <w:jc w:val="center"/>
              <w:rPr>
                <w:rFonts w:hint="eastAsia" w:ascii="宋体" w:hAnsi="宋体" w:eastAsia="宋体" w:cs="宋体"/>
                <w:i w:val="0"/>
                <w:color w:val="000000"/>
                <w:sz w:val="18"/>
                <w:szCs w:val="18"/>
                <w:u w:val="none"/>
              </w:rPr>
            </w:pPr>
          </w:p>
        </w:tc>
        <w:tc>
          <w:tcPr>
            <w:tcW w:w="690" w:type="dxa"/>
            <w:vMerge w:val="restart"/>
            <w:vAlign w:val="center"/>
          </w:tcPr>
          <w:p>
            <w:pPr>
              <w:jc w:val="center"/>
              <w:rPr>
                <w:rFonts w:hint="eastAsia" w:ascii="宋体" w:hAnsi="宋体" w:eastAsia="宋体" w:cs="宋体"/>
                <w:i w:val="0"/>
                <w:color w:val="000000"/>
                <w:sz w:val="18"/>
                <w:szCs w:val="18"/>
                <w:u w:val="none"/>
              </w:rPr>
            </w:pPr>
          </w:p>
        </w:tc>
        <w:tc>
          <w:tcPr>
            <w:tcW w:w="735" w:type="dxa"/>
            <w:vMerge w:val="restart"/>
            <w:vAlign w:val="center"/>
          </w:tcPr>
          <w:p>
            <w:pPr>
              <w:jc w:val="center"/>
              <w:rPr>
                <w:rFonts w:hint="eastAsia" w:ascii="宋体" w:hAnsi="宋体" w:eastAsia="宋体" w:cs="宋体"/>
                <w:i w:val="0"/>
                <w:color w:val="000000"/>
                <w:sz w:val="18"/>
                <w:szCs w:val="18"/>
                <w:u w:val="none"/>
              </w:rPr>
            </w:pPr>
          </w:p>
        </w:tc>
        <w:tc>
          <w:tcPr>
            <w:tcW w:w="854" w:type="dxa"/>
            <w:vMerge w:val="restart"/>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服务流程</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Merge w:val="continue"/>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服务要求</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75" w:hRule="atLeast"/>
          <w:jc w:val="center"/>
        </w:trPr>
        <w:tc>
          <w:tcPr>
            <w:tcW w:w="460" w:type="dxa"/>
            <w:vMerge w:val="continue"/>
            <w:vAlign w:val="center"/>
          </w:tcPr>
          <w:p>
            <w:pPr>
              <w:jc w:val="both"/>
              <w:rPr>
                <w:rFonts w:hint="eastAsia" w:ascii="宋体" w:hAnsi="宋体" w:eastAsia="宋体" w:cs="宋体"/>
                <w:i w:val="0"/>
                <w:color w:val="000000"/>
                <w:sz w:val="18"/>
                <w:szCs w:val="18"/>
                <w:u w:val="none"/>
              </w:rPr>
            </w:pPr>
          </w:p>
        </w:tc>
        <w:tc>
          <w:tcPr>
            <w:tcW w:w="918" w:type="dxa"/>
            <w:vMerge w:val="continue"/>
            <w:vAlign w:val="center"/>
          </w:tcPr>
          <w:p>
            <w:pPr>
              <w:jc w:val="center"/>
              <w:rPr>
                <w:rFonts w:hint="eastAsia" w:ascii="宋体" w:hAnsi="宋体" w:eastAsia="宋体" w:cs="宋体"/>
                <w:b w:val="0"/>
                <w:bCs w:val="0"/>
                <w:i w:val="0"/>
                <w:color w:val="000000"/>
                <w:sz w:val="18"/>
                <w:szCs w:val="18"/>
                <w:u w:val="none"/>
              </w:rPr>
            </w:pPr>
          </w:p>
        </w:tc>
        <w:tc>
          <w:tcPr>
            <w:tcW w:w="1245" w:type="dxa"/>
            <w:vAlign w:val="center"/>
          </w:tcPr>
          <w:p>
            <w:pPr>
              <w:jc w:val="center"/>
              <w:rPr>
                <w:rFonts w:hint="eastAsia" w:ascii="宋体" w:hAnsi="宋体" w:eastAsia="宋体" w:cs="宋体"/>
                <w:i w:val="0"/>
                <w:color w:val="000000"/>
                <w:sz w:val="18"/>
                <w:szCs w:val="18"/>
                <w:u w:val="none"/>
              </w:rPr>
            </w:pPr>
          </w:p>
        </w:tc>
        <w:tc>
          <w:tcPr>
            <w:tcW w:w="261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519" w:type="dxa"/>
            <w:gridSpan w:val="2"/>
            <w:vMerge w:val="continue"/>
            <w:vAlign w:val="center"/>
          </w:tcPr>
          <w:p>
            <w:pPr>
              <w:jc w:val="left"/>
              <w:rPr>
                <w:rFonts w:hint="eastAsia" w:ascii="宋体" w:hAnsi="宋体" w:eastAsia="宋体" w:cs="宋体"/>
                <w:i w:val="0"/>
                <w:color w:val="000000"/>
                <w:sz w:val="18"/>
                <w:szCs w:val="18"/>
                <w:u w:val="none"/>
              </w:rPr>
            </w:pPr>
          </w:p>
        </w:tc>
        <w:tc>
          <w:tcPr>
            <w:tcW w:w="1156" w:type="dxa"/>
            <w:vMerge w:val="continue"/>
            <w:vAlign w:val="center"/>
          </w:tcPr>
          <w:p>
            <w:pPr>
              <w:jc w:val="center"/>
              <w:rPr>
                <w:rFonts w:hint="eastAsia" w:ascii="宋体" w:hAnsi="宋体" w:eastAsia="宋体" w:cs="宋体"/>
                <w:i w:val="0"/>
                <w:color w:val="000000"/>
                <w:sz w:val="18"/>
                <w:szCs w:val="18"/>
                <w:u w:val="none"/>
              </w:rPr>
            </w:pPr>
          </w:p>
        </w:tc>
        <w:tc>
          <w:tcPr>
            <w:tcW w:w="1319" w:type="dxa"/>
            <w:gridSpan w:val="2"/>
            <w:vMerge w:val="continue"/>
            <w:vAlign w:val="center"/>
          </w:tcPr>
          <w:p>
            <w:pPr>
              <w:jc w:val="center"/>
              <w:rPr>
                <w:rFonts w:hint="eastAsia" w:ascii="宋体" w:hAnsi="宋体" w:eastAsia="宋体" w:cs="宋体"/>
                <w:i w:val="0"/>
                <w:color w:val="000000"/>
                <w:sz w:val="18"/>
                <w:szCs w:val="18"/>
                <w:u w:val="none"/>
              </w:rPr>
            </w:pPr>
          </w:p>
        </w:tc>
        <w:tc>
          <w:tcPr>
            <w:tcW w:w="1037" w:type="dxa"/>
            <w:vMerge w:val="continue"/>
            <w:vAlign w:val="center"/>
          </w:tcPr>
          <w:p>
            <w:pPr>
              <w:jc w:val="left"/>
              <w:rPr>
                <w:rFonts w:hint="eastAsia" w:ascii="宋体" w:hAnsi="宋体" w:eastAsia="宋体" w:cs="宋体"/>
                <w:i w:val="0"/>
                <w:color w:val="000000"/>
                <w:sz w:val="18"/>
                <w:szCs w:val="18"/>
                <w:u w:val="none"/>
              </w:rPr>
            </w:pPr>
          </w:p>
        </w:tc>
        <w:tc>
          <w:tcPr>
            <w:tcW w:w="720" w:type="dxa"/>
            <w:vMerge w:val="continue"/>
            <w:vAlign w:val="center"/>
          </w:tcPr>
          <w:p>
            <w:pPr>
              <w:jc w:val="center"/>
              <w:rPr>
                <w:rFonts w:hint="eastAsia" w:ascii="宋体" w:hAnsi="宋体" w:eastAsia="宋体" w:cs="宋体"/>
                <w:i w:val="0"/>
                <w:color w:val="000000"/>
                <w:sz w:val="18"/>
                <w:szCs w:val="18"/>
                <w:u w:val="none"/>
              </w:rPr>
            </w:pPr>
          </w:p>
        </w:tc>
        <w:tc>
          <w:tcPr>
            <w:tcW w:w="705" w:type="dxa"/>
            <w:vMerge w:val="continue"/>
            <w:vAlign w:val="center"/>
          </w:tcPr>
          <w:p>
            <w:pPr>
              <w:jc w:val="center"/>
              <w:rPr>
                <w:rFonts w:hint="eastAsia" w:ascii="宋体" w:hAnsi="宋体" w:eastAsia="宋体" w:cs="宋体"/>
                <w:i w:val="0"/>
                <w:color w:val="000000"/>
                <w:sz w:val="18"/>
                <w:szCs w:val="18"/>
                <w:u w:val="none"/>
              </w:rPr>
            </w:pPr>
          </w:p>
        </w:tc>
        <w:tc>
          <w:tcPr>
            <w:tcW w:w="585" w:type="dxa"/>
            <w:vMerge w:val="continue"/>
            <w:vAlign w:val="center"/>
          </w:tcPr>
          <w:p>
            <w:pPr>
              <w:jc w:val="center"/>
              <w:rPr>
                <w:rFonts w:hint="eastAsia" w:ascii="宋体" w:hAnsi="宋体" w:eastAsia="宋体" w:cs="宋体"/>
                <w:i w:val="0"/>
                <w:color w:val="000000"/>
                <w:sz w:val="18"/>
                <w:szCs w:val="18"/>
                <w:u w:val="none"/>
              </w:rPr>
            </w:pPr>
          </w:p>
        </w:tc>
        <w:tc>
          <w:tcPr>
            <w:tcW w:w="690" w:type="dxa"/>
            <w:vMerge w:val="continue"/>
            <w:vAlign w:val="center"/>
          </w:tcPr>
          <w:p>
            <w:pPr>
              <w:jc w:val="center"/>
              <w:rPr>
                <w:rFonts w:hint="eastAsia" w:ascii="宋体" w:hAnsi="宋体" w:eastAsia="宋体" w:cs="宋体"/>
                <w:i w:val="0"/>
                <w:color w:val="000000"/>
                <w:sz w:val="18"/>
                <w:szCs w:val="18"/>
                <w:u w:val="none"/>
              </w:rPr>
            </w:pPr>
          </w:p>
        </w:tc>
        <w:tc>
          <w:tcPr>
            <w:tcW w:w="735" w:type="dxa"/>
            <w:vMerge w:val="continue"/>
            <w:vAlign w:val="center"/>
          </w:tcPr>
          <w:p>
            <w:pPr>
              <w:jc w:val="center"/>
              <w:rPr>
                <w:rFonts w:hint="eastAsia" w:ascii="宋体" w:hAnsi="宋体" w:eastAsia="宋体" w:cs="宋体"/>
                <w:i w:val="0"/>
                <w:color w:val="000000"/>
                <w:sz w:val="18"/>
                <w:szCs w:val="18"/>
                <w:u w:val="none"/>
              </w:rPr>
            </w:pPr>
          </w:p>
        </w:tc>
        <w:tc>
          <w:tcPr>
            <w:tcW w:w="854" w:type="dxa"/>
            <w:vMerge w:val="continue"/>
            <w:vAlign w:val="center"/>
          </w:tcPr>
          <w:p>
            <w:pPr>
              <w:jc w:val="center"/>
              <w:rPr>
                <w:rFonts w:hint="eastAsia" w:ascii="宋体" w:hAnsi="宋体" w:eastAsia="宋体" w:cs="宋体"/>
                <w:i w:val="0"/>
                <w:color w:val="000000"/>
                <w:sz w:val="18"/>
                <w:szCs w:val="18"/>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35B16"/>
    <w:rsid w:val="3483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2020-12-21T02:30:00Z</dcterms:created>
  <dc:creator>NTKO</dc:creator>
  <cp:lastModifiedBy>NTKO</cp:lastModifiedBy>
  <dcterms:modified xsi:type="dcterms:W3CDTF">2020-12-21T02:31:14Z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