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27" w:type="dxa"/>
        <w:jc w:val="center"/>
        <w:tblInd w:w="-4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2"/>
        <w:gridCol w:w="1044"/>
        <w:gridCol w:w="1305"/>
        <w:gridCol w:w="2040"/>
        <w:gridCol w:w="1545"/>
        <w:gridCol w:w="1620"/>
        <w:gridCol w:w="1590"/>
        <w:gridCol w:w="1125"/>
        <w:gridCol w:w="735"/>
        <w:gridCol w:w="555"/>
        <w:gridCol w:w="645"/>
        <w:gridCol w:w="660"/>
        <w:gridCol w:w="405"/>
        <w:gridCol w:w="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00" w:hRule="atLeast"/>
          <w:jc w:val="center"/>
        </w:trPr>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bookmarkStart w:id="0" w:name="_GoBack"/>
            <w:r>
              <w:rPr>
                <w:rFonts w:hint="eastAsia" w:ascii="黑体" w:hAnsi="黑体" w:eastAsia="黑体" w:cs="黑体"/>
                <w:b w:val="0"/>
                <w:bCs/>
                <w:i w:val="0"/>
                <w:color w:val="000000"/>
                <w:kern w:val="0"/>
                <w:sz w:val="22"/>
                <w:szCs w:val="22"/>
                <w:u w:val="none"/>
                <w:lang w:val="en-US" w:eastAsia="zh-CN" w:bidi="ar"/>
              </w:rPr>
              <w:t>序号</w:t>
            </w:r>
          </w:p>
        </w:tc>
        <w:tc>
          <w:tcPr>
            <w:tcW w:w="23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公开事项</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公开内容</w:t>
            </w:r>
          </w:p>
        </w:tc>
        <w:tc>
          <w:tcPr>
            <w:tcW w:w="15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公开依据</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w:t>
            </w:r>
            <w:r>
              <w:rPr>
                <w:rFonts w:hint="eastAsia" w:ascii="黑体" w:hAnsi="黑体" w:eastAsia="黑体" w:cs="黑体"/>
                <w:b w:val="0"/>
                <w:bCs/>
                <w:i w:val="0"/>
                <w:color w:val="000000"/>
                <w:kern w:val="0"/>
                <w:sz w:val="22"/>
                <w:szCs w:val="22"/>
                <w:u w:val="none"/>
                <w:lang w:val="en-US" w:eastAsia="zh-CN" w:bidi="ar"/>
              </w:rPr>
              <w:br w:type="textWrapping"/>
            </w:r>
            <w:r>
              <w:rPr>
                <w:rFonts w:hint="eastAsia" w:ascii="黑体" w:hAnsi="黑体" w:eastAsia="黑体" w:cs="黑体"/>
                <w:b w:val="0"/>
                <w:bCs/>
                <w:i w:val="0"/>
                <w:color w:val="000000"/>
                <w:kern w:val="0"/>
                <w:sz w:val="22"/>
                <w:szCs w:val="22"/>
                <w:u w:val="none"/>
                <w:lang w:val="en-US" w:eastAsia="zh-CN" w:bidi="ar"/>
              </w:rPr>
              <w:t>时限</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w:t>
            </w:r>
            <w:r>
              <w:rPr>
                <w:rFonts w:hint="eastAsia" w:ascii="黑体" w:hAnsi="黑体" w:eastAsia="黑体" w:cs="黑体"/>
                <w:b w:val="0"/>
                <w:bCs/>
                <w:i w:val="0"/>
                <w:color w:val="000000"/>
                <w:kern w:val="0"/>
                <w:sz w:val="22"/>
                <w:szCs w:val="22"/>
                <w:u w:val="none"/>
                <w:lang w:val="en-US" w:eastAsia="zh-CN" w:bidi="ar"/>
              </w:rPr>
              <w:br w:type="textWrapping"/>
            </w:r>
            <w:r>
              <w:rPr>
                <w:rFonts w:hint="eastAsia" w:ascii="黑体" w:hAnsi="黑体" w:eastAsia="黑体" w:cs="黑体"/>
                <w:b w:val="0"/>
                <w:bCs/>
                <w:i w:val="0"/>
                <w:color w:val="000000"/>
                <w:kern w:val="0"/>
                <w:sz w:val="22"/>
                <w:szCs w:val="22"/>
                <w:u w:val="none"/>
                <w:lang w:val="en-US" w:eastAsia="zh-CN" w:bidi="ar"/>
              </w:rPr>
              <w:t>主体</w:t>
            </w: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公开渠道</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和载体</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公开方式</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55"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一级</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事项</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二级</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事项</w:t>
            </w: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黑体" w:eastAsia="黑体" w:cs="黑体"/>
                <w:b w:val="0"/>
                <w:bCs/>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特定群体</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主动公开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依申请公开</w:t>
            </w: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市级</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擅自使用未经验收或者验收不合格的城市道路</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81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未对设在城市道路上的各种管线的检查井、箱盖或者城市道路附属设施的缺损及时补缺或者修复</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未在城市道路施工现场设置明显标志和安全防围设施</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占用城市道路期满或者挖掘城市道路后，不及时清理现场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依附于城市道路建设各种管线、杆线等设施，不按照规定办理批准手续</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紧急抢修埋设在城市道路下的管线，不按照规定补办批准手续</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未按照批准的位置、面积、期限占用或者挖掘城市道路，或者需要移动位置、扩大面积、延长时间，未提前办理变更审批手续</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擅自占用或者挖掘城市道路</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擅自在城市道路上建设建筑物、构筑物</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在桥梁上架设压力在4公斤/平方厘米（0.4兆帕）以上的煤气管道、10千伏以上的高压电力线和其他易燃易爆管线</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擅自在桥梁或者路灯设施上设置广告牌或者其他挂浮物</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其他损害、侵占城市道路的行为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在城市景观照明中有过度照明等超能耗标准行为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在城市照明设施上刻划、涂污</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在城市照明设施安全距离内，擅自植树、挖坑取土或者设置其他物体，或者倾倒含酸、碱、盐等腐蚀物或者具有腐蚀性的废渣、废液</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擅自在城市照明设施上张贴、悬挂、设置宣传品、广告</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擅自在城市照明设施上架设线缆、安置其它设施或者接用电源</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擅自迁移、拆除、利用城市照明设施</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其他可能影响城市照明设施正常运行的行为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建设单位未移交地下管线工程档案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《城市地下管线工程档案管理办法》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地下管线专业管理单位未移交地下管线工程档案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《城市地下管线工程档案管理办法》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城市桥梁产权人或者委托管理人未按照规定编制城市桥梁养护维修的中长期规划和年度计划，或者未经批准即实施</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城市桥梁产权人或者委托管理人未按照规定设置相应的标志，并保持其完好、清晰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城市桥梁产权人或者委托管理人未按照规定委托具有相应资格的机构对城市桥梁进行检测评估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城市桥梁产权人或者委托管理人未按照规定制定城市桥梁的安全抢险预备方案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城市桥梁产权人或者委托管理人未按照规定对城市桥梁进行养护维修</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单位或者个人擅自在城市桥梁上架设各类管线、设置广告等辅助物</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7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超限机动车辆、履带车、铁轮车等需经过城市桥梁的，在报公安交通管理部门审批前，未先经城市人民政府市政工程设施行政主管部门同意，或未采取相应技术措施就通行</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7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经过检测评估，确定城市桥梁的承载能力下降，但尚未构成危桥的，城市桥梁产权人和委托管理人未及时设置警示标志，或未立即采取加固等安全措施</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市政公用管理</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《城市桥梁检测和养护维修管理办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违法建设</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未取得建设工程规划许可证或者未按照建设工程规划许可证的规定进行建设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违法建设</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建设单位或者个人未经批准进行临时建设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违法建设</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建设单位或者个人未按照批准内容进行临时建设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违法建设</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临时建筑物、构筑物超过批准期限建设单位或者个人不拆除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4.行政处罚自由裁量基准；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1.除处罚决定外其他内容：长期公开（动态调整）；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2.处罚决定：20个工作日内。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违法建设</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城乡规划主管部门作出责令停止建设或者限期拆除的决定后，当事人不停止建设或者逾期不拆除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5.强制决定；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1.除强制决定外其他内容：长期公开（动态调整）；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2.强制决定：20个工作日内。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96"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违法建设</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凡不符合城市容貌标准、环境卫生标准的建筑物或者设施，逾期未改造或者未拆除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1.机构职能、权责清单、执法人员名单；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2.执法程序或行政强制流程图；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3.执法依据；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4.咨询、监督投诉方式；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5.强制决定；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6.救济渠道。</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《城市市容和环境卫生管理条例》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1.除强制决定外其他内容：长期公开（动态调整）；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2.强制决定：20个工作日内。</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城市管理行政执法部门或相关行政主管部门</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■政府网站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■公开查阅点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1615E"/>
    <w:rsid w:val="6B51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2020-12-21T02:28:00Z</dcterms:created>
  <dc:creator>信息中心</dc:creator>
  <cp:lastModifiedBy>信息中心</cp:lastModifiedBy>
  <dcterms:modified xsi:type="dcterms:W3CDTF">2020-12-21T02:30:56Z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