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3684" w:type="dxa"/>
        <w:jc w:val="center"/>
        <w:tblInd w:w="10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945"/>
        <w:gridCol w:w="840"/>
        <w:gridCol w:w="1755"/>
        <w:gridCol w:w="2295"/>
        <w:gridCol w:w="1110"/>
        <w:gridCol w:w="1275"/>
        <w:gridCol w:w="1323"/>
        <w:gridCol w:w="600"/>
        <w:gridCol w:w="675"/>
        <w:gridCol w:w="510"/>
        <w:gridCol w:w="585"/>
        <w:gridCol w:w="615"/>
        <w:gridCol w:w="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Merge w:val="restart"/>
            <w:vAlign w:val="center"/>
          </w:tcPr>
          <w:p>
            <w:pPr>
              <w:widowControl/>
              <w:jc w:val="center"/>
              <w:rPr>
                <w:rFonts w:hint="eastAsia" w:ascii="黑体" w:hAnsi="黑体" w:eastAsia="黑体" w:cs="黑体"/>
                <w:color w:val="000000"/>
                <w:kern w:val="0"/>
                <w:sz w:val="22"/>
                <w:szCs w:val="22"/>
              </w:rPr>
            </w:pPr>
            <w:bookmarkStart w:id="0" w:name="_GoBack"/>
            <w:r>
              <w:rPr>
                <w:rFonts w:hint="eastAsia" w:ascii="黑体" w:hAnsi="黑体" w:eastAsia="黑体" w:cs="黑体"/>
                <w:color w:val="000000"/>
                <w:kern w:val="0"/>
                <w:sz w:val="22"/>
                <w:szCs w:val="22"/>
              </w:rPr>
              <w:t>序号</w:t>
            </w:r>
          </w:p>
        </w:tc>
        <w:tc>
          <w:tcPr>
            <w:tcW w:w="1785"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公开事项</w:t>
            </w:r>
          </w:p>
        </w:tc>
        <w:tc>
          <w:tcPr>
            <w:tcW w:w="1755"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公开内容（要素）</w:t>
            </w:r>
          </w:p>
        </w:tc>
        <w:tc>
          <w:tcPr>
            <w:tcW w:w="2295"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公开依据</w:t>
            </w:r>
          </w:p>
        </w:tc>
        <w:tc>
          <w:tcPr>
            <w:tcW w:w="1110"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公开时限</w:t>
            </w:r>
          </w:p>
        </w:tc>
        <w:tc>
          <w:tcPr>
            <w:tcW w:w="1275" w:type="dxa"/>
            <w:vMerge w:val="restart"/>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公开主体</w:t>
            </w:r>
          </w:p>
        </w:tc>
        <w:tc>
          <w:tcPr>
            <w:tcW w:w="1323" w:type="dxa"/>
            <w:vMerge w:val="restart"/>
            <w:vAlign w:val="center"/>
          </w:tcPr>
          <w:p>
            <w:pPr>
              <w:widowControl/>
              <w:jc w:val="center"/>
              <w:rPr>
                <w:rFonts w:hint="eastAsia" w:ascii="黑体" w:hAnsi="黑体" w:eastAsia="黑体" w:cs="黑体"/>
                <w:kern w:val="0"/>
                <w:sz w:val="22"/>
                <w:szCs w:val="22"/>
              </w:rPr>
            </w:pPr>
            <w:r>
              <w:rPr>
                <w:rFonts w:hint="eastAsia" w:ascii="黑体" w:hAnsi="黑体" w:eastAsia="黑体" w:cs="黑体"/>
                <w:kern w:val="0"/>
                <w:sz w:val="22"/>
                <w:szCs w:val="22"/>
              </w:rPr>
              <w:t>公开渠道和载体</w:t>
            </w:r>
          </w:p>
        </w:tc>
        <w:tc>
          <w:tcPr>
            <w:tcW w:w="1275"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公开对象</w:t>
            </w:r>
          </w:p>
        </w:tc>
        <w:tc>
          <w:tcPr>
            <w:tcW w:w="1095"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公开方式</w:t>
            </w:r>
          </w:p>
        </w:tc>
        <w:tc>
          <w:tcPr>
            <w:tcW w:w="1222" w:type="dxa"/>
            <w:gridSpan w:val="2"/>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Merge w:val="continue"/>
            <w:vAlign w:val="center"/>
          </w:tcPr>
          <w:p>
            <w:pPr>
              <w:widowControl/>
              <w:jc w:val="left"/>
              <w:rPr>
                <w:rFonts w:hint="eastAsia" w:ascii="黑体" w:hAnsi="黑体" w:eastAsia="黑体" w:cs="黑体"/>
                <w:color w:val="000000"/>
                <w:kern w:val="0"/>
                <w:sz w:val="22"/>
                <w:szCs w:val="22"/>
              </w:rPr>
            </w:pPr>
          </w:p>
        </w:tc>
        <w:tc>
          <w:tcPr>
            <w:tcW w:w="945"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一级</w:t>
            </w:r>
          </w:p>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事项</w:t>
            </w:r>
          </w:p>
        </w:tc>
        <w:tc>
          <w:tcPr>
            <w:tcW w:w="840"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二级</w:t>
            </w:r>
          </w:p>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事项</w:t>
            </w:r>
          </w:p>
        </w:tc>
        <w:tc>
          <w:tcPr>
            <w:tcW w:w="1755" w:type="dxa"/>
            <w:vMerge w:val="continue"/>
            <w:vAlign w:val="center"/>
          </w:tcPr>
          <w:p>
            <w:pPr>
              <w:widowControl/>
              <w:jc w:val="left"/>
              <w:rPr>
                <w:rFonts w:hint="eastAsia" w:ascii="黑体" w:hAnsi="黑体" w:eastAsia="黑体" w:cs="黑体"/>
                <w:color w:val="000000"/>
                <w:kern w:val="0"/>
                <w:sz w:val="22"/>
                <w:szCs w:val="22"/>
              </w:rPr>
            </w:pPr>
          </w:p>
        </w:tc>
        <w:tc>
          <w:tcPr>
            <w:tcW w:w="2295" w:type="dxa"/>
            <w:vMerge w:val="continue"/>
            <w:vAlign w:val="center"/>
          </w:tcPr>
          <w:p>
            <w:pPr>
              <w:widowControl/>
              <w:jc w:val="left"/>
              <w:rPr>
                <w:rFonts w:hint="eastAsia" w:ascii="黑体" w:hAnsi="黑体" w:eastAsia="黑体" w:cs="黑体"/>
                <w:color w:val="000000"/>
                <w:kern w:val="0"/>
                <w:sz w:val="22"/>
                <w:szCs w:val="22"/>
              </w:rPr>
            </w:pPr>
          </w:p>
        </w:tc>
        <w:tc>
          <w:tcPr>
            <w:tcW w:w="1110" w:type="dxa"/>
            <w:vMerge w:val="continue"/>
            <w:vAlign w:val="center"/>
          </w:tcPr>
          <w:p>
            <w:pPr>
              <w:widowControl/>
              <w:jc w:val="left"/>
              <w:rPr>
                <w:rFonts w:hint="eastAsia" w:ascii="黑体" w:hAnsi="黑体" w:eastAsia="黑体" w:cs="黑体"/>
                <w:color w:val="000000"/>
                <w:kern w:val="0"/>
                <w:sz w:val="22"/>
                <w:szCs w:val="22"/>
              </w:rPr>
            </w:pPr>
          </w:p>
        </w:tc>
        <w:tc>
          <w:tcPr>
            <w:tcW w:w="1275" w:type="dxa"/>
            <w:vMerge w:val="continue"/>
            <w:vAlign w:val="center"/>
          </w:tcPr>
          <w:p>
            <w:pPr>
              <w:widowControl/>
              <w:jc w:val="left"/>
              <w:rPr>
                <w:rFonts w:hint="eastAsia" w:ascii="黑体" w:hAnsi="黑体" w:eastAsia="黑体" w:cs="黑体"/>
                <w:color w:val="000000"/>
                <w:kern w:val="0"/>
                <w:sz w:val="22"/>
                <w:szCs w:val="22"/>
              </w:rPr>
            </w:pPr>
          </w:p>
        </w:tc>
        <w:tc>
          <w:tcPr>
            <w:tcW w:w="1323" w:type="dxa"/>
            <w:vMerge w:val="continue"/>
            <w:vAlign w:val="center"/>
          </w:tcPr>
          <w:p>
            <w:pPr>
              <w:widowControl/>
              <w:jc w:val="left"/>
              <w:rPr>
                <w:rFonts w:hint="eastAsia" w:ascii="黑体" w:hAnsi="黑体" w:eastAsia="黑体" w:cs="黑体"/>
                <w:kern w:val="0"/>
                <w:sz w:val="22"/>
                <w:szCs w:val="22"/>
              </w:rPr>
            </w:pPr>
          </w:p>
        </w:tc>
        <w:tc>
          <w:tcPr>
            <w:tcW w:w="600"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全社会</w:t>
            </w:r>
          </w:p>
        </w:tc>
        <w:tc>
          <w:tcPr>
            <w:tcW w:w="675"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特定群众</w:t>
            </w:r>
          </w:p>
        </w:tc>
        <w:tc>
          <w:tcPr>
            <w:tcW w:w="510"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主动</w:t>
            </w:r>
          </w:p>
        </w:tc>
        <w:tc>
          <w:tcPr>
            <w:tcW w:w="585" w:type="dxa"/>
            <w:vAlign w:val="center"/>
          </w:tcPr>
          <w:p>
            <w:pPr>
              <w:widowControl/>
              <w:jc w:val="center"/>
              <w:rPr>
                <w:rFonts w:hint="eastAsia" w:ascii="黑体" w:hAnsi="黑体" w:eastAsia="黑体" w:cs="黑体"/>
                <w:color w:val="000000"/>
                <w:kern w:val="0"/>
                <w:sz w:val="22"/>
                <w:szCs w:val="22"/>
              </w:rPr>
            </w:pPr>
            <w:r>
              <w:rPr>
                <w:rFonts w:hint="eastAsia" w:ascii="黑体" w:hAnsi="黑体" w:eastAsia="黑体" w:cs="黑体"/>
                <w:color w:val="000000"/>
                <w:kern w:val="0"/>
                <w:sz w:val="22"/>
                <w:szCs w:val="22"/>
              </w:rPr>
              <w:t>依申请公开</w:t>
            </w:r>
          </w:p>
        </w:tc>
        <w:tc>
          <w:tcPr>
            <w:tcW w:w="615" w:type="dxa"/>
            <w:vAlign w:val="center"/>
          </w:tcPr>
          <w:p>
            <w:pPr>
              <w:widowControl/>
              <w:jc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lang w:val="en-US" w:eastAsia="zh-CN"/>
              </w:rPr>
              <w:t>镇(街)</w:t>
            </w:r>
            <w:r>
              <w:rPr>
                <w:rFonts w:hint="eastAsia" w:ascii="黑体" w:hAnsi="黑体" w:eastAsia="黑体" w:cs="黑体"/>
                <w:color w:val="000000"/>
                <w:kern w:val="0"/>
                <w:sz w:val="22"/>
                <w:szCs w:val="22"/>
                <w:highlight w:val="none"/>
                <w:lang w:eastAsia="zh-CN"/>
              </w:rPr>
              <w:t>级</w:t>
            </w:r>
          </w:p>
        </w:tc>
        <w:tc>
          <w:tcPr>
            <w:tcW w:w="607" w:type="dxa"/>
            <w:vAlign w:val="center"/>
          </w:tcPr>
          <w:p>
            <w:pPr>
              <w:widowControl/>
              <w:jc w:val="center"/>
              <w:rPr>
                <w:rFonts w:hint="eastAsia" w:ascii="黑体" w:hAnsi="黑体" w:eastAsia="黑体" w:cs="黑体"/>
                <w:color w:val="000000"/>
                <w:kern w:val="0"/>
                <w:sz w:val="22"/>
                <w:szCs w:val="22"/>
                <w:highlight w:val="none"/>
              </w:rPr>
            </w:pPr>
            <w:r>
              <w:rPr>
                <w:rFonts w:hint="eastAsia" w:ascii="黑体" w:hAnsi="黑体" w:eastAsia="黑体" w:cs="黑体"/>
                <w:color w:val="000000"/>
                <w:kern w:val="0"/>
                <w:sz w:val="22"/>
                <w:szCs w:val="22"/>
                <w:highlight w:val="none"/>
                <w:lang w:eastAsia="zh-CN"/>
              </w:rPr>
              <w:t>社区</w:t>
            </w:r>
            <w:r>
              <w:rPr>
                <w:rFonts w:hint="eastAsia" w:ascii="黑体" w:hAnsi="黑体" w:eastAsia="黑体" w:cs="黑体"/>
                <w:color w:val="000000"/>
                <w:kern w:val="0"/>
                <w:sz w:val="22"/>
                <w:szCs w:val="22"/>
                <w:highlight w:val="none"/>
                <w:lang w:val="en-US" w:eastAsia="zh-CN"/>
              </w:rPr>
              <w:t>(</w:t>
            </w:r>
            <w:r>
              <w:rPr>
                <w:rFonts w:hint="eastAsia" w:ascii="黑体" w:hAnsi="黑体" w:eastAsia="黑体" w:cs="黑体"/>
                <w:color w:val="000000"/>
                <w:kern w:val="0"/>
                <w:sz w:val="22"/>
                <w:szCs w:val="22"/>
                <w:highlight w:val="none"/>
                <w:lang w:eastAsia="zh-CN"/>
              </w:rPr>
              <w:t>村</w:t>
            </w:r>
            <w:r>
              <w:rPr>
                <w:rFonts w:hint="eastAsia" w:ascii="黑体" w:hAnsi="黑体" w:eastAsia="黑体" w:cs="黑体"/>
                <w:color w:val="000000"/>
                <w:kern w:val="0"/>
                <w:sz w:val="22"/>
                <w:szCs w:val="22"/>
                <w:highlight w:val="none"/>
                <w:lang w:val="en-US" w:eastAsia="zh-CN"/>
              </w:rPr>
              <w:t>)</w:t>
            </w:r>
            <w:r>
              <w:rPr>
                <w:rFonts w:hint="eastAsia" w:ascii="黑体" w:hAnsi="黑体" w:eastAsia="黑体" w:cs="黑体"/>
                <w:color w:val="000000"/>
                <w:kern w:val="0"/>
                <w:sz w:val="22"/>
                <w:szCs w:val="22"/>
                <w:highlight w:val="none"/>
                <w:lang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rPr>
            </w:pPr>
            <w:r>
              <w:rPr>
                <w:rFonts w:hint="eastAsia" w:ascii="宋体" w:hAnsi="宋体" w:eastAsia="宋体" w:cs="宋体"/>
                <w:color w:val="000000"/>
                <w:kern w:val="0"/>
                <w:sz w:val="18"/>
                <w:szCs w:val="18"/>
                <w:highlight w:val="none"/>
              </w:rPr>
              <w:t>1</w:t>
            </w:r>
          </w:p>
        </w:tc>
        <w:tc>
          <w:tcPr>
            <w:tcW w:w="94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部门文件</w:t>
            </w:r>
          </w:p>
        </w:tc>
        <w:tc>
          <w:tcPr>
            <w:tcW w:w="84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农村危房改造相关文件</w:t>
            </w:r>
          </w:p>
        </w:tc>
        <w:tc>
          <w:tcPr>
            <w:tcW w:w="1755" w:type="dxa"/>
            <w:vAlign w:val="center"/>
          </w:tcPr>
          <w:p>
            <w:pPr>
              <w:widowControl/>
              <w:rPr>
                <w:rFonts w:hint="eastAsia"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文件分类、生成日期、标题、文号、有效性、关键词和具体内容等</w:t>
            </w:r>
          </w:p>
        </w:tc>
        <w:tc>
          <w:tcPr>
            <w:tcW w:w="2295" w:type="dxa"/>
            <w:vAlign w:val="center"/>
          </w:tcPr>
          <w:p>
            <w:pPr>
              <w:widowControl/>
              <w:rPr>
                <w:rFonts w:hint="eastAsia"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《政府信息公开条例》、《关于全面推进政务公开工作的意见》及其实施细则</w:t>
            </w:r>
          </w:p>
        </w:tc>
        <w:tc>
          <w:tcPr>
            <w:tcW w:w="1110" w:type="dxa"/>
            <w:vAlign w:val="center"/>
          </w:tcPr>
          <w:p>
            <w:pPr>
              <w:widowControl/>
              <w:rPr>
                <w:rFonts w:hint="eastAsia"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widowControl/>
              <w:rPr>
                <w:rFonts w:hint="eastAsia"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住房和城乡建设等相关职能部门</w:t>
            </w:r>
          </w:p>
        </w:tc>
        <w:tc>
          <w:tcPr>
            <w:tcW w:w="1323" w:type="dxa"/>
            <w:vAlign w:val="center"/>
          </w:tcPr>
          <w:p>
            <w:pPr>
              <w:widowControl/>
              <w:rPr>
                <w:rFonts w:hint="eastAsia" w:ascii="宋体" w:hAnsi="宋体" w:eastAsia="宋体" w:cs="宋体"/>
                <w:color w:val="000000"/>
                <w:kern w:val="0"/>
                <w:sz w:val="18"/>
                <w:szCs w:val="18"/>
                <w:highlight w:val="none"/>
              </w:rPr>
            </w:pPr>
            <w:r>
              <w:rPr>
                <w:rFonts w:hint="eastAsia" w:ascii="宋体" w:hAnsi="宋体" w:eastAsia="宋体" w:cs="宋体"/>
                <w:color w:val="000000"/>
                <w:sz w:val="18"/>
                <w:szCs w:val="18"/>
                <w:highlight w:val="none"/>
              </w:rPr>
              <w:t>公示栏等平台和办事大厅、</w:t>
            </w:r>
            <w:r>
              <w:rPr>
                <w:rFonts w:hint="eastAsia" w:ascii="宋体" w:hAnsi="宋体" w:eastAsia="宋体" w:cs="宋体"/>
                <w:strike w:val="0"/>
                <w:dstrike w:val="0"/>
                <w:color w:val="000000"/>
                <w:sz w:val="18"/>
                <w:szCs w:val="18"/>
                <w:highlight w:val="none"/>
              </w:rPr>
              <w:t>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585" w:type="dxa"/>
            <w:vAlign w:val="center"/>
          </w:tcPr>
          <w:p>
            <w:pPr>
              <w:jc w:val="center"/>
              <w:rPr>
                <w:rFonts w:hint="eastAsia" w:ascii="宋体" w:hAnsi="宋体" w:eastAsia="宋体" w:cs="宋体"/>
                <w:color w:val="000000"/>
                <w:sz w:val="18"/>
                <w:szCs w:val="18"/>
                <w:highlight w:val="none"/>
              </w:rPr>
            </w:pP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2</w:t>
            </w:r>
          </w:p>
        </w:tc>
        <w:tc>
          <w:tcPr>
            <w:tcW w:w="94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计划实施</w:t>
            </w: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任务分配</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及时公开农村危房改造补助农户名单</w:t>
            </w:r>
          </w:p>
        </w:tc>
        <w:tc>
          <w:tcPr>
            <w:tcW w:w="2295" w:type="dxa"/>
            <w:vAlign w:val="center"/>
          </w:tcPr>
          <w:p>
            <w:pPr>
              <w:widowControl/>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《住房城乡建设部 财政部 国务院扶贫办关于加强和完善建档立卡贫困户等重点对象农村危房改造若干问题的通知》等</w:t>
            </w:r>
          </w:p>
        </w:tc>
        <w:tc>
          <w:tcPr>
            <w:tcW w:w="1110" w:type="dxa"/>
            <w:vAlign w:val="center"/>
          </w:tcPr>
          <w:p>
            <w:pPr>
              <w:widowControl/>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分配结果确定后20个工作日内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住房和城乡建设等相关职能部门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办事大厅、公示栏、便民服务窗口等场所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585" w:type="dxa"/>
            <w:vAlign w:val="center"/>
          </w:tcPr>
          <w:p>
            <w:pPr>
              <w:jc w:val="center"/>
              <w:rPr>
                <w:rFonts w:hint="eastAsia" w:ascii="宋体" w:hAnsi="宋体" w:eastAsia="宋体" w:cs="宋体"/>
                <w:color w:val="000000"/>
                <w:sz w:val="18"/>
                <w:szCs w:val="18"/>
                <w:highlight w:val="none"/>
              </w:rPr>
            </w:pPr>
          </w:p>
        </w:tc>
        <w:tc>
          <w:tcPr>
            <w:tcW w:w="615" w:type="dxa"/>
            <w:vAlign w:val="center"/>
          </w:tcPr>
          <w:p>
            <w:pPr>
              <w:jc w:val="center"/>
              <w:rPr>
                <w:rFonts w:hint="eastAsia" w:ascii="宋体" w:hAnsi="宋体" w:eastAsia="宋体" w:cs="宋体"/>
                <w:color w:val="000000"/>
                <w:sz w:val="18"/>
                <w:szCs w:val="18"/>
                <w:highlight w:val="none"/>
              </w:rPr>
            </w:pPr>
          </w:p>
          <w:p>
            <w:pPr>
              <w:jc w:val="center"/>
              <w:rPr>
                <w:rFonts w:hint="eastAsia" w:ascii="宋体" w:hAnsi="宋体" w:eastAsia="宋体" w:cs="宋体"/>
                <w:color w:val="000000"/>
                <w:sz w:val="18"/>
                <w:szCs w:val="18"/>
                <w:highlight w:val="none"/>
              </w:rPr>
            </w:pP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3</w:t>
            </w:r>
          </w:p>
        </w:tc>
        <w:tc>
          <w:tcPr>
            <w:tcW w:w="945"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条件与标准</w:t>
            </w:r>
          </w:p>
        </w:tc>
        <w:tc>
          <w:tcPr>
            <w:tcW w:w="84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农村危房等级评定标准</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农村危房等级评定相关标准</w:t>
            </w:r>
          </w:p>
        </w:tc>
        <w:tc>
          <w:tcPr>
            <w:tcW w:w="229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《预算法》、《政府信息公开条例》、《住房城乡建设部 财政部关于印发农村危房改造脱贫攻坚三年行动方案的通知》、《住房城乡建设部 财政部 国务院扶贫办关于加强和完善建档立卡贫困户等重点对象农村危房改造若干问题的通知》等</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政府门户网站、公示栏等平台和办事大厅、便民服务窗口等场所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4</w:t>
            </w:r>
          </w:p>
        </w:tc>
        <w:tc>
          <w:tcPr>
            <w:tcW w:w="945" w:type="dxa"/>
            <w:vMerge w:val="continue"/>
            <w:vAlign w:val="center"/>
          </w:tcPr>
          <w:p>
            <w:pPr>
              <w:jc w:val="center"/>
              <w:rPr>
                <w:rFonts w:hint="eastAsia" w:ascii="宋体" w:hAnsi="宋体" w:eastAsia="宋体" w:cs="宋体"/>
                <w:color w:val="000000"/>
                <w:sz w:val="18"/>
                <w:szCs w:val="18"/>
                <w:highlight w:val="none"/>
              </w:rPr>
            </w:pP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农村危房改造对象申请条件</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农村危房改造农户申请条件</w:t>
            </w:r>
          </w:p>
        </w:tc>
        <w:tc>
          <w:tcPr>
            <w:tcW w:w="229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同上</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住房和城乡建设等相关职能部门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政府门户网站、公示栏等平台和办事大厅、便民服务窗口等场所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5</w:t>
            </w:r>
          </w:p>
        </w:tc>
        <w:tc>
          <w:tcPr>
            <w:tcW w:w="945"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条件与标准</w:t>
            </w: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农村危房改造资金补助标准</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农村危房改造资金补助标准</w:t>
            </w:r>
          </w:p>
        </w:tc>
        <w:tc>
          <w:tcPr>
            <w:tcW w:w="229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同上</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住房和城乡建设部门、财政等部门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政府门户网站、公示栏等平台和办事大厅、便民服务窗口等场所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6</w:t>
            </w:r>
          </w:p>
        </w:tc>
        <w:tc>
          <w:tcPr>
            <w:tcW w:w="945" w:type="dxa"/>
            <w:vMerge w:val="continue"/>
            <w:vAlign w:val="center"/>
          </w:tcPr>
          <w:p>
            <w:pPr>
              <w:jc w:val="center"/>
              <w:rPr>
                <w:rFonts w:hint="eastAsia" w:ascii="宋体" w:hAnsi="宋体" w:eastAsia="宋体" w:cs="宋体"/>
                <w:color w:val="000000"/>
                <w:sz w:val="18"/>
                <w:szCs w:val="18"/>
                <w:highlight w:val="none"/>
              </w:rPr>
            </w:pP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农村危房改造竣工合格标准</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农村危房改造竣工验收要求</w:t>
            </w:r>
          </w:p>
        </w:tc>
        <w:tc>
          <w:tcPr>
            <w:tcW w:w="229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同上</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政府门户网站、公示栏等平台和办事大厅、便民服务窗口等场所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7</w:t>
            </w:r>
          </w:p>
        </w:tc>
        <w:tc>
          <w:tcPr>
            <w:tcW w:w="945" w:type="dxa"/>
            <w:vMerge w:val="restart"/>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对象认定</w:t>
            </w:r>
          </w:p>
        </w:tc>
        <w:tc>
          <w:tcPr>
            <w:tcW w:w="84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危改户认定程序</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农村危房改造申请程序</w:t>
            </w:r>
          </w:p>
        </w:tc>
        <w:tc>
          <w:tcPr>
            <w:tcW w:w="229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同上</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县级住房和城乡建设部门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政府门户网站、公示栏等平台和办事大厅、便民服务窗口等场所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8</w:t>
            </w:r>
          </w:p>
        </w:tc>
        <w:tc>
          <w:tcPr>
            <w:tcW w:w="945" w:type="dxa"/>
            <w:vMerge w:val="continue"/>
            <w:vAlign w:val="center"/>
          </w:tcPr>
          <w:p>
            <w:pPr>
              <w:jc w:val="center"/>
              <w:rPr>
                <w:rFonts w:hint="eastAsia" w:ascii="宋体" w:hAnsi="宋体" w:eastAsia="宋体" w:cs="宋体"/>
                <w:color w:val="000000"/>
                <w:sz w:val="18"/>
                <w:szCs w:val="18"/>
                <w:highlight w:val="none"/>
              </w:rPr>
            </w:pP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认定结果</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认定结果</w:t>
            </w:r>
          </w:p>
        </w:tc>
        <w:tc>
          <w:tcPr>
            <w:tcW w:w="229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同上</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乡镇人民政府、村委会</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办事大厅、公示栏、便民服务窗口等场所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585" w:type="dxa"/>
            <w:vAlign w:val="center"/>
          </w:tcPr>
          <w:p>
            <w:pPr>
              <w:jc w:val="center"/>
              <w:rPr>
                <w:rFonts w:hint="eastAsia" w:ascii="宋体" w:hAnsi="宋体" w:eastAsia="宋体" w:cs="宋体"/>
                <w:color w:val="000000"/>
                <w:sz w:val="18"/>
                <w:szCs w:val="18"/>
                <w:highlight w:val="none"/>
              </w:rPr>
            </w:pPr>
          </w:p>
        </w:tc>
        <w:tc>
          <w:tcPr>
            <w:tcW w:w="615" w:type="dxa"/>
            <w:vAlign w:val="center"/>
          </w:tcPr>
          <w:p>
            <w:pPr>
              <w:jc w:val="center"/>
              <w:rPr>
                <w:rFonts w:hint="eastAsia" w:ascii="宋体" w:hAnsi="宋体" w:eastAsia="宋体" w:cs="宋体"/>
                <w:color w:val="000000"/>
                <w:sz w:val="18"/>
                <w:szCs w:val="18"/>
                <w:highlight w:val="none"/>
              </w:rPr>
            </w:pP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eastAsia="zh-CN"/>
              </w:rPr>
            </w:pPr>
            <w:r>
              <w:rPr>
                <w:rFonts w:hint="eastAsia" w:ascii="宋体" w:hAnsi="宋体" w:eastAsia="宋体" w:cs="宋体"/>
                <w:color w:val="000000"/>
                <w:kern w:val="0"/>
                <w:sz w:val="18"/>
                <w:szCs w:val="18"/>
                <w:highlight w:val="none"/>
                <w:lang w:val="en-US" w:eastAsia="zh-CN"/>
              </w:rPr>
              <w:t>9</w:t>
            </w:r>
          </w:p>
        </w:tc>
        <w:tc>
          <w:tcPr>
            <w:tcW w:w="94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决策部署</w:t>
            </w: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决策部署落实情况</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决策部署落实情况等</w:t>
            </w:r>
          </w:p>
        </w:tc>
        <w:tc>
          <w:tcPr>
            <w:tcW w:w="2295" w:type="dxa"/>
            <w:vMerge w:val="restart"/>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《关于全面推进政务公开工作的意见》及其实施细则</w:t>
            </w: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办事大厅、公示栏、便民服务窗口等场所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0" w:hRule="atLeast"/>
          <w:jc w:val="center"/>
        </w:trPr>
        <w:tc>
          <w:tcPr>
            <w:tcW w:w="549" w:type="dxa"/>
            <w:vAlign w:val="center"/>
          </w:tcPr>
          <w:p>
            <w:pPr>
              <w:widowControl/>
              <w:jc w:val="center"/>
              <w:rPr>
                <w:rFonts w:hint="eastAsia" w:ascii="宋体" w:hAnsi="宋体" w:eastAsia="宋体" w:cs="宋体"/>
                <w:color w:val="000000"/>
                <w:kern w:val="0"/>
                <w:sz w:val="18"/>
                <w:szCs w:val="18"/>
                <w:highlight w:val="none"/>
                <w:lang w:val="en-US" w:eastAsia="zh-CN"/>
              </w:rPr>
            </w:pPr>
            <w:r>
              <w:rPr>
                <w:rFonts w:hint="eastAsia" w:ascii="宋体" w:hAnsi="宋体" w:eastAsia="宋体" w:cs="宋体"/>
                <w:color w:val="000000"/>
                <w:kern w:val="0"/>
                <w:sz w:val="18"/>
                <w:szCs w:val="18"/>
                <w:highlight w:val="none"/>
                <w:lang w:val="en-US" w:eastAsia="zh-CN"/>
              </w:rPr>
              <w:t>10</w:t>
            </w:r>
          </w:p>
        </w:tc>
        <w:tc>
          <w:tcPr>
            <w:tcW w:w="94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年度任务实施</w:t>
            </w:r>
          </w:p>
        </w:tc>
        <w:tc>
          <w:tcPr>
            <w:tcW w:w="84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年度任务执行情况</w:t>
            </w:r>
          </w:p>
        </w:tc>
        <w:tc>
          <w:tcPr>
            <w:tcW w:w="175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年度工作完成情况等</w:t>
            </w:r>
          </w:p>
        </w:tc>
        <w:tc>
          <w:tcPr>
            <w:tcW w:w="2295" w:type="dxa"/>
            <w:vMerge w:val="continue"/>
            <w:vAlign w:val="center"/>
          </w:tcPr>
          <w:p>
            <w:pPr>
              <w:rPr>
                <w:rFonts w:hint="eastAsia" w:ascii="宋体" w:hAnsi="宋体" w:eastAsia="宋体" w:cs="宋体"/>
                <w:color w:val="000000"/>
                <w:sz w:val="18"/>
                <w:szCs w:val="18"/>
                <w:highlight w:val="none"/>
              </w:rPr>
            </w:pPr>
          </w:p>
        </w:tc>
        <w:tc>
          <w:tcPr>
            <w:tcW w:w="1110"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信息形成之日起20个工作日内</w:t>
            </w:r>
          </w:p>
        </w:tc>
        <w:tc>
          <w:tcPr>
            <w:tcW w:w="1275"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住房和城乡建设部门</w:t>
            </w:r>
          </w:p>
        </w:tc>
        <w:tc>
          <w:tcPr>
            <w:tcW w:w="1323" w:type="dxa"/>
            <w:vAlign w:val="center"/>
          </w:tcPr>
          <w:p>
            <w:pP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办事大厅、公示栏、便民服务窗口等场所</w:t>
            </w:r>
          </w:p>
        </w:tc>
        <w:tc>
          <w:tcPr>
            <w:tcW w:w="600"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75" w:type="dxa"/>
            <w:vAlign w:val="center"/>
          </w:tcPr>
          <w:p>
            <w:pPr>
              <w:jc w:val="center"/>
              <w:rPr>
                <w:rFonts w:hint="eastAsia" w:ascii="宋体" w:hAnsi="宋体" w:eastAsia="宋体" w:cs="宋体"/>
                <w:color w:val="000000"/>
                <w:sz w:val="18"/>
                <w:szCs w:val="18"/>
                <w:highlight w:val="none"/>
              </w:rPr>
            </w:pPr>
          </w:p>
        </w:tc>
        <w:tc>
          <w:tcPr>
            <w:tcW w:w="510" w:type="dxa"/>
            <w:vAlign w:val="center"/>
          </w:tcPr>
          <w:p>
            <w:pPr>
              <w:jc w:val="center"/>
              <w:rPr>
                <w:rFonts w:hint="eastAsia" w:ascii="宋体" w:hAnsi="宋体" w:eastAsia="宋体" w:cs="宋体"/>
                <w:color w:val="000000"/>
                <w:sz w:val="18"/>
                <w:szCs w:val="18"/>
                <w:highlight w:val="none"/>
              </w:rPr>
            </w:pPr>
          </w:p>
        </w:tc>
        <w:tc>
          <w:tcPr>
            <w:tcW w:w="58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15"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c>
          <w:tcPr>
            <w:tcW w:w="607" w:type="dxa"/>
            <w:vAlign w:val="center"/>
          </w:tcPr>
          <w:p>
            <w:pPr>
              <w:jc w:val="center"/>
              <w:rPr>
                <w:rFonts w:hint="eastAsia" w:ascii="宋体" w:hAnsi="宋体" w:eastAsia="宋体" w:cs="宋体"/>
                <w:color w:val="000000"/>
                <w:sz w:val="18"/>
                <w:szCs w:val="18"/>
                <w:highlight w:val="none"/>
              </w:rPr>
            </w:pPr>
            <w:r>
              <w:rPr>
                <w:rFonts w:hint="eastAsia" w:ascii="宋体" w:hAnsi="宋体" w:eastAsia="宋体" w:cs="宋体"/>
                <w:color w:val="000000"/>
                <w:sz w:val="18"/>
                <w:szCs w:val="18"/>
                <w:highlight w:val="none"/>
              </w:rPr>
              <w:t>√</w:t>
            </w:r>
          </w:p>
        </w:tc>
      </w:tr>
      <w:bookmarkEnd w:id="0"/>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0000000000000000000"/>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77900"/>
    <w:rsid w:val="23277900"/>
    <w:rsid w:val="37394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南区办事处</Company>
  <Pages>1</Pages>
  <Words>0</Words>
  <Characters>0</Characters>
  <Lines>0</Lines>
  <Paragraphs>0</Paragraphs>
  <TotalTime>1</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2020-12-21T02:22:00Z</dcterms:created>
  <dc:creator>信息中心</dc:creator>
  <cp:lastModifiedBy>信息中心</cp:lastModifiedBy>
  <dcterms:modified xsi:type="dcterms:W3CDTF">2020-12-21T02:24:17Z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