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因中山至开平高速公路（中山段）工程建设项目建设需要，拟征收</w:t>
      </w:r>
      <w:r>
        <w:rPr>
          <w:rFonts w:ascii="仿宋" w:hAnsi="仿宋" w:eastAsia="仿宋"/>
          <w:sz w:val="28"/>
          <w:szCs w:val="28"/>
        </w:rPr>
        <w:t>中山市东区长江股份合作经济联合社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3.5472</w:t>
      </w:r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中山市东区长江股份合作经济联合社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中山市东区长江股份合作经济联合社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3.5472</w:t>
      </w:r>
      <w:r>
        <w:rPr>
          <w:rFonts w:hint="eastAsia" w:ascii="仿宋" w:hAnsi="仿宋" w:eastAsia="仿宋"/>
          <w:sz w:val="28"/>
          <w:szCs w:val="28"/>
        </w:rPr>
        <w:t>公顷，其中</w:t>
      </w:r>
      <w:r>
        <w:rPr>
          <w:rFonts w:ascii="仿宋" w:hAnsi="仿宋" w:eastAsia="仿宋"/>
          <w:sz w:val="28"/>
          <w:szCs w:val="28"/>
        </w:rPr>
        <w:t>耕地0.9046公顷、园地1.29公顷、林地0.1607公顷、坑塘水面0.4681公顷、建设用地0.7238公顷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三、被征收土地拟建设用途：交通。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r>
        <w:rPr>
          <w:rFonts w:ascii="仿宋_GB2312" w:eastAsia="仿宋_GB2312"/>
          <w:sz w:val="28"/>
          <w:szCs w:val="28"/>
        </w:rPr>
        <w:t>耕地252.15万元/公顷,园地252.15万元/公顷,林地252.15万元/公顷,坑塘水面252.15万元/公顷,建设用地252.15万元/公顷</w:t>
      </w:r>
      <w:r>
        <w:rPr>
          <w:rFonts w:hint="eastAsia" w:ascii="仿宋" w:hAnsi="仿宋" w:eastAsia="仿宋"/>
          <w:sz w:val="28"/>
          <w:szCs w:val="28"/>
        </w:rPr>
        <w:t>，共</w:t>
      </w:r>
      <w:r>
        <w:rPr>
          <w:rFonts w:ascii="仿宋" w:hAnsi="仿宋" w:eastAsia="仿宋"/>
          <w:sz w:val="28"/>
          <w:szCs w:val="28"/>
        </w:rPr>
        <w:t>894.4265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将留用地折算成货币补偿，折算标准为</w:t>
      </w:r>
      <w:r>
        <w:rPr>
          <w:rFonts w:ascii="仿宋" w:hAnsi="仿宋" w:eastAsia="仿宋"/>
          <w:sz w:val="28"/>
          <w:szCs w:val="28"/>
        </w:rPr>
        <w:t>3319</w:t>
      </w:r>
      <w:r>
        <w:rPr>
          <w:rFonts w:hint="eastAsia" w:ascii="仿宋" w:hAnsi="仿宋" w:eastAsia="仿宋"/>
          <w:sz w:val="28"/>
          <w:szCs w:val="28"/>
        </w:rPr>
        <w:t>万元/公顷, 共</w:t>
      </w:r>
      <w:r>
        <w:rPr>
          <w:rFonts w:ascii="仿宋" w:hAnsi="仿宋" w:eastAsia="仿宋"/>
          <w:sz w:val="28"/>
          <w:szCs w:val="28"/>
        </w:rPr>
        <w:t>1766.0399</w:t>
      </w:r>
      <w:r>
        <w:rPr>
          <w:rFonts w:hint="eastAsia" w:ascii="仿宋" w:hAnsi="仿宋" w:eastAsia="仿宋"/>
          <w:sz w:val="28"/>
          <w:szCs w:val="28"/>
        </w:rPr>
        <w:t>万元）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（二）社会保障安置。具体将按被征地农民养老保障方案办理。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E585916"/>
    <w:rsid w:val="10D82552"/>
    <w:rsid w:val="469515B6"/>
    <w:rsid w:val="526D3695"/>
    <w:rsid w:val="598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12</TotalTime>
  <ScaleCrop>false</ScaleCrop>
  <LinksUpToDate>false</LinksUpToDate>
  <CharactersWithSpaces>20777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Ananda</cp:lastModifiedBy>
  <dcterms:modified xsi:type="dcterms:W3CDTF">2020-10-28T01:54:05Z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