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tabs>
          <w:tab w:val="left" w:pos="3060"/>
        </w:tabs>
        <w:spacing w:line="420" w:lineRule="exact"/>
        <w:rPr>
          <w:rFonts w:ascii="仿宋" w:hAnsi="仿宋" w:eastAsia="仿宋"/>
          <w:sz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因中山至开平高速公路（中山段）工程建设项目建设需要，拟征收</w:t>
      </w:r>
      <w:r>
        <w:rPr>
          <w:rFonts w:ascii="仿宋" w:hAnsi="仿宋" w:eastAsia="仿宋"/>
          <w:sz w:val="28"/>
          <w:szCs w:val="28"/>
        </w:rPr>
        <w:t>中山市南朗镇濠涌股份合作经济联合社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0.8304</w:t>
      </w:r>
      <w:r>
        <w:rPr>
          <w:rFonts w:hint="eastAsia" w:ascii="仿宋" w:hAnsi="仿宋" w:eastAsia="仿宋"/>
          <w:sz w:val="28"/>
          <w:szCs w:val="28"/>
        </w:rPr>
        <w:t>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中山市南朗镇濠涌股份合作经济联合社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中山市南朗镇濠涌股份合作经济联合社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0.8304</w:t>
      </w:r>
      <w:r>
        <w:rPr>
          <w:rFonts w:hint="eastAsia" w:ascii="仿宋" w:hAnsi="仿宋" w:eastAsia="仿宋"/>
          <w:sz w:val="28"/>
          <w:szCs w:val="28"/>
        </w:rPr>
        <w:t>公顷，其中</w:t>
      </w:r>
      <w:r>
        <w:rPr>
          <w:rFonts w:ascii="仿宋" w:hAnsi="仿宋" w:eastAsia="仿宋"/>
          <w:sz w:val="28"/>
          <w:szCs w:val="28"/>
        </w:rPr>
        <w:t>耕地0.0312公顷、林地0.7985公顷、建设用地0.0007公顷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三、被征收土地拟建设用途：交通。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</w:t>
      </w:r>
      <w:r>
        <w:rPr>
          <w:rFonts w:ascii="仿宋_GB2312" w:eastAsia="仿宋_GB2312"/>
          <w:sz w:val="28"/>
          <w:szCs w:val="28"/>
        </w:rPr>
        <w:t>耕地204万元/公顷,林地204万元/公顷,建设用地204万元/公顷</w:t>
      </w:r>
      <w:r>
        <w:rPr>
          <w:rFonts w:hint="eastAsia" w:ascii="仿宋" w:hAnsi="仿宋" w:eastAsia="仿宋"/>
          <w:sz w:val="28"/>
          <w:szCs w:val="28"/>
        </w:rPr>
        <w:t>，共</w:t>
      </w:r>
      <w:r>
        <w:rPr>
          <w:rFonts w:ascii="仿宋" w:hAnsi="仿宋" w:eastAsia="仿宋"/>
          <w:sz w:val="28"/>
          <w:szCs w:val="28"/>
        </w:rPr>
        <w:t>169.4016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将留用地折算成货币补偿，折算标准为</w:t>
      </w:r>
      <w:r>
        <w:rPr>
          <w:rFonts w:ascii="仿宋" w:hAnsi="仿宋" w:eastAsia="仿宋"/>
          <w:sz w:val="28"/>
          <w:szCs w:val="28"/>
        </w:rPr>
        <w:t>2250</w:t>
      </w:r>
      <w:r>
        <w:rPr>
          <w:rFonts w:hint="eastAsia" w:ascii="仿宋" w:hAnsi="仿宋" w:eastAsia="仿宋"/>
          <w:sz w:val="28"/>
          <w:szCs w:val="28"/>
        </w:rPr>
        <w:t>万元/公顷, 共</w:t>
      </w:r>
      <w:r>
        <w:rPr>
          <w:rFonts w:ascii="仿宋" w:hAnsi="仿宋" w:eastAsia="仿宋"/>
          <w:sz w:val="28"/>
          <w:szCs w:val="28"/>
        </w:rPr>
        <w:t>186.75</w:t>
      </w:r>
      <w:r>
        <w:rPr>
          <w:rFonts w:hint="eastAsia" w:ascii="仿宋" w:hAnsi="仿宋" w:eastAsia="仿宋"/>
          <w:sz w:val="28"/>
          <w:szCs w:val="28"/>
        </w:rPr>
        <w:t>万元）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（二）社会保障安置。具体将按被征地农民养老保障方案办理。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EC0791"/>
    <w:rsid w:val="0E585916"/>
    <w:rsid w:val="10D82552"/>
    <w:rsid w:val="469515B6"/>
    <w:rsid w:val="59877843"/>
    <w:rsid w:val="5D0B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12</TotalTime>
  <ScaleCrop>false</ScaleCrop>
  <LinksUpToDate>false</LinksUpToDate>
  <CharactersWithSpaces>20777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Ananda</cp:lastModifiedBy>
  <dcterms:modified xsi:type="dcterms:W3CDTF">2020-10-28T01:54:11Z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