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spacing w:lineRule="exact" w:line="400"/>
        <w:jc w:val="center"/>
        <w:rPr>
          <w:rFonts w:eastAsia="宋体" w:hint="eastAsia"/>
          <w:lang w:eastAsia="zh-CN"/>
        </w:rPr>
      </w:pPr>
      <w:r>
        <w:rPr>
          <w:rFonts w:hint="eastAsia"/>
        </w:rPr>
        <w:t>港口镇</w:t>
      </w:r>
      <w:r>
        <w:rPr>
          <w:rFonts w:hint="eastAsia"/>
          <w:lang w:val="en-US" w:eastAsia="zh-CN"/>
        </w:rPr>
        <w:t>2020</w:t>
      </w:r>
      <w:r>
        <w:rPr>
          <w:rFonts w:hint="eastAsia"/>
        </w:rPr>
        <w:t>年</w:t>
      </w:r>
      <w:bookmarkStart w:id="0" w:name="_GoBack"/>
      <w:bookmarkEnd w:id="0"/>
      <w:r>
        <w:rPr>
          <w:rFonts w:hint="default"/>
          <w:lang w:val="en-US"/>
        </w:rPr>
        <w:t>10</w:t>
      </w:r>
      <w:r>
        <w:rPr>
          <w:rFonts w:hint="eastAsia"/>
        </w:rPr>
        <w:t>月住房保障工作情况公示</w:t>
      </w:r>
    </w:p>
    <w:p>
      <w:pPr>
        <w:pStyle w:val="style0"/>
        <w:spacing w:lineRule="exact" w:line="500"/>
        <w:ind w:firstLine="602" w:firstLineChars="200"/>
        <w:rPr>
          <w:rFonts w:eastAsia="仿宋_GB2312" w:hint="eastAsia"/>
          <w:b/>
          <w:sz w:val="30"/>
          <w:lang w:eastAsia="zh-CN"/>
        </w:rPr>
      </w:pPr>
      <w:r>
        <w:rPr>
          <w:rFonts w:eastAsia="仿宋_GB2312" w:hint="eastAsia"/>
          <w:b/>
          <w:sz w:val="30"/>
        </w:rPr>
        <w:t>一、</w:t>
      </w:r>
      <w:r>
        <w:rPr>
          <w:rFonts w:eastAsia="仿宋_GB2312" w:hint="eastAsia"/>
          <w:b/>
          <w:sz w:val="30"/>
          <w:lang w:val="en-US" w:eastAsia="zh-CN"/>
        </w:rPr>
        <w:t>2020</w:t>
      </w:r>
      <w:r>
        <w:rPr>
          <w:rFonts w:eastAsia="仿宋_GB2312" w:hint="eastAsia"/>
          <w:b/>
          <w:sz w:val="30"/>
        </w:rPr>
        <w:t>年工作目标责任</w:t>
      </w:r>
      <w:r>
        <w:rPr>
          <w:rFonts w:eastAsia="仿宋_GB2312" w:hint="eastAsia"/>
          <w:b/>
          <w:sz w:val="30"/>
          <w:lang w:eastAsia="zh-CN"/>
        </w:rPr>
        <w:t>：</w:t>
      </w:r>
    </w:p>
    <w:p>
      <w:pPr>
        <w:pStyle w:val="style0"/>
        <w:spacing w:lineRule="exact" w:line="500"/>
        <w:ind w:firstLine="600" w:firstLineChars="200"/>
        <w:rPr>
          <w:rFonts w:eastAsia="仿宋_GB2312" w:hint="eastAsia"/>
          <w:b w:val="false"/>
          <w:bCs/>
          <w:sz w:val="30"/>
          <w:lang w:val="en-US" w:eastAsia="zh-CN"/>
        </w:rPr>
      </w:pPr>
      <w:r>
        <w:rPr>
          <w:rFonts w:eastAsia="仿宋_GB2312" w:hint="eastAsia"/>
          <w:b w:val="false"/>
          <w:bCs/>
          <w:sz w:val="30"/>
          <w:lang w:eastAsia="zh-CN"/>
        </w:rPr>
        <w:t>暂未下达</w:t>
      </w:r>
      <w:r>
        <w:rPr>
          <w:rFonts w:eastAsia="仿宋_GB2312" w:hint="eastAsia"/>
          <w:b w:val="false"/>
          <w:bCs/>
          <w:sz w:val="30"/>
          <w:lang w:val="en-US" w:eastAsia="zh-CN"/>
        </w:rPr>
        <w:t>2020年工作目标责任。</w:t>
      </w:r>
    </w:p>
    <w:p>
      <w:pPr>
        <w:pStyle w:val="style0"/>
        <w:spacing w:lineRule="exact" w:line="500"/>
        <w:ind w:firstLine="602" w:firstLineChars="200"/>
        <w:rPr>
          <w:rFonts w:eastAsia="仿宋_GB2312" w:hint="eastAsia"/>
          <w:b/>
          <w:sz w:val="30"/>
          <w:lang w:eastAsia="zh-CN"/>
        </w:rPr>
      </w:pPr>
      <w:r>
        <w:rPr>
          <w:rFonts w:eastAsia="仿宋_GB2312" w:hint="eastAsia"/>
          <w:b/>
          <w:sz w:val="30"/>
          <w:lang w:eastAsia="zh-CN"/>
        </w:rPr>
        <w:t>二、</w:t>
      </w:r>
      <w:r>
        <w:rPr>
          <w:rFonts w:eastAsia="仿宋_GB2312" w:hint="eastAsia"/>
          <w:b/>
          <w:sz w:val="30"/>
        </w:rPr>
        <w:t>棚户区改造项目信息</w:t>
      </w:r>
      <w:r>
        <w:rPr>
          <w:rFonts w:eastAsia="仿宋_GB2312" w:hint="eastAsia"/>
          <w:b/>
          <w:sz w:val="30"/>
          <w:lang w:eastAsia="zh-CN"/>
        </w:rPr>
        <w:t>：</w:t>
      </w:r>
    </w:p>
    <w:p>
      <w:pPr>
        <w:pStyle w:val="style0"/>
        <w:ind w:firstLine="640" w:firstLineChars="200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我镇没有棚户区改造工程项目。</w:t>
      </w:r>
    </w:p>
    <w:p>
      <w:pPr>
        <w:pStyle w:val="style0"/>
        <w:numPr>
          <w:ilvl w:val="0"/>
          <w:numId w:val="0"/>
        </w:numPr>
        <w:spacing w:lineRule="exact" w:line="500"/>
        <w:rPr>
          <w:rFonts w:eastAsia="仿宋_GB2312" w:hint="eastAsia"/>
          <w:b/>
          <w:sz w:val="30"/>
        </w:rPr>
      </w:pPr>
      <w:r>
        <w:rPr>
          <w:rFonts w:eastAsia="仿宋_GB2312" w:hint="eastAsia"/>
          <w:b/>
          <w:sz w:val="30"/>
          <w:lang w:val="en-US" w:eastAsia="zh-CN"/>
        </w:rPr>
        <w:t xml:space="preserve">    三、</w:t>
      </w:r>
      <w:r>
        <w:rPr>
          <w:rFonts w:eastAsia="仿宋_GB2312" w:hint="eastAsia"/>
          <w:b/>
          <w:sz w:val="30"/>
        </w:rPr>
        <w:t>保障性住房申请、审批、</w:t>
      </w:r>
      <w:r>
        <w:rPr>
          <w:rFonts w:ascii="仿宋_GB2312" w:eastAsia="仿宋_GB2312" w:hint="eastAsia"/>
          <w:b/>
          <w:sz w:val="30"/>
        </w:rPr>
        <w:t>分配、</w:t>
      </w:r>
      <w:r>
        <w:rPr>
          <w:rFonts w:eastAsia="仿宋_GB2312" w:hint="eastAsia"/>
          <w:b/>
          <w:sz w:val="30"/>
        </w:rPr>
        <w:t>退出及</w:t>
      </w:r>
      <w:r>
        <w:rPr>
          <w:rFonts w:ascii="仿宋_GB2312" w:eastAsia="仿宋_GB2312" w:hint="eastAsia"/>
          <w:b/>
          <w:sz w:val="30"/>
        </w:rPr>
        <w:t>住房租赁补贴发放</w:t>
      </w:r>
      <w:r>
        <w:rPr>
          <w:rFonts w:eastAsia="仿宋_GB2312" w:hint="eastAsia"/>
          <w:b/>
          <w:sz w:val="30"/>
        </w:rPr>
        <w:t>情况</w:t>
      </w:r>
      <w:r>
        <w:rPr>
          <w:rFonts w:eastAsia="仿宋_GB2312" w:hint="eastAsia"/>
          <w:b/>
          <w:sz w:val="30"/>
          <w:lang w:eastAsia="zh-CN"/>
        </w:rPr>
        <w:t>：</w:t>
      </w:r>
    </w:p>
    <w:tbl>
      <w:tblPr>
        <w:tblStyle w:val="style154"/>
        <w:tblW w:w="1307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30"/>
        <w:gridCol w:w="1215"/>
        <w:gridCol w:w="6809"/>
      </w:tblGrid>
      <w:tr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类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数量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eastAsia="zh-CN"/>
              </w:rPr>
              <w:t>（户）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60"/>
              <w:ind w:left="0" w:leftChars="0" w:right="-29" w:rightChars="-14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eastAsia="zh-CN"/>
              </w:rPr>
              <w:t>姓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eastAsia="zh-CN"/>
              </w:rPr>
              <w:t>名</w:t>
            </w:r>
          </w:p>
        </w:tc>
      </w:tr>
      <w:tr>
        <w:tblPrEx/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当月经审核符合保障性住房的家庭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default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60"/>
              <w:ind w:left="0" w:lef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当月经审核不符合保障性住房的家庭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60"/>
              <w:ind w:left="0" w:lef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当月获分配公租房的家庭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60"/>
              <w:ind w:left="0" w:lef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</w:t>
            </w: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退出公租房</w:t>
            </w:r>
            <w:r>
              <w:rPr>
                <w:rFonts w:ascii="仿宋_GB2312" w:eastAsia="仿宋_GB2312" w:hint="eastAsia"/>
                <w:sz w:val="24"/>
                <w:szCs w:val="24"/>
              </w:rPr>
              <w:t>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trHeight w:val="935" w:hRule="atLeast"/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轮候分配公租房的家庭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default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郭丽红、梁卫洪、吴丽华、罗微影、李杏燕、梁植媛、黄静雯、梁荣森、黄善桃、梁富权、梁成长、冯惠霞、吴丽欢、欧玉珍、颜  叶、黄群英、吴雪影、谭青葵、汤瑞娥、谢翠珍、黄杏娇</w:t>
            </w:r>
          </w:p>
        </w:tc>
      </w:tr>
      <w:tr>
        <w:tblPrEx/>
        <w:trPr>
          <w:trHeight w:val="538" w:hRule="atLeast"/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当月发放租赁补贴户数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lineRule="exact" w:line="32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style0"/>
        <w:ind w:firstLine="596" w:firstLineChars="198"/>
        <w:rPr>
          <w:rFonts w:ascii="仿宋_GB2312" w:eastAsia="仿宋_GB2312" w:hint="eastAsia"/>
          <w:b/>
          <w:sz w:val="30"/>
          <w:szCs w:val="30"/>
        </w:rPr>
      </w:pPr>
    </w:p>
    <w:p>
      <w:pPr>
        <w:pStyle w:val="style0"/>
        <w:ind w:firstLine="596" w:firstLineChars="198"/>
        <w:rPr>
          <w:rFonts w:ascii="仿宋_GB2312" w:eastAsia="仿宋_GB2312" w:hint="eastAsia"/>
          <w:b/>
          <w:sz w:val="30"/>
          <w:szCs w:val="30"/>
        </w:rPr>
      </w:pPr>
    </w:p>
    <w:p>
      <w:pPr>
        <w:pStyle w:val="style0"/>
        <w:ind w:firstLine="596" w:firstLineChars="198"/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三、我镇</w:t>
      </w:r>
      <w:r>
        <w:rPr>
          <w:rFonts w:ascii="仿宋_GB2312" w:eastAsia="仿宋_GB2312" w:hint="eastAsia"/>
          <w:b/>
          <w:sz w:val="30"/>
          <w:szCs w:val="30"/>
          <w:lang w:eastAsia="zh-CN"/>
        </w:rPr>
        <w:t>现有</w:t>
      </w:r>
      <w:r>
        <w:rPr>
          <w:rFonts w:ascii="仿宋_GB2312" w:eastAsia="仿宋_GB2312" w:hint="eastAsia"/>
          <w:b/>
          <w:sz w:val="30"/>
          <w:szCs w:val="30"/>
          <w:lang w:val="en-US" w:eastAsia="zh-CN"/>
        </w:rPr>
        <w:t>8</w:t>
      </w:r>
      <w:r>
        <w:rPr>
          <w:rFonts w:ascii="仿宋_GB2312" w:eastAsia="仿宋_GB2312" w:hint="eastAsia"/>
          <w:b/>
          <w:sz w:val="30"/>
          <w:szCs w:val="30"/>
        </w:rPr>
        <w:t>个保障房项目，具体情况公示如下：</w:t>
      </w: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1、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港口镇群乐经联社</w:t>
      </w:r>
      <w:r>
        <w:rPr>
          <w:rFonts w:ascii="宋体" w:cs="宋体" w:hAnsi="宋体"/>
          <w:b/>
          <w:bCs/>
          <w:kern w:val="0"/>
          <w:sz w:val="32"/>
          <w:szCs w:val="32"/>
        </w:rPr>
        <w:t>宿舍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楼（</w:t>
      </w:r>
      <w:r>
        <w:rPr>
          <w:rFonts w:ascii="宋体" w:cs="宋体" w:hAnsi="宋体"/>
          <w:b/>
          <w:bCs/>
          <w:kern w:val="0"/>
          <w:sz w:val="32"/>
          <w:szCs w:val="32"/>
        </w:rPr>
        <w:t>A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1、B）情况描述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2171700</wp:posOffset>
                </wp:positionH>
                <wp:positionV relativeFrom="paragraph">
                  <wp:posOffset>1089660</wp:posOffset>
                </wp:positionV>
                <wp:extent cx="914400" cy="609600"/>
                <wp:effectExtent l="4445" t="4445" r="14605" b="186055"/>
                <wp:wrapNone/>
                <wp:docPr id="1026" name="AutoShap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375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群乐经联社宿舍楼（A1、B）</w:t>
                            </w:r>
                          </w:p>
                        </w:txbxContent>
                      </wps:txbx>
                      <wps:bodyPr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adj="1350,25920" o:spt="61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1026" type="#_x0000_t61" adj="2700,27405" fillcolor="white" style="position:absolute;margin-left:171.0pt;margin-top:85.8pt;width:72.0pt;height:48.0pt;z-index:2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  <v:textbox>
                  <w:txbxContent>
                    <w:p>
                      <w:pPr>
                        <w:pStyle w:val="style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群乐经联社宿舍楼（A1、B）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hAnsi="宋体" w:hint="eastAsia"/>
          <w:kern w:val="0"/>
          <w:sz w:val="24"/>
        </w:rPr>
        <w:drawing>
          <wp:inline distL="0" distT="0" distB="0" distR="0">
            <wp:extent cx="5271770" cy="3176905"/>
            <wp:effectExtent l="0" t="0" r="5080" b="4445"/>
            <wp:docPr id="1027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71770" cy="317690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宋体" w:cs="宋体" w:hAnsi="宋体" w:hint="eastAsia"/>
          <w:kern w:val="0"/>
          <w:sz w:val="24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 w:hint="eastAsia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港口镇群乐经联社宿舍楼（A1、B）</w:t>
      </w:r>
      <w:r>
        <w:rPr>
          <w:rFonts w:ascii="仿宋_GB2312" w:eastAsia="仿宋_GB2312" w:hint="eastAsia"/>
          <w:sz w:val="32"/>
          <w:szCs w:val="32"/>
        </w:rPr>
        <w:t>项目，于2011年7月纳入我市保障性安居工程项目。项目位于港口镇群乐社区工业区、交通便利的沙港公路。土地面积2368.40平方米，建筑面积10693.32平方米，共建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</w:t>
      </w:r>
      <w:r>
        <w:rPr>
          <w:rFonts w:ascii="仿宋_GB2312" w:eastAsia="仿宋_GB2312" w:hint="eastAsia"/>
          <w:sz w:val="32"/>
          <w:szCs w:val="32"/>
        </w:rPr>
        <w:t>幢204套公租房，户型为单间，每套面积16.5—18平方米；配有单独的阳台及卫生间，公司免费为员工提供床铺、热水、WIFI；，并配套有篮球场、乒乓球、羽毛球场等设施。该项目附近还配套有群乐小学、卫生站、市场及205等多路公交车。距离港口镇中心区约2.4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本月共入住201套，入住率99%。</w:t>
      </w:r>
    </w:p>
    <w:p>
      <w:pPr>
        <w:pStyle w:val="style0"/>
        <w:widowControl/>
        <w:jc w:val="center"/>
        <w:rPr>
          <w:rFonts w:ascii="宋体" w:cs="宋体" w:eastAsia="宋体" w:hAnsi="宋体" w:hint="eastAsia"/>
          <w:b/>
          <w:bCs/>
          <w:kern w:val="0"/>
          <w:sz w:val="32"/>
          <w:szCs w:val="32"/>
        </w:rPr>
      </w:pPr>
      <w:r>
        <w:rPr>
          <w:rFonts w:ascii="宋体" w:cs="宋体" w:hAnsi="宋体" w:hint="eastAsia"/>
          <w:b/>
          <w:bCs/>
          <w:sz w:val="32"/>
          <w:szCs w:val="32"/>
          <w:lang w:val="en-US" w:eastAsia="zh-CN"/>
        </w:rPr>
        <w:t>2</w:t>
      </w:r>
      <w:r>
        <w:rPr>
          <w:rFonts w:ascii="宋体" w:cs="宋体" w:eastAsia="宋体" w:hAnsi="宋体" w:hint="eastAsia"/>
          <w:b/>
          <w:bCs/>
          <w:sz w:val="32"/>
          <w:szCs w:val="32"/>
        </w:rPr>
        <w:t>、</w:t>
      </w:r>
      <w:r>
        <w:rPr>
          <w:rFonts w:ascii="宋体" w:cs="宋体" w:eastAsia="宋体" w:hAnsi="宋体" w:hint="eastAsia"/>
          <w:b/>
          <w:bCs/>
          <w:kern w:val="0"/>
          <w:sz w:val="32"/>
          <w:szCs w:val="32"/>
        </w:rPr>
        <w:t>港口镇中南经联社宿舍楼情况描述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990600</wp:posOffset>
                </wp:positionV>
                <wp:extent cx="914400" cy="609600"/>
                <wp:effectExtent l="19050" t="4445" r="19050" b="186055"/>
                <wp:wrapNone/>
                <wp:docPr id="1028" name="AutoShap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500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中南经联社宿舍楼</w:t>
                            </w:r>
                          </w:p>
                        </w:txbxContent>
                      </wps:txbx>
                      <wps:bodyPr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8" type="#_x0000_t61" adj="0,27405" fillcolor="white" style="position:absolute;margin-left:207.0pt;margin-top:78.0pt;width:72.0pt;height:48.0pt;z-index:3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  <v:textbox>
                  <w:txbxContent>
                    <w:p>
                      <w:pPr>
                        <w:pStyle w:val="style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中南经联社宿舍楼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hAnsi="宋体" w:hint="eastAsia"/>
          <w:kern w:val="0"/>
          <w:sz w:val="24"/>
        </w:rPr>
        <w:drawing>
          <wp:inline distL="0" distT="0" distB="0" distR="0">
            <wp:extent cx="4581525" cy="3162300"/>
            <wp:effectExtent l="0" t="0" r="9525" b="0"/>
            <wp:docPr id="1029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81525" cy="31623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宋体" w:cs="宋体" w:hAnsi="宋体" w:hint="eastAsia"/>
          <w:kern w:val="0"/>
          <w:sz w:val="24"/>
        </w:rPr>
      </w:pPr>
    </w:p>
    <w:p>
      <w:pPr>
        <w:pStyle w:val="style0"/>
        <w:ind w:firstLine="640" w:firstLineChars="200"/>
        <w:rPr>
          <w:rFonts w:ascii="仿宋_GB2312" w:eastAsia="仿宋_GB2312" w:hint="eastAsia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港口镇中南经联社宿舍楼</w:t>
      </w:r>
      <w:r>
        <w:rPr>
          <w:rFonts w:ascii="仿宋_GB2312" w:eastAsia="仿宋_GB2312" w:hint="eastAsia"/>
          <w:sz w:val="32"/>
          <w:szCs w:val="32"/>
        </w:rPr>
        <w:t>项目，于2011年8月纳入我市保障性安居工程项目。该项目位于港口镇中南村路，紧接交通便利的阜港公路。项目的土地面积470平方米，建筑面积1841.09平方米，共建1幢32套公租房，户型为单间，每套面积19.25平方米；配有阳台、卫生间，公司免费为员工提供床铺、热水；并配套有乒乓球</w:t>
      </w:r>
      <w:r>
        <w:rPr>
          <w:rFonts w:ascii="仿宋_GB2312" w:eastAsia="仿宋_GB2312" w:hint="eastAsia"/>
          <w:sz w:val="32"/>
          <w:szCs w:val="32"/>
          <w:lang w:eastAsia="zh-CN"/>
        </w:rPr>
        <w:t>台</w:t>
      </w:r>
      <w:r>
        <w:rPr>
          <w:rFonts w:ascii="仿宋_GB2312" w:eastAsia="仿宋_GB2312" w:hint="eastAsia"/>
          <w:sz w:val="32"/>
          <w:szCs w:val="32"/>
        </w:rPr>
        <w:t>等设施。该项目附近还配套有中南村小学、卫生站、莲花市场及075等多路公交车。距离港口镇中心区约4.0公里。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本月共入住32套，入住率100%。</w:t>
      </w:r>
    </w:p>
    <w:p>
      <w:pPr>
        <w:pStyle w:val="style0"/>
        <w:widowControl/>
        <w:jc w:val="left"/>
        <w:rPr>
          <w:rFonts w:ascii="宋体" w:cs="宋体" w:hAnsi="宋体" w:hint="eastAsia"/>
          <w:kern w:val="0"/>
          <w:sz w:val="24"/>
        </w:rPr>
      </w:pPr>
    </w:p>
    <w:p>
      <w:pPr>
        <w:pStyle w:val="style0"/>
        <w:widowControl/>
        <w:jc w:val="center"/>
        <w:rPr>
          <w:rFonts w:ascii="宋体" w:cs="宋体" w:eastAsia="宋体" w:hAnsi="宋体" w:hint="eastAsia"/>
          <w:b/>
          <w:bCs/>
          <w:sz w:val="32"/>
          <w:szCs w:val="32"/>
        </w:rPr>
      </w:pP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  <w:lang w:val="en-US" w:eastAsia="zh-CN"/>
        </w:rPr>
        <w:t>3</w:t>
      </w:r>
      <w:r>
        <w:rPr>
          <w:rFonts w:ascii="仿宋_GB2312" w:eastAsia="仿宋_GB2312" w:hint="eastAsia"/>
          <w:b/>
          <w:bCs/>
          <w:sz w:val="32"/>
          <w:szCs w:val="32"/>
        </w:rPr>
        <w:t>、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陈秋桂、陈琼</w:t>
      </w:r>
      <w:r>
        <w:rPr>
          <w:rFonts w:ascii="宋体" w:cs="宋体" w:hAnsi="宋体"/>
          <w:b/>
          <w:bCs/>
          <w:kern w:val="0"/>
          <w:sz w:val="32"/>
          <w:szCs w:val="32"/>
        </w:rPr>
        <w:t>宿舍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楼情况描述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2514600</wp:posOffset>
                </wp:positionH>
                <wp:positionV relativeFrom="paragraph">
                  <wp:posOffset>1287780</wp:posOffset>
                </wp:positionV>
                <wp:extent cx="1257300" cy="312419"/>
                <wp:effectExtent l="267335" t="5080" r="18415" b="6350"/>
                <wp:wrapNone/>
                <wp:docPr id="1030" name="AutoShape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7300" cy="312419"/>
                        </a:xfrm>
                        <a:prstGeom prst="wedgeRectCallout">
                          <a:avLst>
                            <a:gd name="adj1" fmla="val -68940"/>
                            <a:gd name="adj2" fmla="val 18292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陈秋桂、陈琼宿舍楼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宿舍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楼台楼台</w:t>
                            </w:r>
                          </w:p>
                        </w:txbxContent>
                      </wps:txbx>
                      <wps:bodyPr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0" type="#_x0000_t61" adj="-4091,14751" fillcolor="white" style="position:absolute;margin-left:198.0pt;margin-top:101.4pt;width:99.0pt;height:24.6pt;z-index:4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  <v:textbox>
                  <w:txbxContent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陈秋桂、陈琼宿舍楼</w:t>
                      </w: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宿舍</w:t>
                      </w:r>
                    </w:p>
                    <w:p>
                      <w:pPr>
                        <w:pStyle w:val="style0"/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pStyle w:val="style0"/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pStyle w:val="style0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楼台楼台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hAnsi="宋体" w:hint="eastAsia"/>
          <w:kern w:val="0"/>
          <w:sz w:val="24"/>
        </w:rPr>
        <w:drawing>
          <wp:inline distL="0" distT="0" distB="0" distR="0">
            <wp:extent cx="5796280" cy="3371214"/>
            <wp:effectExtent l="0" t="0" r="13970" b="635"/>
            <wp:docPr id="1031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96280" cy="337121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宋体" w:cs="宋体" w:hAnsi="宋体" w:hint="eastAsia"/>
          <w:kern w:val="0"/>
          <w:sz w:val="24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left="0" w:leftChars="0" w:right="0" w:rightChars="0" w:firstLine="640" w:firstLineChars="200"/>
        <w:jc w:val="left"/>
        <w:textAlignment w:val="auto"/>
        <w:outlineLvl w:val="9"/>
        <w:rPr>
          <w:rFonts w:ascii="仿宋_GB2312" w:eastAsia="仿宋_GB2312" w:hint="eastAsia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陈秋桂、陈琼宿舍楼</w:t>
      </w:r>
      <w:r>
        <w:rPr>
          <w:rFonts w:ascii="仿宋_GB2312" w:eastAsia="仿宋_GB2312" w:hint="eastAsia"/>
          <w:sz w:val="32"/>
          <w:szCs w:val="32"/>
        </w:rPr>
        <w:t>项目，于2013年5月纳入我市保障性安居工程项目。项目位于港口镇群乐社区队交通便利的沙港公路。土地面积1380.21平方米，建筑面积13078.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6</w:t>
      </w:r>
      <w:r>
        <w:rPr>
          <w:rFonts w:ascii="仿宋_GB2312" w:eastAsia="仿宋_GB2312" w:hint="eastAsia"/>
          <w:sz w:val="32"/>
          <w:szCs w:val="32"/>
        </w:rPr>
        <w:t>平方米，共建1幢270套公租房，户型为单间，每套面积37.8平方米；配有单独的，阳台、厨房及卫生间，公司免费为员工提供床铺、热水、WIFI；并配套有篮球场、乒乓球、羽毛球场等设施。该项目附近还配套有群乐社区小学、卫生站、市场及205等多路公交车。距离港口镇中心区约2.1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本月共入住268套，入住率99.26%。</w:t>
      </w: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</w:pP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  <w:t>4、广东盛业南丰电机有限公司宿舍A情况描述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w:drawing>
          <wp:inline distL="0" distT="0" distB="0" distR="0">
            <wp:extent cx="4990465" cy="3547110"/>
            <wp:effectExtent l="0" t="0" r="635" b="15240"/>
            <wp:docPr id="1032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90465" cy="354711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</w:rPr>
        <w:t>广东盛业南丰电机有限公司宿舍A项目，于2014年7月纳入我市保障性安居工程项目。该项目位于港口镇石特社区迎富二路，紧接交通便利的沙港公路。项目的土地面积1143平方米，建筑面积5772.8平方米，共建1幢175套公租房，户型为单间，每套面积27平方米；配有单独的，阳台、厨房及卫生间，公司免费为员工提供床铺、热水、WIFI；，并配套有篮球场、乒乓球、羽毛球场等设施。该项目附近还配套有石特小学、石特社区卫生站、石特市场及205等多路公交车。距离港口镇中心区约1.5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本月共入住167套，入住率95.43%。</w:t>
      </w: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  <w:t>5、中山振翅五金实业有限公司工业宿舍楼情况描述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/>
        <w:drawing>
          <wp:inline distL="0" distT="0" distB="0" distR="0">
            <wp:extent cx="5290185" cy="3185795"/>
            <wp:effectExtent l="0" t="0" r="5715" b="14605"/>
            <wp:docPr id="1033" name="图片 1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3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90185" cy="318579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</w:rPr>
        <w:t>中山振翅五金实业有限公司工业宿舍楼，于201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8</w:t>
      </w:r>
      <w:r>
        <w:rPr>
          <w:rFonts w:ascii="仿宋_GB2312" w:eastAsia="仿宋_GB2312" w:hint="eastAsia"/>
          <w:sz w:val="32"/>
          <w:szCs w:val="32"/>
        </w:rPr>
        <w:t>月纳入我市保障性安居工程项目。该项目位于港口镇石特社区迎富二路，紧接交通便利的沙港公路。项目的土地面积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1591</w:t>
      </w:r>
      <w:r>
        <w:rPr>
          <w:rFonts w:ascii="仿宋_GB2312" w:eastAsia="仿宋_GB2312" w:hint="eastAsia"/>
          <w:sz w:val="32"/>
          <w:szCs w:val="32"/>
        </w:rPr>
        <w:t>平方米，建筑面积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5953.50</w:t>
      </w:r>
      <w:r>
        <w:rPr>
          <w:rFonts w:ascii="仿宋_GB2312" w:eastAsia="仿宋_GB2312" w:hint="eastAsia"/>
          <w:sz w:val="32"/>
          <w:szCs w:val="32"/>
        </w:rPr>
        <w:t>平方米，共建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150</w:t>
      </w:r>
      <w:r>
        <w:rPr>
          <w:rFonts w:ascii="仿宋_GB2312" w:eastAsia="仿宋_GB2312" w:hint="eastAsia"/>
          <w:sz w:val="32"/>
          <w:szCs w:val="32"/>
        </w:rPr>
        <w:t>套公租房，户型为单间，每套面积2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4.46</w:t>
      </w:r>
      <w:r>
        <w:rPr>
          <w:rFonts w:ascii="仿宋_GB2312" w:eastAsia="仿宋_GB2312" w:hint="eastAsia"/>
          <w:sz w:val="32"/>
          <w:szCs w:val="32"/>
        </w:rPr>
        <w:t>平方米；配有单独的，阳台、厨房及卫生间，公司免费为员工提供床铺、热水、WIFI</w:t>
      </w:r>
      <w:r>
        <w:rPr>
          <w:rFonts w:ascii="仿宋_GB2312" w:eastAsia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 w:hint="eastAsia"/>
          <w:sz w:val="32"/>
          <w:szCs w:val="32"/>
        </w:rPr>
        <w:t>并配套有篮球场、乒乓球场等设施。该项目附近还配套有石特小学、石特社区卫生站、石特市场及205等多路公交车。距离港口镇中心区约1.5公里。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本月共入住150套，入住率100%。</w:t>
      </w:r>
    </w:p>
    <w:p>
      <w:pPr>
        <w:pStyle w:val="style0"/>
        <w:widowControl/>
        <w:jc w:val="center"/>
        <w:rPr>
          <w:rFonts w:ascii="宋体" w:cs="宋体" w:eastAsia="宋体" w:hAnsi="宋体" w:hint="eastAsia"/>
          <w:b/>
          <w:bCs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/>
          <w:sz w:val="32"/>
          <w:szCs w:val="32"/>
          <w:lang w:val="en-US" w:eastAsia="zh-CN"/>
        </w:rPr>
        <w:t>6</w:t>
      </w:r>
      <w:r>
        <w:rPr>
          <w:rFonts w:ascii="宋体" w:cs="宋体" w:eastAsia="宋体" w:hAnsi="宋体" w:hint="eastAsia"/>
          <w:b/>
          <w:bCs/>
          <w:sz w:val="32"/>
          <w:szCs w:val="32"/>
          <w:lang w:val="en-US" w:eastAsia="zh-CN"/>
        </w:rPr>
        <w:t>、中山市大成冷冻食品有限公司工业综合楼工程</w:t>
      </w:r>
      <w:r>
        <w:rPr>
          <w:rFonts w:ascii="宋体" w:cs="宋体" w:hAnsi="宋体" w:hint="eastAsia"/>
          <w:b/>
          <w:bCs/>
          <w:sz w:val="32"/>
          <w:szCs w:val="32"/>
          <w:lang w:val="en-US" w:eastAsia="zh-CN"/>
        </w:rPr>
        <w:t>(原</w:t>
      </w:r>
      <w:r>
        <w:rPr>
          <w:rFonts w:ascii="宋体" w:cs="宋体" w:eastAsia="宋体" w:hAnsi="宋体" w:hint="eastAsia"/>
          <w:b/>
          <w:bCs/>
          <w:sz w:val="32"/>
          <w:szCs w:val="32"/>
          <w:lang w:eastAsia="zh-CN"/>
        </w:rPr>
        <w:t>余炳洋、何建攀综合楼</w:t>
      </w:r>
      <w:r>
        <w:rPr>
          <w:rFonts w:ascii="宋体" w:cs="宋体" w:hAnsi="宋体" w:hint="eastAsia"/>
          <w:b/>
          <w:bCs/>
          <w:sz w:val="32"/>
          <w:szCs w:val="32"/>
          <w:lang w:eastAsia="zh-CN"/>
        </w:rPr>
        <w:t>）</w:t>
      </w:r>
      <w:r>
        <w:rPr>
          <w:rFonts w:ascii="宋体" w:cs="宋体" w:eastAsia="宋体" w:hAnsi="宋体" w:hint="eastAsia"/>
          <w:b/>
          <w:bCs/>
          <w:sz w:val="32"/>
          <w:szCs w:val="32"/>
          <w:lang w:eastAsia="zh-CN"/>
        </w:rPr>
        <w:t>情况描述</w:t>
      </w:r>
    </w:p>
    <w:p>
      <w:pPr>
        <w:pStyle w:val="style0"/>
        <w:keepNext w:val="false"/>
        <w:keepLines w:val="false"/>
        <w:widowControl/>
        <w:suppressLineNumbers w:val="false"/>
        <w:jc w:val="center"/>
        <w:rPr/>
      </w:pPr>
      <w:r>
        <w:rPr>
          <w:sz w:val="24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4220845</wp:posOffset>
                </wp:positionH>
                <wp:positionV relativeFrom="paragraph">
                  <wp:posOffset>2274570</wp:posOffset>
                </wp:positionV>
                <wp:extent cx="1275079" cy="533400"/>
                <wp:effectExtent l="5080" t="5080" r="15240" b="128269"/>
                <wp:wrapNone/>
                <wp:docPr id="1034" name="矩形标注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5079" cy="5334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仿宋_GB2312" w:hint="eastAsia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余炳洋、何建攀综合楼</w:t>
                            </w:r>
                          </w:p>
                        </w:txbxContent>
                      </wps:txbx>
                      <wps:bodyPr lIns="91439" rIns="91439" tIns="45719" bIns="45719" vert="horz"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4" type="#_x0000_t61" adj="1350,25920" fillcolor="white" style="position:absolute;margin-left:332.35pt;margin-top:179.1pt;width:100.4pt;height:42.0pt;z-index:5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仿宋_GB2312" w:hint="eastAsia"/>
                          <w:b/>
                          <w:sz w:val="24"/>
                          <w:szCs w:val="24"/>
                          <w:lang w:eastAsia="zh-CN"/>
                        </w:rPr>
                        <w:t>余炳洋、何建攀综合楼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eastAsia="宋体" w:hAnsi="宋体"/>
          <w:kern w:val="0"/>
          <w:sz w:val="24"/>
          <w:szCs w:val="24"/>
          <w:lang w:val="en-US" w:bidi="ar-SA" w:eastAsia="zh-CN"/>
        </w:rPr>
        <w:drawing>
          <wp:inline distL="0" distT="0" distB="0" distR="0">
            <wp:extent cx="5518150" cy="3543935"/>
            <wp:effectExtent l="0" t="0" r="6350" b="18415"/>
            <wp:docPr id="1035" name="图片 1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4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518150" cy="354393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center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中山市大成冷冻食品有限公司工业综合楼工程(原余炳洋、何建攀综合楼）</w:t>
      </w:r>
      <w:r>
        <w:rPr>
          <w:rFonts w:ascii="仿宋_GB2312" w:eastAsia="仿宋_GB2312" w:hint="eastAsia"/>
          <w:sz w:val="32"/>
          <w:szCs w:val="32"/>
        </w:rPr>
        <w:t>，于201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</w:t>
      </w:r>
      <w:r>
        <w:rPr>
          <w:rFonts w:ascii="仿宋_GB2312" w:eastAsia="仿宋_GB2312" w:hint="eastAsia"/>
          <w:sz w:val="32"/>
          <w:szCs w:val="32"/>
        </w:rPr>
        <w:t>年纳入我市保障性安居工程项目。该项目位于港口镇</w:t>
      </w:r>
      <w:r>
        <w:rPr>
          <w:rFonts w:ascii="仿宋_GB2312" w:eastAsia="仿宋_GB2312" w:hint="eastAsia"/>
          <w:sz w:val="32"/>
          <w:szCs w:val="32"/>
          <w:lang w:eastAsia="zh-CN"/>
        </w:rPr>
        <w:t>民主</w:t>
      </w:r>
      <w:r>
        <w:rPr>
          <w:rFonts w:ascii="仿宋_GB2312" w:eastAsia="仿宋_GB2312" w:hint="eastAsia"/>
          <w:sz w:val="32"/>
          <w:szCs w:val="32"/>
        </w:rPr>
        <w:t>社区木河迳工业区，紧接交通便利的木河迳路。项目土地面积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663</w:t>
      </w:r>
      <w:r>
        <w:rPr>
          <w:rFonts w:ascii="仿宋_GB2312" w:eastAsia="仿宋_GB2312" w:hint="eastAsia"/>
          <w:sz w:val="32"/>
          <w:szCs w:val="32"/>
        </w:rPr>
        <w:t>平方米，建筑面积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2975</w:t>
      </w:r>
      <w:r>
        <w:rPr>
          <w:rFonts w:ascii="仿宋_GB2312" w:eastAsia="仿宋_GB2312" w:hint="eastAsia"/>
          <w:sz w:val="32"/>
          <w:szCs w:val="32"/>
        </w:rPr>
        <w:t>平方米，建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77</w:t>
      </w:r>
      <w:r>
        <w:rPr>
          <w:rFonts w:ascii="仿宋_GB2312" w:eastAsia="仿宋_GB2312" w:hint="eastAsia"/>
          <w:sz w:val="32"/>
          <w:szCs w:val="32"/>
        </w:rPr>
        <w:t>套公租房，户型为单间，每套面积2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5</w:t>
      </w:r>
      <w:r>
        <w:rPr>
          <w:rFonts w:ascii="仿宋_GB2312" w:eastAsia="仿宋_GB2312" w:hint="eastAsia"/>
          <w:sz w:val="32"/>
          <w:szCs w:val="32"/>
        </w:rPr>
        <w:t>平方米；配有阳台、卫生间，公司免费为员工提供床铺、热水、WIFI；并配套有篮球场等设施。该项目附近还配套有镇中心小学、第二人民医院、海逸市场。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本月共入住77套，入住率100%。</w:t>
      </w:r>
    </w:p>
    <w:p>
      <w:pPr>
        <w:pStyle w:val="style0"/>
        <w:widowControl/>
        <w:jc w:val="center"/>
        <w:rPr>
          <w:rFonts w:ascii="仿宋_GB2312" w:eastAsia="仿宋_GB2312" w:hint="eastAsia"/>
          <w:sz w:val="32"/>
          <w:szCs w:val="32"/>
          <w:lang w:val="en-US" w:eastAsia="zh-CN"/>
        </w:rPr>
      </w:pPr>
    </w:p>
    <w:p>
      <w:pPr>
        <w:pStyle w:val="style0"/>
        <w:widowControl/>
        <w:jc w:val="center"/>
        <w:rPr>
          <w:rFonts w:ascii="宋体" w:cs="宋体" w:eastAsia="宋体" w:hAnsi="宋体" w:hint="eastAsia"/>
          <w:b/>
          <w:bCs w:val="false"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 w:val="false"/>
          <w:sz w:val="32"/>
          <w:szCs w:val="32"/>
          <w:lang w:val="en-US" w:eastAsia="zh-CN"/>
        </w:rPr>
        <w:t>7</w:t>
      </w:r>
      <w:r>
        <w:rPr>
          <w:rFonts w:ascii="宋体" w:cs="宋体" w:eastAsia="宋体" w:hAnsi="宋体" w:hint="eastAsia"/>
          <w:b/>
          <w:bCs w:val="false"/>
          <w:sz w:val="32"/>
          <w:szCs w:val="32"/>
          <w:lang w:val="en-US" w:eastAsia="zh-CN"/>
        </w:rPr>
        <w:t>、中山市格兰特实业有限公司工业宿舍楼B</w:t>
      </w:r>
      <w:r>
        <w:rPr>
          <w:rFonts w:ascii="宋体" w:cs="宋体" w:eastAsia="宋体" w:hAnsi="宋体" w:hint="eastAsia"/>
          <w:b/>
          <w:bCs w:val="false"/>
          <w:sz w:val="32"/>
          <w:szCs w:val="32"/>
          <w:lang w:eastAsia="zh-CN"/>
        </w:rPr>
        <w:t>情况描述</w:t>
      </w:r>
    </w:p>
    <w:p>
      <w:pPr>
        <w:pStyle w:val="style0"/>
        <w:keepNext w:val="false"/>
        <w:keepLines w:val="false"/>
        <w:widowControl/>
        <w:suppressLineNumbers w:val="false"/>
        <w:jc w:val="center"/>
        <w:rPr/>
      </w:pPr>
      <w:r>
        <w:rPr>
          <w:sz w:val="24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4507230</wp:posOffset>
                </wp:positionH>
                <wp:positionV relativeFrom="paragraph">
                  <wp:posOffset>969009</wp:posOffset>
                </wp:positionV>
                <wp:extent cx="1741170" cy="517525"/>
                <wp:effectExtent l="5080" t="5080" r="6350" b="125094"/>
                <wp:wrapNone/>
                <wp:docPr id="1036" name="矩形标注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41170" cy="51752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仿宋_GB2312" w:hint="eastAsia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中山市格兰特实业有限公司工业宿舍楼B</w:t>
                            </w:r>
                          </w:p>
                        </w:txbxContent>
                      </wps:txbx>
                      <wps:bodyPr lIns="91439" rIns="91439" tIns="45719" bIns="45719"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6" type="#_x0000_t61" adj="1350,25920" filled="f" style="position:absolute;margin-left:354.9pt;margin-top:76.3pt;width:137.1pt;height:40.75pt;z-index:6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仿宋_GB2312" w:hint="eastAsia"/>
                          <w:b/>
                          <w:sz w:val="24"/>
                          <w:szCs w:val="24"/>
                          <w:lang w:val="en-US" w:eastAsia="zh-CN"/>
                        </w:rPr>
                        <w:t>中山市格兰特实业有限公司工业宿舍楼B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eastAsia="宋体" w:hAnsi="宋体"/>
          <w:kern w:val="0"/>
          <w:sz w:val="24"/>
          <w:szCs w:val="24"/>
          <w:lang w:val="en-US" w:bidi="ar-SA" w:eastAsia="zh-CN"/>
        </w:rPr>
        <w:drawing>
          <wp:inline distL="0" distT="0" distB="0" distR="0">
            <wp:extent cx="5847080" cy="3462654"/>
            <wp:effectExtent l="0" t="0" r="1270" b="4445"/>
            <wp:docPr id="1037" name="图片 1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5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847080" cy="346265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中山市格兰特实业有限公司工业宿舍楼B</w:t>
      </w:r>
      <w:r>
        <w:rPr>
          <w:rFonts w:ascii="仿宋_GB2312" w:eastAsia="仿宋_GB2312" w:hint="eastAsia"/>
          <w:sz w:val="32"/>
          <w:szCs w:val="32"/>
        </w:rPr>
        <w:t>项目，于201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</w:t>
      </w:r>
      <w:r>
        <w:rPr>
          <w:rFonts w:ascii="仿宋_GB2312" w:eastAsia="仿宋_GB2312" w:hint="eastAsia"/>
          <w:sz w:val="32"/>
          <w:szCs w:val="32"/>
        </w:rPr>
        <w:t>年纳入我市保障性安居工程项目。项目位于港口镇沙港</w:t>
      </w:r>
      <w:r>
        <w:rPr>
          <w:rFonts w:ascii="仿宋_GB2312" w:eastAsia="仿宋_GB2312" w:hint="eastAsia"/>
          <w:sz w:val="32"/>
          <w:szCs w:val="32"/>
          <w:lang w:eastAsia="zh-CN"/>
        </w:rPr>
        <w:t>中路</w:t>
      </w:r>
      <w:r>
        <w:rPr>
          <w:rFonts w:ascii="仿宋_GB2312" w:eastAsia="仿宋_GB2312" w:hint="eastAsia"/>
          <w:sz w:val="32"/>
          <w:szCs w:val="32"/>
        </w:rPr>
        <w:t>。项目土地面积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736</w:t>
      </w:r>
      <w:r>
        <w:rPr>
          <w:rFonts w:ascii="仿宋_GB2312" w:eastAsia="仿宋_GB2312" w:hint="eastAsia"/>
          <w:sz w:val="32"/>
          <w:szCs w:val="32"/>
        </w:rPr>
        <w:t>平方米，建筑面积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4164.45</w:t>
      </w:r>
      <w:r>
        <w:rPr>
          <w:rFonts w:ascii="仿宋_GB2312" w:eastAsia="仿宋_GB2312" w:hint="eastAsia"/>
          <w:sz w:val="32"/>
          <w:szCs w:val="32"/>
        </w:rPr>
        <w:t>平方米，建7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8</w:t>
      </w:r>
      <w:r>
        <w:rPr>
          <w:rFonts w:ascii="仿宋_GB2312" w:eastAsia="仿宋_GB2312" w:hint="eastAsia"/>
          <w:sz w:val="32"/>
          <w:szCs w:val="32"/>
        </w:rPr>
        <w:t>套公租房，户型为单间，每套面积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26</w:t>
      </w:r>
      <w:r>
        <w:rPr>
          <w:rFonts w:ascii="仿宋_GB2312" w:eastAsia="仿宋_GB2312" w:hint="eastAsia"/>
          <w:sz w:val="32"/>
          <w:szCs w:val="32"/>
        </w:rPr>
        <w:t>平方米；配有单独的阳台、卫生间，公司免费为员工提供床铺、热水、WIFI；并配套有篮球场等设施。该项目附近还配套有社区的群乐小学、卫生站、市场及205等多路公交车。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本月共入住78套，入住率100%。</w:t>
      </w:r>
    </w:p>
    <w:p>
      <w:pPr>
        <w:pStyle w:val="style0"/>
        <w:widowControl/>
        <w:jc w:val="center"/>
        <w:rPr>
          <w:rFonts w:ascii="仿宋_GB2312" w:eastAsia="仿宋_GB2312" w:hint="eastAsia"/>
          <w:sz w:val="32"/>
          <w:szCs w:val="32"/>
          <w:lang w:val="en-US" w:eastAsia="zh-CN"/>
        </w:rPr>
      </w:pPr>
    </w:p>
    <w:p>
      <w:pPr>
        <w:pStyle w:val="style0"/>
        <w:widowControl/>
        <w:jc w:val="center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  <w:t>8、中山巨峰不锈钢公司宿舍楼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情况描述</w:t>
      </w:r>
    </w:p>
    <w:p>
      <w:pPr>
        <w:pStyle w:val="style0"/>
        <w:keepNext w:val="false"/>
        <w:keepLines w:val="false"/>
        <w:widowControl/>
        <w:suppressLineNumbers w:val="false"/>
        <w:jc w:val="left"/>
        <w:rPr/>
      </w:pPr>
    </w:p>
    <w:p>
      <w:pPr>
        <w:pStyle w:val="style0"/>
        <w:keepNext w:val="false"/>
        <w:keepLines w:val="false"/>
        <w:widowControl/>
        <w:suppressLineNumbers w:val="false"/>
        <w:jc w:val="center"/>
        <w:rPr/>
      </w:pPr>
      <w:r>
        <w:rPr>
          <w:sz w:val="24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3909695</wp:posOffset>
                </wp:positionH>
                <wp:positionV relativeFrom="paragraph">
                  <wp:posOffset>1556385</wp:posOffset>
                </wp:positionV>
                <wp:extent cx="1929129" cy="340995"/>
                <wp:effectExtent l="4445" t="4445" r="9525" b="92710"/>
                <wp:wrapNone/>
                <wp:docPr id="1038" name="矩形标注 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29129" cy="34099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cs="宋体" w:hAnsi="宋体" w:hint="eastAsia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中山巨峰不锈钢公司宿舍楼</w:t>
                            </w:r>
                          </w:p>
                        </w:txbxContent>
                      </wps:txbx>
                      <wps:bodyPr lIns="91439" rIns="91439" tIns="45719" bIns="45719"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8" type="#_x0000_t61" adj="1350,25920" fillcolor="white" style="position:absolute;margin-left:307.85pt;margin-top:122.55pt;width:151.9pt;height:26.85pt;z-index:7;mso-position-horizontal-relative:text;mso-position-vertical-relative:text;mso-width-relative:page;mso-height-relative:page;mso-wrap-distance-left:0.0pt;mso-wrap-distance-right:0.0pt;visibility:visible;">
                <v:stroke joinstyle="miter" weight="0.2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宋体" w:cs="宋体" w:hAnsi="宋体" w:hint="eastAsia"/>
                          <w:b/>
                          <w:bCs/>
                          <w:kern w:val="0"/>
                          <w:sz w:val="21"/>
                          <w:szCs w:val="21"/>
                          <w:lang w:val="en-US" w:eastAsia="zh-CN"/>
                        </w:rPr>
                        <w:t>中山巨峰不锈钢公司宿舍楼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eastAsia="宋体" w:hAnsi="宋体"/>
          <w:kern w:val="0"/>
          <w:sz w:val="24"/>
          <w:szCs w:val="24"/>
          <w:lang w:val="en-US" w:bidi="ar-SA" w:eastAsia="zh-CN"/>
        </w:rPr>
        <w:drawing>
          <wp:inline distL="0" distT="0" distB="0" distR="0">
            <wp:extent cx="4505325" cy="3461385"/>
            <wp:effectExtent l="0" t="0" r="9525" b="5715"/>
            <wp:docPr id="1039" name="图片 3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3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05325" cy="346138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中山巨峰不锈钢公司宿舍楼</w:t>
      </w:r>
      <w:r>
        <w:rPr>
          <w:rFonts w:ascii="仿宋_GB2312" w:eastAsia="仿宋_GB2312" w:hint="eastAsia"/>
          <w:sz w:val="32"/>
          <w:szCs w:val="32"/>
        </w:rPr>
        <w:t>项目，于201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4</w:t>
      </w:r>
      <w:r>
        <w:rPr>
          <w:rFonts w:ascii="仿宋_GB2312" w:eastAsia="仿宋_GB2312" w:hint="eastAsia"/>
          <w:sz w:val="32"/>
          <w:szCs w:val="32"/>
        </w:rPr>
        <w:t>年纳入我市保障性安居工程项目。该项目位于港口镇石特社区，紧接交通便利的沙港公路。项目的土地面积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893.43</w:t>
      </w:r>
      <w:r>
        <w:rPr>
          <w:rFonts w:ascii="仿宋_GB2312" w:eastAsia="仿宋_GB2312" w:hint="eastAsia"/>
          <w:sz w:val="32"/>
          <w:szCs w:val="32"/>
        </w:rPr>
        <w:t>平方米，建筑面积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5034.26</w:t>
      </w:r>
      <w:r>
        <w:rPr>
          <w:rFonts w:ascii="仿宋_GB2312" w:eastAsia="仿宋_GB2312" w:hint="eastAsia"/>
          <w:sz w:val="32"/>
          <w:szCs w:val="32"/>
        </w:rPr>
        <w:t>平方米，共建1幢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105</w:t>
      </w:r>
      <w:r>
        <w:rPr>
          <w:rFonts w:ascii="仿宋_GB2312" w:eastAsia="仿宋_GB2312" w:hint="eastAsia"/>
          <w:sz w:val="32"/>
          <w:szCs w:val="32"/>
        </w:rPr>
        <w:t>套公租房，户型为单间，每套面积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30</w:t>
      </w:r>
      <w:r>
        <w:rPr>
          <w:rFonts w:ascii="仿宋_GB2312" w:eastAsia="仿宋_GB2312" w:hint="eastAsia"/>
          <w:sz w:val="32"/>
          <w:szCs w:val="32"/>
        </w:rPr>
        <w:t>平方米；配有单独的，阳台、厨房及卫生间，公司免费为员工提供床铺、WIFI；并配套有</w:t>
      </w:r>
      <w:r>
        <w:rPr>
          <w:rFonts w:ascii="仿宋_GB2312" w:eastAsia="仿宋_GB2312" w:hint="eastAsia"/>
          <w:sz w:val="32"/>
          <w:szCs w:val="32"/>
          <w:lang w:eastAsia="zh-CN"/>
        </w:rPr>
        <w:t>篮球场</w:t>
      </w:r>
      <w:r>
        <w:rPr>
          <w:rFonts w:ascii="仿宋_GB2312" w:eastAsia="仿宋_GB2312" w:hint="eastAsia"/>
          <w:sz w:val="32"/>
          <w:szCs w:val="32"/>
        </w:rPr>
        <w:t>、乒乓球台等设施。该项目附近还配套有石特小学、石特社区卫生站、石特市场、穗安市场及205等多路公交车。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该项目本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月共入住90套，入住率85.71%。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 w:hint="eastAsia"/>
          <w:sz w:val="32"/>
          <w:szCs w:val="32"/>
          <w:lang w:val="en-US" w:eastAsia="zh-CN"/>
        </w:rPr>
      </w:pPr>
    </w:p>
    <w:sectPr>
      <w:footerReference w:type="even" r:id="rId10"/>
      <w:footerReference w:type="default" r:id="rId11"/>
      <w:pgSz w:w="16838" w:h="11906" w:orient="landscape"/>
      <w:pgMar w:top="737" w:right="1474" w:bottom="567" w:left="1474" w:header="851" w:footer="992" w:gutter="0"/>
      <w:cols w:space="72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default"/>
    <w:sig w:usb0="E00002FF" w:usb1="400004FF" w:usb2="00000000" w:usb3="00000000" w:csb0="2000019F" w:csb1="00000000"/>
  </w:font>
  <w:font w:name="Calibri">
    <w:altName w:val="Calibri"/>
    <w:panose1 w:val="020f0502020000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仿宋"/>
    <w:panose1 w:val="02010609060000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center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end"/>
    </w:r>
  </w:p>
  <w:p>
    <w:pPr>
      <w:pStyle w:val="style32"/>
      <w:ind w:right="360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center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separate"/>
    </w:r>
    <w:r>
      <w:rPr>
        <w:rStyle w:val="style41"/>
      </w:rPr>
      <w:t>1</w:t>
    </w:r>
    <w:r>
      <w:rPr/>
      <w:fldChar w:fldCharType="end"/>
    </w:r>
  </w:p>
  <w:p>
    <w:pPr>
      <w:pStyle w:val="style32"/>
      <w:ind w:right="360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uiPriority w:val="0"/>
    <w:pPr>
      <w:keepNext/>
      <w:keepLines/>
      <w:spacing w:before="340" w:after="330" w:lineRule="auto" w:line="578"/>
      <w:outlineLvl w:val="0"/>
    </w:pPr>
    <w:rPr>
      <w:b/>
      <w:bCs/>
      <w:kern w:val="44"/>
      <w:sz w:val="44"/>
      <w:szCs w:val="44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styleId="style41">
    <w:name w:val="page number"/>
    <w:basedOn w:val="style65"/>
    <w:next w:val="style41"/>
    <w:qFormat/>
    <w:uiPriority w:val="0"/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image" Target="media/image8.png"/><Relationship Id="rId15" Type="http://schemas.openxmlformats.org/officeDocument/2006/relationships/theme" Target="theme/theme1.xml"/><Relationship Id="rId14" Type="http://schemas.openxmlformats.org/officeDocument/2006/relationships/settings" Target="settings.xml"/><Relationship Id="rId16" Type="http://schemas.openxmlformats.org/officeDocument/2006/relationships/customXml" Target="../customXml/item1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Words>2220</Words>
  <Pages>1</Pages>
  <Characters>2451</Characters>
  <Application>WPS Office</Application>
  <DocSecurity>0</DocSecurity>
  <Paragraphs>105</Paragraphs>
  <ScaleCrop>false</ScaleCrop>
  <Company>微软中国</Company>
  <LinksUpToDate>false</LinksUpToDate>
  <CharactersWithSpaces>2463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2017-05-18T06:40:00Z</dcterms:created>
  <dc:creator>微软用户</dc:creator>
  <lastModifiedBy>GM1910</lastModifiedBy>
  <lastPrinted>2016-10-28T01:57:00Z</lastPrinted>
  <dcterms:modified xsi:type="dcterms:W3CDTF">2020-11-12T01:03:23Z</dcterms:modified>
  <revision>9</revision>
  <dc:title>港口镇2015年住房保障工作情况公示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