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outlineLvl w:val="1"/>
        <w:rPr>
          <w:rFonts w:ascii="Times New Roman" w:hAnsi="Times New Roman" w:eastAsia="方正小标宋简体"/>
          <w:snapToGrid w:val="0"/>
          <w:color w:val="auto"/>
          <w:spacing w:val="6"/>
          <w:kern w:val="32"/>
          <w:sz w:val="44"/>
          <w:szCs w:val="44"/>
          <w:highlight w:val="none"/>
        </w:rPr>
      </w:pPr>
      <w:bookmarkStart w:id="0" w:name="_Toc20750"/>
      <w:r>
        <w:rPr>
          <w:rFonts w:ascii="Times New Roman" w:hAnsi="Times New Roman" w:eastAsia="方正小标宋简体"/>
          <w:snapToGrid w:val="0"/>
          <w:color w:val="auto"/>
          <w:spacing w:val="6"/>
          <w:kern w:val="32"/>
          <w:sz w:val="44"/>
          <w:szCs w:val="44"/>
          <w:highlight w:val="none"/>
        </w:rPr>
        <w:t>中山火炬现代产业工程技术研究院建设与发展专项资金管理暂行办法</w:t>
      </w:r>
    </w:p>
    <w:p>
      <w:pPr>
        <w:spacing w:line="600" w:lineRule="exact"/>
        <w:contextualSpacing/>
        <w:jc w:val="center"/>
        <w:outlineLvl w:val="1"/>
        <w:rPr>
          <w:rFonts w:hint="eastAsia" w:ascii="Times New Roman" w:hAnsi="Times New Roman" w:eastAsia="方正小标宋简体"/>
          <w:snapToGrid w:val="0"/>
          <w:color w:val="auto"/>
          <w:spacing w:val="6"/>
          <w:kern w:val="32"/>
          <w:sz w:val="40"/>
          <w:szCs w:val="40"/>
          <w:highlight w:val="none"/>
          <w:lang w:eastAsia="zh-CN"/>
        </w:rPr>
      </w:pPr>
      <w:bookmarkStart w:id="1" w:name="_GoBack"/>
      <w:bookmarkEnd w:id="1"/>
      <w:r>
        <w:rPr>
          <w:rFonts w:hint="eastAsia" w:ascii="Times New Roman" w:hAnsi="Times New Roman" w:eastAsia="方正小标宋简体"/>
          <w:snapToGrid w:val="0"/>
          <w:color w:val="auto"/>
          <w:spacing w:val="6"/>
          <w:kern w:val="32"/>
          <w:sz w:val="40"/>
          <w:szCs w:val="40"/>
          <w:highlight w:val="none"/>
          <w:lang w:eastAsia="zh-CN"/>
        </w:rPr>
        <w:t>（</w:t>
      </w:r>
      <w:r>
        <w:rPr>
          <w:rFonts w:hint="eastAsia" w:ascii="Times New Roman" w:hAnsi="Times New Roman" w:eastAsia="方正小标宋简体"/>
          <w:snapToGrid w:val="0"/>
          <w:color w:val="auto"/>
          <w:spacing w:val="6"/>
          <w:kern w:val="32"/>
          <w:sz w:val="40"/>
          <w:szCs w:val="40"/>
          <w:highlight w:val="none"/>
          <w:lang w:val="en-US" w:eastAsia="zh-CN"/>
        </w:rPr>
        <w:t>征求意见稿</w:t>
      </w:r>
      <w:r>
        <w:rPr>
          <w:rFonts w:hint="eastAsia" w:ascii="Times New Roman" w:hAnsi="Times New Roman" w:eastAsia="方正小标宋简体"/>
          <w:snapToGrid w:val="0"/>
          <w:color w:val="auto"/>
          <w:spacing w:val="6"/>
          <w:kern w:val="32"/>
          <w:sz w:val="40"/>
          <w:szCs w:val="40"/>
          <w:highlight w:val="none"/>
          <w:lang w:eastAsia="zh-CN"/>
        </w:rPr>
        <w:t>）</w:t>
      </w:r>
      <w:bookmarkEnd w:id="0"/>
    </w:p>
    <w:p>
      <w:pPr>
        <w:spacing w:line="600" w:lineRule="exact"/>
        <w:contextualSpacing/>
        <w:rPr>
          <w:rFonts w:ascii="Times New Roman" w:hAnsi="Times New Roman" w:eastAsia="黑体"/>
          <w:color w:val="auto"/>
          <w:sz w:val="32"/>
          <w:szCs w:val="32"/>
          <w:highlight w:val="none"/>
        </w:rPr>
      </w:pPr>
    </w:p>
    <w:p>
      <w:pPr>
        <w:spacing w:line="600" w:lineRule="exact"/>
        <w:contextualSpacing/>
        <w:jc w:val="center"/>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第一章  总则</w:t>
      </w:r>
    </w:p>
    <w:p>
      <w:pPr>
        <w:spacing w:line="600" w:lineRule="exact"/>
        <w:ind w:firstLine="632" w:firstLineChars="200"/>
        <w:contextualSpacing/>
        <w:rPr>
          <w:rFonts w:ascii="Times New Roman" w:hAnsi="Times New Roman" w:eastAsia="仿宋_GB2312"/>
          <w:color w:val="auto"/>
          <w:w w:val="99"/>
          <w:sz w:val="32"/>
          <w:szCs w:val="32"/>
          <w:highlight w:val="none"/>
        </w:rPr>
      </w:pPr>
      <w:r>
        <w:rPr>
          <w:rFonts w:ascii="Times New Roman" w:hAnsi="Times New Roman" w:eastAsia="黑体"/>
          <w:color w:val="auto"/>
          <w:w w:val="99"/>
          <w:sz w:val="32"/>
          <w:szCs w:val="32"/>
          <w:highlight w:val="none"/>
        </w:rPr>
        <w:t>第一条</w:t>
      </w:r>
      <w:r>
        <w:rPr>
          <w:rFonts w:ascii="Times New Roman" w:hAnsi="Times New Roman" w:eastAsia="仿宋_GB2312"/>
          <w:color w:val="auto"/>
          <w:w w:val="99"/>
          <w:sz w:val="32"/>
          <w:szCs w:val="32"/>
          <w:highlight w:val="none"/>
        </w:rPr>
        <w:t xml:space="preserve">  为紧抓</w:t>
      </w:r>
      <w:r>
        <w:rPr>
          <w:rFonts w:hint="eastAsia" w:ascii="Times New Roman" w:hAnsi="Times New Roman" w:eastAsia="仿宋_GB2312"/>
          <w:color w:val="auto"/>
          <w:w w:val="99"/>
          <w:sz w:val="32"/>
          <w:szCs w:val="32"/>
          <w:highlight w:val="none"/>
        </w:rPr>
        <w:t>“双区驱动”发展机遇，</w:t>
      </w:r>
      <w:r>
        <w:rPr>
          <w:rFonts w:ascii="Times New Roman" w:hAnsi="Times New Roman" w:eastAsia="仿宋_GB2312"/>
          <w:color w:val="auto"/>
          <w:w w:val="99"/>
          <w:sz w:val="32"/>
          <w:szCs w:val="32"/>
          <w:highlight w:val="none"/>
        </w:rPr>
        <w:t>加快珠三角（中山）国家自主创新示范区建设，</w:t>
      </w:r>
      <w:r>
        <w:rPr>
          <w:rFonts w:hint="eastAsia" w:ascii="Times New Roman" w:hAnsi="Times New Roman" w:eastAsia="仿宋_GB2312"/>
          <w:color w:val="auto"/>
          <w:w w:val="99"/>
          <w:sz w:val="32"/>
          <w:szCs w:val="32"/>
          <w:highlight w:val="none"/>
        </w:rPr>
        <w:t>集聚高端创新资源，促进</w:t>
      </w:r>
      <w:r>
        <w:rPr>
          <w:rFonts w:ascii="Times New Roman" w:hAnsi="Times New Roman" w:eastAsia="仿宋_GB2312"/>
          <w:color w:val="auto"/>
          <w:w w:val="99"/>
          <w:sz w:val="32"/>
          <w:szCs w:val="32"/>
          <w:highlight w:val="none"/>
        </w:rPr>
        <w:t>科技成果转移转化</w:t>
      </w:r>
      <w:r>
        <w:rPr>
          <w:rFonts w:hint="eastAsia" w:ascii="Times New Roman" w:hAnsi="Times New Roman" w:eastAsia="仿宋_GB2312"/>
          <w:color w:val="auto"/>
          <w:w w:val="99"/>
          <w:sz w:val="32"/>
          <w:szCs w:val="32"/>
          <w:highlight w:val="none"/>
        </w:rPr>
        <w:t>，加快</w:t>
      </w:r>
      <w:r>
        <w:rPr>
          <w:rFonts w:ascii="Times New Roman" w:hAnsi="Times New Roman" w:eastAsia="仿宋_GB2312"/>
          <w:color w:val="auto"/>
          <w:w w:val="99"/>
          <w:sz w:val="32"/>
          <w:szCs w:val="32"/>
          <w:highlight w:val="none"/>
        </w:rPr>
        <w:t>产业转型升级，</w:t>
      </w:r>
      <w:r>
        <w:rPr>
          <w:rFonts w:hint="eastAsia" w:ascii="Times New Roman" w:hAnsi="Times New Roman" w:eastAsia="仿宋_GB2312"/>
          <w:color w:val="auto"/>
          <w:w w:val="99"/>
          <w:sz w:val="32"/>
          <w:szCs w:val="32"/>
          <w:highlight w:val="none"/>
        </w:rPr>
        <w:t>推动经济</w:t>
      </w:r>
      <w:r>
        <w:rPr>
          <w:rFonts w:ascii="Times New Roman" w:hAnsi="Times New Roman" w:eastAsia="仿宋_GB2312"/>
          <w:color w:val="auto"/>
          <w:w w:val="99"/>
          <w:sz w:val="32"/>
          <w:szCs w:val="32"/>
          <w:highlight w:val="none"/>
        </w:rPr>
        <w:t>高质量发展，根据《中山市产业扶持资金动态监控管理暂行办法》（中财规字〔2018〕2号）等有关规定，结合我区实际，制定本办法。</w:t>
      </w:r>
    </w:p>
    <w:p>
      <w:pPr>
        <w:autoSpaceDE w:val="0"/>
        <w:autoSpaceDN w:val="0"/>
        <w:adjustRightInd w:val="0"/>
        <w:snapToGrid w:val="0"/>
        <w:spacing w:line="600" w:lineRule="exact"/>
        <w:ind w:firstLine="632" w:firstLineChars="200"/>
        <w:rPr>
          <w:rFonts w:ascii="Times New Roman" w:hAnsi="Times New Roman" w:eastAsia="仿宋_GB2312"/>
          <w:color w:val="auto"/>
          <w:w w:val="99"/>
          <w:sz w:val="32"/>
          <w:szCs w:val="32"/>
          <w:highlight w:val="none"/>
        </w:rPr>
      </w:pPr>
      <w:r>
        <w:rPr>
          <w:rFonts w:hint="eastAsia" w:ascii="Times New Roman" w:hAnsi="Times New Roman" w:eastAsia="黑体"/>
          <w:color w:val="auto"/>
          <w:w w:val="99"/>
          <w:sz w:val="32"/>
          <w:szCs w:val="32"/>
          <w:highlight w:val="none"/>
        </w:rPr>
        <w:t>第</w:t>
      </w:r>
      <w:r>
        <w:rPr>
          <w:rFonts w:hint="eastAsia" w:eastAsia="黑体"/>
          <w:color w:val="auto"/>
          <w:w w:val="99"/>
          <w:sz w:val="32"/>
          <w:szCs w:val="32"/>
          <w:highlight w:val="none"/>
          <w:lang w:eastAsia="zh-CN"/>
        </w:rPr>
        <w:t>二</w:t>
      </w:r>
      <w:r>
        <w:rPr>
          <w:rFonts w:hint="eastAsia" w:ascii="Times New Roman" w:hAnsi="Times New Roman" w:eastAsia="黑体"/>
          <w:color w:val="auto"/>
          <w:w w:val="99"/>
          <w:sz w:val="32"/>
          <w:szCs w:val="32"/>
          <w:highlight w:val="none"/>
        </w:rPr>
        <w:t>条</w:t>
      </w:r>
      <w:r>
        <w:rPr>
          <w:rFonts w:hint="eastAsia" w:ascii="Times New Roman" w:hAnsi="Times New Roman" w:eastAsia="仿宋_GB2312"/>
          <w:color w:val="auto"/>
          <w:w w:val="99"/>
          <w:sz w:val="32"/>
          <w:szCs w:val="32"/>
          <w:highlight w:val="none"/>
        </w:rPr>
        <w:t xml:space="preserve">  </w:t>
      </w:r>
      <w:r>
        <w:rPr>
          <w:rFonts w:ascii="Times New Roman" w:hAnsi="Times New Roman" w:eastAsia="仿宋_GB2312"/>
          <w:color w:val="auto"/>
          <w:w w:val="99"/>
          <w:sz w:val="32"/>
          <w:szCs w:val="32"/>
          <w:highlight w:val="none"/>
        </w:rPr>
        <w:t>本办法所称中山火炬现代产业工程技术研究院创新中心（以下简称“创新中心”）是指纳入研究院管理，联合多方共建</w:t>
      </w:r>
      <w:r>
        <w:rPr>
          <w:rFonts w:hint="eastAsia" w:ascii="Times New Roman" w:hAnsi="Times New Roman" w:eastAsia="仿宋_GB2312"/>
          <w:color w:val="auto"/>
          <w:w w:val="99"/>
          <w:sz w:val="32"/>
          <w:szCs w:val="32"/>
          <w:highlight w:val="none"/>
        </w:rPr>
        <w:t>，</w:t>
      </w:r>
      <w:r>
        <w:rPr>
          <w:rFonts w:ascii="Times New Roman" w:hAnsi="Times New Roman" w:eastAsia="仿宋_GB2312"/>
          <w:color w:val="auto"/>
          <w:w w:val="99"/>
          <w:sz w:val="32"/>
          <w:szCs w:val="32"/>
          <w:highlight w:val="none"/>
        </w:rPr>
        <w:t>高效整合区内外政、产、学、研、资、介等创新要素，以</w:t>
      </w:r>
      <w:r>
        <w:rPr>
          <w:rFonts w:ascii="Times New Roman" w:hAnsi="Times New Roman" w:eastAsia="仿宋"/>
          <w:color w:val="auto"/>
          <w:w w:val="99"/>
          <w:sz w:val="32"/>
          <w:szCs w:val="32"/>
          <w:highlight w:val="none"/>
        </w:rPr>
        <w:t>我区重点产业关键共性技术研发和科技成果转移转化为重点，</w:t>
      </w:r>
      <w:r>
        <w:rPr>
          <w:rFonts w:ascii="Times New Roman" w:hAnsi="Times New Roman" w:eastAsia="仿宋_GB2312"/>
          <w:color w:val="auto"/>
          <w:w w:val="99"/>
          <w:sz w:val="32"/>
          <w:szCs w:val="32"/>
          <w:highlight w:val="none"/>
        </w:rPr>
        <w:t>以支撑引领产业转型升级、服务全产业链为目的的产业技术研发、公共服务平台。</w:t>
      </w:r>
    </w:p>
    <w:p>
      <w:pPr>
        <w:spacing w:line="600" w:lineRule="exact"/>
        <w:ind w:firstLine="632" w:firstLineChars="200"/>
        <w:contextualSpacing/>
        <w:rPr>
          <w:rFonts w:ascii="Times New Roman" w:hAnsi="Times New Roman" w:eastAsia="仿宋_GB2312"/>
          <w:color w:val="auto"/>
          <w:w w:val="99"/>
          <w:sz w:val="32"/>
          <w:szCs w:val="32"/>
          <w:highlight w:val="none"/>
        </w:rPr>
      </w:pPr>
      <w:r>
        <w:rPr>
          <w:rFonts w:ascii="Times New Roman" w:hAnsi="Times New Roman" w:eastAsia="黑体"/>
          <w:color w:val="auto"/>
          <w:w w:val="99"/>
          <w:sz w:val="32"/>
          <w:szCs w:val="32"/>
          <w:highlight w:val="none"/>
        </w:rPr>
        <w:t>第</w:t>
      </w:r>
      <w:r>
        <w:rPr>
          <w:rFonts w:hint="eastAsia" w:eastAsia="黑体"/>
          <w:color w:val="auto"/>
          <w:w w:val="99"/>
          <w:sz w:val="32"/>
          <w:szCs w:val="32"/>
          <w:highlight w:val="none"/>
          <w:lang w:eastAsia="zh-CN"/>
        </w:rPr>
        <w:t>三</w:t>
      </w:r>
      <w:r>
        <w:rPr>
          <w:rFonts w:ascii="Times New Roman" w:hAnsi="Times New Roman" w:eastAsia="黑体"/>
          <w:color w:val="auto"/>
          <w:w w:val="99"/>
          <w:sz w:val="32"/>
          <w:szCs w:val="32"/>
          <w:highlight w:val="none"/>
        </w:rPr>
        <w:t xml:space="preserve">条  </w:t>
      </w:r>
      <w:r>
        <w:rPr>
          <w:rFonts w:ascii="Times New Roman" w:hAnsi="Times New Roman" w:eastAsia="仿宋_GB2312"/>
          <w:color w:val="auto"/>
          <w:w w:val="99"/>
          <w:sz w:val="32"/>
          <w:szCs w:val="32"/>
          <w:highlight w:val="none"/>
        </w:rPr>
        <w:t>本办法所称中山火炬现代产业工程技术研究院（以下简称“</w:t>
      </w:r>
      <w:r>
        <w:rPr>
          <w:rFonts w:hint="eastAsia" w:ascii="Times New Roman" w:hAnsi="Times New Roman" w:eastAsia="仿宋_GB2312"/>
          <w:color w:val="auto"/>
          <w:w w:val="99"/>
          <w:sz w:val="32"/>
          <w:szCs w:val="32"/>
          <w:highlight w:val="none"/>
          <w:lang w:val="en-US" w:eastAsia="zh-CN"/>
        </w:rPr>
        <w:t>研究院</w:t>
      </w:r>
      <w:r>
        <w:rPr>
          <w:rFonts w:ascii="Times New Roman" w:hAnsi="Times New Roman" w:eastAsia="仿宋_GB2312"/>
          <w:color w:val="auto"/>
          <w:w w:val="99"/>
          <w:sz w:val="32"/>
          <w:szCs w:val="32"/>
          <w:highlight w:val="none"/>
        </w:rPr>
        <w:t>”）建设与发展专项资金（以下简称“专项资金”）是</w:t>
      </w:r>
      <w:r>
        <w:rPr>
          <w:rFonts w:hint="eastAsia" w:ascii="Times New Roman" w:hAnsi="Times New Roman" w:eastAsia="仿宋_GB2312"/>
          <w:color w:val="auto"/>
          <w:w w:val="99"/>
          <w:sz w:val="32"/>
          <w:szCs w:val="32"/>
          <w:highlight w:val="none"/>
          <w:lang w:val="en-US" w:eastAsia="zh-CN"/>
        </w:rPr>
        <w:t>指</w:t>
      </w:r>
      <w:r>
        <w:rPr>
          <w:rFonts w:hint="eastAsia" w:ascii="Times New Roman" w:hAnsi="Times New Roman" w:eastAsia="仿宋_GB2312"/>
          <w:color w:val="auto"/>
          <w:w w:val="99"/>
          <w:sz w:val="32"/>
          <w:szCs w:val="32"/>
          <w:highlight w:val="none"/>
        </w:rPr>
        <w:t>经</w:t>
      </w:r>
      <w:r>
        <w:rPr>
          <w:rFonts w:ascii="Times New Roman" w:hAnsi="Times New Roman" w:eastAsia="仿宋_GB2312"/>
          <w:color w:val="auto"/>
          <w:w w:val="99"/>
          <w:sz w:val="32"/>
          <w:szCs w:val="32"/>
          <w:highlight w:val="none"/>
        </w:rPr>
        <w:t>区管委会批准设立</w:t>
      </w:r>
      <w:r>
        <w:rPr>
          <w:rFonts w:hint="eastAsia" w:ascii="Times New Roman" w:hAnsi="Times New Roman" w:eastAsia="仿宋_GB2312"/>
          <w:color w:val="auto"/>
          <w:w w:val="99"/>
          <w:sz w:val="32"/>
          <w:szCs w:val="32"/>
          <w:highlight w:val="none"/>
        </w:rPr>
        <w:t>、</w:t>
      </w:r>
      <w:r>
        <w:rPr>
          <w:rFonts w:ascii="Times New Roman" w:hAnsi="Times New Roman" w:eastAsia="仿宋_GB2312"/>
          <w:color w:val="auto"/>
          <w:w w:val="99"/>
          <w:sz w:val="32"/>
          <w:szCs w:val="32"/>
          <w:highlight w:val="none"/>
        </w:rPr>
        <w:t>区财政预算安排的专项资金，主要用于支持创新中心建设</w:t>
      </w:r>
      <w:r>
        <w:rPr>
          <w:rFonts w:hint="eastAsia" w:ascii="Times New Roman" w:hAnsi="Times New Roman" w:eastAsia="仿宋_GB2312"/>
          <w:color w:val="auto"/>
          <w:w w:val="99"/>
          <w:sz w:val="32"/>
          <w:szCs w:val="32"/>
          <w:highlight w:val="none"/>
        </w:rPr>
        <w:t>，</w:t>
      </w:r>
      <w:r>
        <w:rPr>
          <w:rFonts w:hint="eastAsia" w:ascii="Times New Roman" w:hAnsi="Times New Roman" w:eastAsia="仿宋_GB2312"/>
          <w:color w:val="auto"/>
          <w:w w:val="99"/>
          <w:sz w:val="32"/>
          <w:szCs w:val="32"/>
          <w:highlight w:val="none"/>
          <w:lang w:val="en-US" w:eastAsia="zh-CN"/>
        </w:rPr>
        <w:t>面向生物医药、高端装备制造、光电、新一代电子信息、数字经济、人工智能等重点产业，开展</w:t>
      </w:r>
      <w:r>
        <w:rPr>
          <w:rFonts w:ascii="Times New Roman" w:hAnsi="Times New Roman" w:eastAsia="仿宋_GB2312"/>
          <w:color w:val="auto"/>
          <w:w w:val="99"/>
          <w:sz w:val="32"/>
          <w:szCs w:val="32"/>
          <w:highlight w:val="none"/>
        </w:rPr>
        <w:t>产业关键技术、重大技术</w:t>
      </w:r>
      <w:r>
        <w:rPr>
          <w:rFonts w:hint="eastAsia" w:ascii="Times New Roman" w:hAnsi="Times New Roman" w:eastAsia="仿宋_GB2312"/>
          <w:color w:val="auto"/>
          <w:w w:val="99"/>
          <w:sz w:val="32"/>
          <w:szCs w:val="32"/>
          <w:highlight w:val="none"/>
        </w:rPr>
        <w:t>、核心技术和</w:t>
      </w:r>
      <w:r>
        <w:rPr>
          <w:rFonts w:ascii="Times New Roman" w:hAnsi="Times New Roman" w:eastAsia="仿宋_GB2312"/>
          <w:color w:val="auto"/>
          <w:w w:val="99"/>
          <w:sz w:val="32"/>
          <w:szCs w:val="32"/>
          <w:highlight w:val="none"/>
        </w:rPr>
        <w:t>共性技术</w:t>
      </w:r>
      <w:r>
        <w:rPr>
          <w:rFonts w:hint="eastAsia" w:ascii="Times New Roman" w:hAnsi="Times New Roman" w:eastAsia="仿宋_GB2312"/>
          <w:color w:val="auto"/>
          <w:w w:val="99"/>
          <w:sz w:val="32"/>
          <w:szCs w:val="32"/>
          <w:highlight w:val="none"/>
        </w:rPr>
        <w:t>攻关</w:t>
      </w:r>
      <w:r>
        <w:rPr>
          <w:rFonts w:hint="eastAsia" w:ascii="Times New Roman" w:hAnsi="Times New Roman" w:eastAsia="仿宋_GB2312"/>
          <w:color w:val="auto"/>
          <w:w w:val="99"/>
          <w:sz w:val="32"/>
          <w:szCs w:val="32"/>
          <w:highlight w:val="none"/>
          <w:lang w:eastAsia="zh-CN"/>
        </w:rPr>
        <w:t>，</w:t>
      </w:r>
      <w:r>
        <w:rPr>
          <w:rFonts w:hint="eastAsia" w:ascii="Times New Roman" w:hAnsi="Times New Roman" w:eastAsia="仿宋_GB2312"/>
          <w:color w:val="auto"/>
          <w:w w:val="99"/>
          <w:sz w:val="32"/>
          <w:szCs w:val="32"/>
          <w:highlight w:val="none"/>
          <w:lang w:val="en-US" w:eastAsia="zh-CN"/>
        </w:rPr>
        <w:t>同时用于</w:t>
      </w:r>
      <w:r>
        <w:rPr>
          <w:rFonts w:hint="eastAsia" w:ascii="Times New Roman" w:hAnsi="Times New Roman" w:eastAsia="仿宋_GB2312"/>
          <w:color w:val="auto"/>
          <w:w w:val="99"/>
          <w:sz w:val="32"/>
          <w:szCs w:val="32"/>
          <w:highlight w:val="none"/>
        </w:rPr>
        <w:t>支持为服务科技成果转移转化所开展的技术开发和技术交易活动</w:t>
      </w:r>
      <w:r>
        <w:rPr>
          <w:rFonts w:ascii="Times New Roman" w:hAnsi="Times New Roman" w:eastAsia="仿宋_GB2312"/>
          <w:color w:val="auto"/>
          <w:w w:val="99"/>
          <w:sz w:val="32"/>
          <w:szCs w:val="32"/>
          <w:highlight w:val="none"/>
        </w:rPr>
        <w:t>。</w:t>
      </w:r>
    </w:p>
    <w:p>
      <w:pPr>
        <w:autoSpaceDE w:val="0"/>
        <w:autoSpaceDN w:val="0"/>
        <w:adjustRightInd w:val="0"/>
        <w:snapToGrid w:val="0"/>
        <w:spacing w:line="600" w:lineRule="exact"/>
        <w:ind w:firstLine="632" w:firstLineChars="200"/>
        <w:rPr>
          <w:rFonts w:ascii="Times New Roman" w:hAnsi="Times New Roman" w:eastAsia="仿宋_GB2312"/>
          <w:snapToGrid w:val="0"/>
          <w:color w:val="auto"/>
          <w:spacing w:val="6"/>
          <w:w w:val="99"/>
          <w:kern w:val="32"/>
          <w:sz w:val="32"/>
          <w:szCs w:val="24"/>
          <w:highlight w:val="none"/>
        </w:rPr>
      </w:pPr>
      <w:r>
        <w:rPr>
          <w:rFonts w:ascii="Times New Roman" w:hAnsi="Times New Roman" w:eastAsia="黑体"/>
          <w:color w:val="auto"/>
          <w:w w:val="99"/>
          <w:sz w:val="32"/>
          <w:szCs w:val="32"/>
          <w:highlight w:val="none"/>
        </w:rPr>
        <w:t>第</w:t>
      </w:r>
      <w:r>
        <w:rPr>
          <w:rFonts w:hint="eastAsia" w:ascii="Times New Roman" w:hAnsi="Times New Roman" w:eastAsia="黑体"/>
          <w:color w:val="auto"/>
          <w:w w:val="99"/>
          <w:sz w:val="32"/>
          <w:szCs w:val="32"/>
          <w:highlight w:val="none"/>
        </w:rPr>
        <w:t>四</w:t>
      </w:r>
      <w:r>
        <w:rPr>
          <w:rFonts w:ascii="Times New Roman" w:hAnsi="Times New Roman" w:eastAsia="黑体"/>
          <w:color w:val="auto"/>
          <w:w w:val="99"/>
          <w:sz w:val="32"/>
          <w:szCs w:val="32"/>
          <w:highlight w:val="none"/>
        </w:rPr>
        <w:t>条</w:t>
      </w:r>
      <w:r>
        <w:rPr>
          <w:rFonts w:hint="eastAsia" w:ascii="Times New Roman" w:hAnsi="Times New Roman" w:eastAsia="黑体"/>
          <w:color w:val="auto"/>
          <w:w w:val="99"/>
          <w:sz w:val="32"/>
          <w:szCs w:val="32"/>
          <w:highlight w:val="none"/>
        </w:rPr>
        <w:t xml:space="preserve">  </w:t>
      </w:r>
      <w:r>
        <w:rPr>
          <w:rFonts w:ascii="Times New Roman" w:hAnsi="Times New Roman" w:eastAsia="仿宋_GB2312"/>
          <w:snapToGrid w:val="0"/>
          <w:color w:val="auto"/>
          <w:spacing w:val="6"/>
          <w:w w:val="99"/>
          <w:kern w:val="32"/>
          <w:sz w:val="32"/>
          <w:szCs w:val="24"/>
          <w:highlight w:val="none"/>
        </w:rPr>
        <w:t>专项资金的使用和管理坚持公开透明、突出重点、强化监管、注重实效的原则。</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p>
    <w:p>
      <w:pPr>
        <w:autoSpaceDE w:val="0"/>
        <w:autoSpaceDN w:val="0"/>
        <w:adjustRightInd w:val="0"/>
        <w:snapToGrid w:val="0"/>
        <w:spacing w:line="600" w:lineRule="exact"/>
        <w:contextualSpacing/>
        <w:jc w:val="center"/>
        <w:rPr>
          <w:rFonts w:ascii="Times New Roman" w:hAnsi="Times New Roman" w:eastAsia="黑体"/>
          <w:color w:val="auto"/>
          <w:w w:val="99"/>
          <w:sz w:val="32"/>
          <w:szCs w:val="32"/>
          <w:highlight w:val="none"/>
        </w:rPr>
      </w:pPr>
      <w:r>
        <w:rPr>
          <w:rFonts w:hint="eastAsia" w:ascii="Times New Roman" w:hAnsi="Times New Roman" w:eastAsia="黑体"/>
          <w:color w:val="auto"/>
          <w:w w:val="99"/>
          <w:sz w:val="32"/>
          <w:szCs w:val="32"/>
          <w:highlight w:val="none"/>
        </w:rPr>
        <w:t xml:space="preserve">第二章  </w:t>
      </w:r>
      <w:r>
        <w:rPr>
          <w:rFonts w:ascii="Times New Roman" w:hAnsi="Times New Roman" w:eastAsia="黑体"/>
          <w:color w:val="auto"/>
          <w:w w:val="99"/>
          <w:sz w:val="32"/>
          <w:szCs w:val="32"/>
          <w:highlight w:val="none"/>
        </w:rPr>
        <w:t>组织管理</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第</w:t>
      </w:r>
      <w:r>
        <w:rPr>
          <w:rFonts w:hint="eastAsia" w:eastAsia="黑体"/>
          <w:snapToGrid w:val="0"/>
          <w:color w:val="auto"/>
          <w:spacing w:val="6"/>
          <w:w w:val="99"/>
          <w:kern w:val="32"/>
          <w:sz w:val="32"/>
          <w:szCs w:val="32"/>
          <w:highlight w:val="none"/>
          <w:lang w:eastAsia="zh-CN"/>
        </w:rPr>
        <w:t>五</w:t>
      </w:r>
      <w:r>
        <w:rPr>
          <w:rFonts w:ascii="Times New Roman" w:hAnsi="Times New Roman" w:eastAsia="黑体"/>
          <w:snapToGrid w:val="0"/>
          <w:color w:val="auto"/>
          <w:spacing w:val="6"/>
          <w:w w:val="99"/>
          <w:kern w:val="32"/>
          <w:sz w:val="32"/>
          <w:szCs w:val="32"/>
          <w:highlight w:val="none"/>
        </w:rPr>
        <w:t xml:space="preserve">条  </w:t>
      </w:r>
      <w:r>
        <w:rPr>
          <w:rFonts w:ascii="Times New Roman" w:hAnsi="Times New Roman" w:eastAsia="仿宋_GB2312"/>
          <w:snapToGrid w:val="0"/>
          <w:color w:val="auto"/>
          <w:spacing w:val="6"/>
          <w:w w:val="99"/>
          <w:kern w:val="32"/>
          <w:sz w:val="32"/>
          <w:szCs w:val="32"/>
          <w:highlight w:val="none"/>
        </w:rPr>
        <w:t>区经科局为专项资金管理部门，负责签订立项合同、项目资金核准及资金使用监管等工作。</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第</w:t>
      </w:r>
      <w:r>
        <w:rPr>
          <w:rFonts w:hint="eastAsia" w:eastAsia="黑体"/>
          <w:snapToGrid w:val="0"/>
          <w:color w:val="auto"/>
          <w:spacing w:val="6"/>
          <w:w w:val="99"/>
          <w:kern w:val="32"/>
          <w:sz w:val="32"/>
          <w:szCs w:val="32"/>
          <w:highlight w:val="none"/>
          <w:lang w:eastAsia="zh-CN"/>
        </w:rPr>
        <w:t>六</w:t>
      </w:r>
      <w:r>
        <w:rPr>
          <w:rFonts w:ascii="Times New Roman" w:hAnsi="Times New Roman" w:eastAsia="黑体"/>
          <w:snapToGrid w:val="0"/>
          <w:color w:val="auto"/>
          <w:spacing w:val="6"/>
          <w:w w:val="99"/>
          <w:kern w:val="32"/>
          <w:sz w:val="32"/>
          <w:szCs w:val="32"/>
          <w:highlight w:val="none"/>
        </w:rPr>
        <w:t xml:space="preserve">条  </w:t>
      </w:r>
      <w:r>
        <w:rPr>
          <w:rFonts w:ascii="Times New Roman" w:hAnsi="Times New Roman" w:eastAsia="仿宋_GB2312"/>
          <w:snapToGrid w:val="0"/>
          <w:color w:val="auto"/>
          <w:spacing w:val="6"/>
          <w:w w:val="99"/>
          <w:kern w:val="32"/>
          <w:sz w:val="32"/>
          <w:szCs w:val="32"/>
          <w:highlight w:val="none"/>
        </w:rPr>
        <w:t>研究院负责编制申报指南、发布申报通知、组织专家评审，提出项目立项的初步意见，对立项项目实施监管</w:t>
      </w:r>
      <w:r>
        <w:rPr>
          <w:rFonts w:hint="eastAsia" w:ascii="Times New Roman" w:hAnsi="Times New Roman" w:eastAsia="仿宋_GB2312"/>
          <w:snapToGrid w:val="0"/>
          <w:color w:val="auto"/>
          <w:spacing w:val="6"/>
          <w:w w:val="99"/>
          <w:kern w:val="32"/>
          <w:sz w:val="32"/>
          <w:szCs w:val="32"/>
          <w:highlight w:val="none"/>
        </w:rPr>
        <w:t>、</w:t>
      </w:r>
      <w:r>
        <w:rPr>
          <w:rFonts w:ascii="Times New Roman" w:hAnsi="Times New Roman" w:eastAsia="仿宋_GB2312"/>
          <w:snapToGrid w:val="0"/>
          <w:color w:val="auto"/>
          <w:spacing w:val="6"/>
          <w:w w:val="99"/>
          <w:kern w:val="32"/>
          <w:sz w:val="32"/>
          <w:szCs w:val="32"/>
          <w:highlight w:val="none"/>
        </w:rPr>
        <w:t>验收、绩效考核及信息公开等工作。</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第</w:t>
      </w:r>
      <w:r>
        <w:rPr>
          <w:rFonts w:hint="eastAsia" w:eastAsia="黑体"/>
          <w:snapToGrid w:val="0"/>
          <w:color w:val="auto"/>
          <w:spacing w:val="6"/>
          <w:w w:val="99"/>
          <w:kern w:val="32"/>
          <w:sz w:val="32"/>
          <w:szCs w:val="32"/>
          <w:highlight w:val="none"/>
          <w:lang w:eastAsia="zh-CN"/>
        </w:rPr>
        <w:t>七</w:t>
      </w:r>
      <w:r>
        <w:rPr>
          <w:rFonts w:ascii="Times New Roman" w:hAnsi="Times New Roman" w:eastAsia="黑体"/>
          <w:snapToGrid w:val="0"/>
          <w:color w:val="auto"/>
          <w:spacing w:val="6"/>
          <w:w w:val="99"/>
          <w:kern w:val="32"/>
          <w:sz w:val="32"/>
          <w:szCs w:val="32"/>
          <w:highlight w:val="none"/>
        </w:rPr>
        <w:t xml:space="preserve">条  </w:t>
      </w:r>
      <w:r>
        <w:rPr>
          <w:rFonts w:ascii="Times New Roman" w:hAnsi="Times New Roman" w:eastAsia="仿宋_GB2312"/>
          <w:snapToGrid w:val="0"/>
          <w:color w:val="auto"/>
          <w:spacing w:val="6"/>
          <w:w w:val="99"/>
          <w:kern w:val="32"/>
          <w:sz w:val="32"/>
          <w:szCs w:val="32"/>
          <w:highlight w:val="none"/>
        </w:rPr>
        <w:t>区财政局负责审核、编制专项资金预算，对立项项目按程序核拨资金。</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第</w:t>
      </w:r>
      <w:r>
        <w:rPr>
          <w:rFonts w:hint="eastAsia" w:eastAsia="黑体"/>
          <w:snapToGrid w:val="0"/>
          <w:color w:val="auto"/>
          <w:spacing w:val="6"/>
          <w:w w:val="99"/>
          <w:kern w:val="32"/>
          <w:sz w:val="32"/>
          <w:szCs w:val="32"/>
          <w:highlight w:val="none"/>
          <w:lang w:eastAsia="zh-CN"/>
        </w:rPr>
        <w:t>八</w:t>
      </w:r>
      <w:r>
        <w:rPr>
          <w:rFonts w:ascii="Times New Roman" w:hAnsi="Times New Roman" w:eastAsia="黑体"/>
          <w:snapToGrid w:val="0"/>
          <w:color w:val="auto"/>
          <w:spacing w:val="6"/>
          <w:w w:val="99"/>
          <w:kern w:val="32"/>
          <w:sz w:val="32"/>
          <w:szCs w:val="32"/>
          <w:highlight w:val="none"/>
        </w:rPr>
        <w:t xml:space="preserve">条  </w:t>
      </w:r>
      <w:r>
        <w:rPr>
          <w:rFonts w:hint="eastAsia" w:ascii="Times New Roman" w:hAnsi="Times New Roman" w:eastAsia="仿宋_GB2312"/>
          <w:snapToGrid w:val="0"/>
          <w:color w:val="auto"/>
          <w:spacing w:val="6"/>
          <w:w w:val="99"/>
          <w:kern w:val="32"/>
          <w:sz w:val="32"/>
          <w:szCs w:val="32"/>
          <w:highlight w:val="none"/>
        </w:rPr>
        <w:t>区属总公司</w:t>
      </w:r>
      <w:r>
        <w:rPr>
          <w:rFonts w:ascii="Times New Roman" w:hAnsi="Times New Roman" w:eastAsia="仿宋_GB2312"/>
          <w:snapToGrid w:val="0"/>
          <w:color w:val="auto"/>
          <w:spacing w:val="6"/>
          <w:w w:val="99"/>
          <w:kern w:val="32"/>
          <w:sz w:val="32"/>
          <w:szCs w:val="32"/>
          <w:highlight w:val="none"/>
        </w:rPr>
        <w:t>负责项目的审查推荐</w:t>
      </w:r>
      <w:r>
        <w:rPr>
          <w:rFonts w:hint="eastAsia" w:ascii="Times New Roman" w:hAnsi="Times New Roman" w:eastAsia="仿宋_GB2312"/>
          <w:snapToGrid w:val="0"/>
          <w:color w:val="auto"/>
          <w:spacing w:val="6"/>
          <w:w w:val="99"/>
          <w:kern w:val="32"/>
          <w:sz w:val="32"/>
          <w:szCs w:val="32"/>
          <w:highlight w:val="none"/>
        </w:rPr>
        <w:t>，</w:t>
      </w:r>
      <w:r>
        <w:rPr>
          <w:rFonts w:ascii="Times New Roman" w:hAnsi="Times New Roman" w:eastAsia="仿宋_GB2312"/>
          <w:snapToGrid w:val="0"/>
          <w:color w:val="auto"/>
          <w:spacing w:val="6"/>
          <w:w w:val="99"/>
          <w:kern w:val="32"/>
          <w:sz w:val="32"/>
          <w:szCs w:val="32"/>
          <w:highlight w:val="none"/>
        </w:rPr>
        <w:t>对申报单位提交材料的真实性进行核实，对资金使用情况和项目实施进度进行日常监管。</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第</w:t>
      </w:r>
      <w:r>
        <w:rPr>
          <w:rFonts w:hint="eastAsia" w:eastAsia="黑体"/>
          <w:snapToGrid w:val="0"/>
          <w:color w:val="auto"/>
          <w:spacing w:val="6"/>
          <w:w w:val="99"/>
          <w:kern w:val="32"/>
          <w:sz w:val="32"/>
          <w:szCs w:val="32"/>
          <w:highlight w:val="none"/>
          <w:lang w:eastAsia="zh-CN"/>
        </w:rPr>
        <w:t>九</w:t>
      </w:r>
      <w:r>
        <w:rPr>
          <w:rFonts w:ascii="Times New Roman" w:hAnsi="Times New Roman" w:eastAsia="黑体"/>
          <w:snapToGrid w:val="0"/>
          <w:color w:val="auto"/>
          <w:spacing w:val="6"/>
          <w:w w:val="99"/>
          <w:kern w:val="32"/>
          <w:sz w:val="32"/>
          <w:szCs w:val="32"/>
          <w:highlight w:val="none"/>
        </w:rPr>
        <w:t xml:space="preserve">条  </w:t>
      </w:r>
      <w:r>
        <w:rPr>
          <w:rFonts w:hint="eastAsia" w:ascii="Times New Roman" w:hAnsi="Times New Roman" w:eastAsia="仿宋_GB2312"/>
          <w:snapToGrid w:val="0"/>
          <w:color w:val="auto"/>
          <w:spacing w:val="6"/>
          <w:w w:val="99"/>
          <w:kern w:val="32"/>
          <w:sz w:val="32"/>
          <w:szCs w:val="32"/>
          <w:highlight w:val="none"/>
        </w:rPr>
        <w:t>项目申报单位</w:t>
      </w:r>
      <w:r>
        <w:rPr>
          <w:rFonts w:ascii="Times New Roman" w:hAnsi="Times New Roman" w:eastAsia="仿宋_GB2312"/>
          <w:snapToGrid w:val="0"/>
          <w:color w:val="auto"/>
          <w:spacing w:val="6"/>
          <w:w w:val="99"/>
          <w:kern w:val="32"/>
          <w:sz w:val="32"/>
          <w:szCs w:val="32"/>
          <w:highlight w:val="none"/>
        </w:rPr>
        <w:t>应对申报材料的合法性</w:t>
      </w:r>
      <w:r>
        <w:rPr>
          <w:rFonts w:hint="eastAsia" w:ascii="Times New Roman" w:hAnsi="Times New Roman" w:eastAsia="仿宋_GB2312"/>
          <w:snapToGrid w:val="0"/>
          <w:color w:val="auto"/>
          <w:spacing w:val="6"/>
          <w:w w:val="99"/>
          <w:kern w:val="32"/>
          <w:sz w:val="32"/>
          <w:szCs w:val="32"/>
          <w:highlight w:val="none"/>
          <w:lang w:val="en-US" w:eastAsia="zh-CN"/>
        </w:rPr>
        <w:t>和</w:t>
      </w:r>
      <w:r>
        <w:rPr>
          <w:rFonts w:ascii="Times New Roman" w:hAnsi="Times New Roman" w:eastAsia="仿宋_GB2312"/>
          <w:snapToGrid w:val="0"/>
          <w:color w:val="auto"/>
          <w:spacing w:val="6"/>
          <w:w w:val="99"/>
          <w:kern w:val="32"/>
          <w:sz w:val="32"/>
          <w:szCs w:val="32"/>
          <w:highlight w:val="none"/>
        </w:rPr>
        <w:t>真实性负责，严格按照合同签署的建设计划、实施方案和绩效目标实施，严格按照有关财务制度对专项资金实行</w:t>
      </w:r>
      <w:r>
        <w:rPr>
          <w:rFonts w:hint="eastAsia" w:ascii="Times New Roman" w:hAnsi="Times New Roman" w:eastAsia="仿宋_GB2312"/>
          <w:snapToGrid w:val="0"/>
          <w:color w:val="auto"/>
          <w:spacing w:val="6"/>
          <w:w w:val="99"/>
          <w:kern w:val="32"/>
          <w:sz w:val="32"/>
          <w:szCs w:val="32"/>
          <w:highlight w:val="none"/>
        </w:rPr>
        <w:t>单独</w:t>
      </w:r>
      <w:r>
        <w:rPr>
          <w:rFonts w:ascii="Times New Roman" w:hAnsi="Times New Roman" w:eastAsia="仿宋_GB2312"/>
          <w:snapToGrid w:val="0"/>
          <w:color w:val="auto"/>
          <w:spacing w:val="6"/>
          <w:w w:val="99"/>
          <w:kern w:val="32"/>
          <w:sz w:val="32"/>
          <w:szCs w:val="32"/>
          <w:highlight w:val="none"/>
        </w:rPr>
        <w:t>核算，及时反映和纠正存在的问题，按规定开展绩效自评，自觉接受和配合有关部门的监督管理。</w:t>
      </w:r>
    </w:p>
    <w:p>
      <w:pPr>
        <w:autoSpaceDE w:val="0"/>
        <w:autoSpaceDN w:val="0"/>
        <w:adjustRightInd w:val="0"/>
        <w:snapToGrid w:val="0"/>
        <w:spacing w:line="600" w:lineRule="exact"/>
        <w:contextualSpacing/>
        <w:jc w:val="center"/>
        <w:rPr>
          <w:rFonts w:ascii="Times New Roman" w:hAnsi="Times New Roman" w:eastAsia="黑体"/>
          <w:color w:val="auto"/>
          <w:w w:val="99"/>
          <w:sz w:val="32"/>
          <w:szCs w:val="32"/>
          <w:highlight w:val="none"/>
        </w:rPr>
      </w:pPr>
      <w:r>
        <w:rPr>
          <w:rFonts w:hint="eastAsia" w:ascii="Times New Roman" w:hAnsi="Times New Roman" w:eastAsia="黑体"/>
          <w:color w:val="auto"/>
          <w:w w:val="99"/>
          <w:sz w:val="32"/>
          <w:szCs w:val="32"/>
          <w:highlight w:val="none"/>
        </w:rPr>
        <w:t xml:space="preserve">第三章 </w:t>
      </w:r>
      <w:r>
        <w:rPr>
          <w:rFonts w:hint="eastAsia" w:eastAsia="黑体"/>
          <w:color w:val="auto"/>
          <w:w w:val="99"/>
          <w:sz w:val="32"/>
          <w:szCs w:val="32"/>
          <w:highlight w:val="none"/>
          <w:lang w:eastAsia="zh-CN"/>
        </w:rPr>
        <w:t>创新中心</w:t>
      </w:r>
      <w:r>
        <w:rPr>
          <w:rFonts w:hint="eastAsia" w:ascii="Times New Roman" w:hAnsi="Times New Roman" w:eastAsia="黑体"/>
          <w:color w:val="auto"/>
          <w:w w:val="99"/>
          <w:sz w:val="32"/>
          <w:szCs w:val="32"/>
          <w:highlight w:val="none"/>
          <w:lang w:val="en-US" w:eastAsia="zh-CN"/>
        </w:rPr>
        <w:t>支持</w:t>
      </w:r>
      <w:r>
        <w:rPr>
          <w:rFonts w:hint="eastAsia" w:eastAsia="黑体"/>
          <w:color w:val="auto"/>
          <w:w w:val="99"/>
          <w:sz w:val="32"/>
          <w:szCs w:val="32"/>
          <w:highlight w:val="none"/>
          <w:lang w:val="en-US" w:eastAsia="zh-CN"/>
        </w:rPr>
        <w:t>方向、</w:t>
      </w:r>
      <w:r>
        <w:rPr>
          <w:rFonts w:hint="eastAsia" w:ascii="Times New Roman" w:hAnsi="Times New Roman" w:eastAsia="黑体"/>
          <w:color w:val="auto"/>
          <w:w w:val="99"/>
          <w:sz w:val="32"/>
          <w:szCs w:val="32"/>
          <w:highlight w:val="none"/>
          <w:lang w:val="en-US" w:eastAsia="zh-CN"/>
        </w:rPr>
        <w:t>条件及</w:t>
      </w:r>
      <w:r>
        <w:rPr>
          <w:rFonts w:hint="eastAsia" w:eastAsia="黑体"/>
          <w:color w:val="auto"/>
          <w:w w:val="99"/>
          <w:sz w:val="32"/>
          <w:szCs w:val="32"/>
          <w:highlight w:val="none"/>
          <w:lang w:val="en-US" w:eastAsia="zh-CN"/>
        </w:rPr>
        <w:t>标准</w:t>
      </w:r>
    </w:p>
    <w:p>
      <w:pPr>
        <w:autoSpaceDE w:val="0"/>
        <w:autoSpaceDN w:val="0"/>
        <w:adjustRightInd w:val="0"/>
        <w:snapToGrid w:val="0"/>
        <w:spacing w:line="600" w:lineRule="exact"/>
        <w:ind w:firstLine="656" w:firstLineChars="200"/>
        <w:rPr>
          <w:rFonts w:ascii="Times New Roman" w:hAnsi="Times New Roman" w:eastAsia="黑体"/>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 xml:space="preserve">第十条 </w:t>
      </w:r>
      <w:r>
        <w:rPr>
          <w:rFonts w:ascii="Times New Roman" w:hAnsi="Times New Roman" w:eastAsia="仿宋_GB2312"/>
          <w:snapToGrid w:val="0"/>
          <w:color w:val="auto"/>
          <w:spacing w:val="6"/>
          <w:w w:val="99"/>
          <w:kern w:val="32"/>
          <w:sz w:val="32"/>
          <w:szCs w:val="32"/>
          <w:highlight w:val="none"/>
        </w:rPr>
        <w:t xml:space="preserve"> 专项资金支持区内创新中心和区外创新中心</w:t>
      </w:r>
      <w:r>
        <w:rPr>
          <w:rFonts w:hint="eastAsia" w:eastAsia="仿宋_GB2312"/>
          <w:snapToGrid w:val="0"/>
          <w:color w:val="auto"/>
          <w:spacing w:val="6"/>
          <w:w w:val="99"/>
          <w:kern w:val="32"/>
          <w:sz w:val="32"/>
          <w:szCs w:val="32"/>
          <w:highlight w:val="none"/>
          <w:lang w:eastAsia="zh-CN"/>
        </w:rPr>
        <w:t>建设</w:t>
      </w:r>
      <w:r>
        <w:rPr>
          <w:rFonts w:hint="eastAsia" w:ascii="Times New Roman" w:hAnsi="Times New Roman" w:eastAsia="仿宋_GB2312"/>
          <w:snapToGrid w:val="0"/>
          <w:color w:val="auto"/>
          <w:spacing w:val="6"/>
          <w:w w:val="99"/>
          <w:kern w:val="32"/>
          <w:sz w:val="32"/>
          <w:szCs w:val="32"/>
          <w:highlight w:val="none"/>
        </w:rPr>
        <w:t>：</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（一）区内创新中心主要</w:t>
      </w:r>
      <w:r>
        <w:rPr>
          <w:rFonts w:hint="eastAsia" w:ascii="Times New Roman" w:hAnsi="Times New Roman" w:eastAsia="仿宋_GB2312"/>
          <w:snapToGrid w:val="0"/>
          <w:color w:val="auto"/>
          <w:spacing w:val="6"/>
          <w:w w:val="99"/>
          <w:kern w:val="32"/>
          <w:sz w:val="32"/>
          <w:szCs w:val="32"/>
          <w:highlight w:val="none"/>
        </w:rPr>
        <w:t>由</w:t>
      </w:r>
      <w:r>
        <w:rPr>
          <w:rFonts w:ascii="Times New Roman" w:hAnsi="Times New Roman" w:eastAsia="仿宋_GB2312"/>
          <w:snapToGrid w:val="0"/>
          <w:color w:val="auto"/>
          <w:spacing w:val="6"/>
          <w:w w:val="99"/>
          <w:kern w:val="32"/>
          <w:sz w:val="32"/>
          <w:szCs w:val="32"/>
          <w:highlight w:val="none"/>
        </w:rPr>
        <w:t>区内综合实力和创新能力较强的科技型企业</w:t>
      </w:r>
      <w:r>
        <w:rPr>
          <w:rFonts w:hint="eastAsia" w:ascii="Times New Roman" w:hAnsi="Times New Roman" w:eastAsia="仿宋_GB2312"/>
          <w:snapToGrid w:val="0"/>
          <w:color w:val="auto"/>
          <w:spacing w:val="6"/>
          <w:w w:val="99"/>
          <w:kern w:val="32"/>
          <w:sz w:val="32"/>
          <w:szCs w:val="32"/>
          <w:highlight w:val="none"/>
        </w:rPr>
        <w:t>牵头，联合高校、科研院所或产业链上下游企业合作共建</w:t>
      </w:r>
      <w:r>
        <w:rPr>
          <w:rFonts w:ascii="Times New Roman" w:hAnsi="Times New Roman" w:eastAsia="仿宋_GB2312"/>
          <w:snapToGrid w:val="0"/>
          <w:color w:val="auto"/>
          <w:spacing w:val="6"/>
          <w:w w:val="99"/>
          <w:kern w:val="32"/>
          <w:sz w:val="32"/>
          <w:szCs w:val="32"/>
          <w:highlight w:val="none"/>
        </w:rPr>
        <w:t>，</w:t>
      </w:r>
      <w:r>
        <w:rPr>
          <w:rFonts w:hint="eastAsia" w:ascii="Times New Roman" w:hAnsi="Times New Roman" w:eastAsia="仿宋_GB2312"/>
          <w:snapToGrid w:val="0"/>
          <w:color w:val="auto"/>
          <w:spacing w:val="6"/>
          <w:w w:val="99"/>
          <w:kern w:val="32"/>
          <w:sz w:val="32"/>
          <w:szCs w:val="32"/>
          <w:highlight w:val="none"/>
          <w:lang w:val="en-US" w:eastAsia="zh-CN"/>
        </w:rPr>
        <w:t>主要</w:t>
      </w:r>
      <w:r>
        <w:rPr>
          <w:rFonts w:ascii="Times New Roman" w:hAnsi="Times New Roman" w:eastAsia="仿宋_GB2312"/>
          <w:snapToGrid w:val="0"/>
          <w:color w:val="auto"/>
          <w:spacing w:val="6"/>
          <w:w w:val="99"/>
          <w:kern w:val="32"/>
          <w:sz w:val="32"/>
          <w:szCs w:val="32"/>
          <w:highlight w:val="none"/>
        </w:rPr>
        <w:t>开展关键共性技术攻关、技术转移、成果转化、</w:t>
      </w:r>
      <w:r>
        <w:rPr>
          <w:rFonts w:hint="eastAsia" w:ascii="Times New Roman" w:hAnsi="Times New Roman" w:eastAsia="仿宋_GB2312"/>
          <w:snapToGrid w:val="0"/>
          <w:color w:val="auto"/>
          <w:spacing w:val="6"/>
          <w:w w:val="99"/>
          <w:kern w:val="32"/>
          <w:sz w:val="32"/>
          <w:szCs w:val="32"/>
          <w:highlight w:val="none"/>
          <w:lang w:val="en-US" w:eastAsia="zh-CN"/>
        </w:rPr>
        <w:t>检验检测、</w:t>
      </w:r>
      <w:r>
        <w:rPr>
          <w:rFonts w:ascii="Times New Roman" w:hAnsi="Times New Roman" w:eastAsia="仿宋_GB2312"/>
          <w:snapToGrid w:val="0"/>
          <w:color w:val="auto"/>
          <w:spacing w:val="6"/>
          <w:w w:val="99"/>
          <w:kern w:val="32"/>
          <w:sz w:val="32"/>
          <w:szCs w:val="32"/>
          <w:highlight w:val="none"/>
        </w:rPr>
        <w:t>创业孵化、人才培养等科技创新活动。</w:t>
      </w:r>
    </w:p>
    <w:p>
      <w:pPr>
        <w:autoSpaceDE w:val="0"/>
        <w:autoSpaceDN w:val="0"/>
        <w:adjustRightInd w:val="0"/>
        <w:snapToGrid w:val="0"/>
        <w:spacing w:line="600" w:lineRule="exact"/>
        <w:ind w:firstLine="656" w:firstLineChars="200"/>
        <w:contextualSpacing/>
        <w:rPr>
          <w:rFonts w:ascii="Times New Roman" w:hAnsi="Times New Roman" w:eastAsia="仿宋"/>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（二）区外创新中心主要依托国内双一流大学、广东省高水平建设大学、中科院直属单位</w:t>
      </w:r>
      <w:r>
        <w:rPr>
          <w:rFonts w:hint="eastAsia" w:ascii="Times New Roman" w:hAnsi="Times New Roman" w:eastAsia="仿宋_GB2312"/>
          <w:snapToGrid w:val="0"/>
          <w:color w:val="auto"/>
          <w:spacing w:val="6"/>
          <w:w w:val="99"/>
          <w:kern w:val="32"/>
          <w:sz w:val="32"/>
          <w:szCs w:val="32"/>
          <w:highlight w:val="none"/>
        </w:rPr>
        <w:t>、</w:t>
      </w:r>
      <w:r>
        <w:rPr>
          <w:rFonts w:ascii="Times New Roman" w:hAnsi="Times New Roman" w:eastAsia="仿宋_GB2312"/>
          <w:snapToGrid w:val="0"/>
          <w:color w:val="auto"/>
          <w:spacing w:val="6"/>
          <w:w w:val="99"/>
          <w:kern w:val="32"/>
          <w:sz w:val="32"/>
          <w:szCs w:val="32"/>
          <w:highlight w:val="none"/>
        </w:rPr>
        <w:t>企业的国家级或省级重点实验室、研究中心等区外科研机构建设，面向产业发展需求提供关键领域共性技术攻关、成果转化、科技咨询等科技创新服务。</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 xml:space="preserve">第十一条  </w:t>
      </w:r>
      <w:r>
        <w:rPr>
          <w:rFonts w:ascii="Times New Roman" w:hAnsi="Times New Roman" w:eastAsia="仿宋_GB2312"/>
          <w:snapToGrid w:val="0"/>
          <w:color w:val="auto"/>
          <w:spacing w:val="6"/>
          <w:w w:val="99"/>
          <w:kern w:val="32"/>
          <w:sz w:val="32"/>
          <w:szCs w:val="32"/>
          <w:highlight w:val="none"/>
        </w:rPr>
        <w:t>区内创新中心认定须具备以下条件：</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（一）在我区注册，具备独立法人资格。</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（二）具备进行研发、设计、试验、测试等所需的仪器、设备和固定办公、科研场所等条件。申请认定时的研发设备原值不低于300万元，所购设备与申报的研发方向一致。</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（三）创新中心拥有高水平的研发团队，全时全职研发人员总数不少于15人，其中本科以上学历者不低于80%，非全职研发人员每年在创新中心的工作时间不少于3个月。</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（四）具有明确的研发方向和清晰的发展战略，具备技术攻关、成果转化、技术服务的能力</w:t>
      </w:r>
      <w:r>
        <w:rPr>
          <w:rFonts w:hint="eastAsia" w:ascii="Times New Roman" w:hAnsi="Times New Roman" w:eastAsia="仿宋_GB2312"/>
          <w:snapToGrid w:val="0"/>
          <w:color w:val="auto"/>
          <w:spacing w:val="6"/>
          <w:w w:val="99"/>
          <w:kern w:val="32"/>
          <w:sz w:val="32"/>
          <w:szCs w:val="32"/>
          <w:highlight w:val="none"/>
        </w:rPr>
        <w:t>，已与</w:t>
      </w:r>
      <w:r>
        <w:rPr>
          <w:rFonts w:ascii="Times New Roman" w:hAnsi="Times New Roman" w:eastAsia="仿宋_GB2312"/>
          <w:snapToGrid w:val="0"/>
          <w:color w:val="auto"/>
          <w:spacing w:val="6"/>
          <w:w w:val="99"/>
          <w:kern w:val="32"/>
          <w:sz w:val="32"/>
          <w:szCs w:val="32"/>
          <w:highlight w:val="none"/>
        </w:rPr>
        <w:t>高校</w:t>
      </w:r>
      <w:r>
        <w:rPr>
          <w:rFonts w:hint="eastAsia" w:ascii="Times New Roman" w:hAnsi="Times New Roman" w:eastAsia="仿宋_GB2312"/>
          <w:snapToGrid w:val="0"/>
          <w:color w:val="auto"/>
          <w:spacing w:val="6"/>
          <w:w w:val="99"/>
          <w:kern w:val="32"/>
          <w:sz w:val="32"/>
          <w:szCs w:val="32"/>
          <w:highlight w:val="none"/>
        </w:rPr>
        <w:t>、</w:t>
      </w:r>
      <w:r>
        <w:rPr>
          <w:rFonts w:ascii="Times New Roman" w:hAnsi="Times New Roman" w:eastAsia="仿宋_GB2312"/>
          <w:snapToGrid w:val="0"/>
          <w:color w:val="auto"/>
          <w:spacing w:val="6"/>
          <w:w w:val="99"/>
          <w:kern w:val="32"/>
          <w:sz w:val="32"/>
          <w:szCs w:val="32"/>
          <w:highlight w:val="none"/>
        </w:rPr>
        <w:t>科研院所</w:t>
      </w:r>
      <w:r>
        <w:rPr>
          <w:rFonts w:hint="eastAsia" w:ascii="Times New Roman" w:hAnsi="Times New Roman" w:eastAsia="仿宋_GB2312"/>
          <w:snapToGrid w:val="0"/>
          <w:color w:val="auto"/>
          <w:spacing w:val="6"/>
          <w:w w:val="99"/>
          <w:kern w:val="32"/>
          <w:sz w:val="32"/>
          <w:szCs w:val="32"/>
          <w:highlight w:val="none"/>
        </w:rPr>
        <w:t>或</w:t>
      </w:r>
      <w:r>
        <w:rPr>
          <w:rFonts w:ascii="Times New Roman" w:hAnsi="Times New Roman" w:eastAsia="仿宋_GB2312"/>
          <w:snapToGrid w:val="0"/>
          <w:color w:val="auto"/>
          <w:spacing w:val="6"/>
          <w:w w:val="99"/>
          <w:kern w:val="32"/>
          <w:sz w:val="32"/>
          <w:szCs w:val="32"/>
          <w:highlight w:val="none"/>
        </w:rPr>
        <w:t>企业等</w:t>
      </w:r>
      <w:r>
        <w:rPr>
          <w:rFonts w:hint="eastAsia" w:ascii="Times New Roman" w:hAnsi="Times New Roman" w:eastAsia="仿宋_GB2312"/>
          <w:snapToGrid w:val="0"/>
          <w:color w:val="auto"/>
          <w:spacing w:val="6"/>
          <w:w w:val="99"/>
          <w:kern w:val="32"/>
          <w:sz w:val="32"/>
          <w:szCs w:val="32"/>
          <w:highlight w:val="none"/>
        </w:rPr>
        <w:t>签订多方共建协议</w:t>
      </w:r>
      <w:r>
        <w:rPr>
          <w:rFonts w:ascii="Times New Roman" w:hAnsi="Times New Roman" w:eastAsia="仿宋_GB2312"/>
          <w:snapToGrid w:val="0"/>
          <w:color w:val="auto"/>
          <w:spacing w:val="6"/>
          <w:w w:val="99"/>
          <w:kern w:val="32"/>
          <w:sz w:val="32"/>
          <w:szCs w:val="32"/>
          <w:highlight w:val="none"/>
        </w:rPr>
        <w:t>。</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hint="eastAsia" w:ascii="Times New Roman" w:hAnsi="Times New Roman" w:eastAsia="仿宋_GB2312"/>
          <w:snapToGrid w:val="0"/>
          <w:color w:val="auto"/>
          <w:spacing w:val="6"/>
          <w:w w:val="99"/>
          <w:kern w:val="32"/>
          <w:sz w:val="32"/>
          <w:szCs w:val="32"/>
          <w:highlight w:val="none"/>
        </w:rPr>
        <w:t>（五）</w:t>
      </w:r>
      <w:r>
        <w:rPr>
          <w:rFonts w:ascii="Times New Roman" w:hAnsi="Times New Roman" w:eastAsia="仿宋_GB2312"/>
          <w:snapToGrid w:val="0"/>
          <w:color w:val="auto"/>
          <w:spacing w:val="6"/>
          <w:w w:val="99"/>
          <w:kern w:val="32"/>
          <w:sz w:val="32"/>
          <w:szCs w:val="32"/>
          <w:highlight w:val="none"/>
        </w:rPr>
        <w:t>内部机构设置合理，分工明确，管理模式高效,建立了现代科研机构管理制度、科研项目管理制度、科研经费财务核算制度。</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hint="eastAsia" w:ascii="Times New Roman" w:hAnsi="Times New Roman" w:eastAsia="仿宋_GB2312"/>
          <w:snapToGrid w:val="0"/>
          <w:color w:val="auto"/>
          <w:spacing w:val="6"/>
          <w:w w:val="99"/>
          <w:kern w:val="32"/>
          <w:sz w:val="32"/>
          <w:szCs w:val="32"/>
          <w:highlight w:val="none"/>
        </w:rPr>
        <w:t>（六）创新中心牵头单位经营状况、信用状况良好，申报前一年度营业收入达到</w:t>
      </w:r>
      <w:r>
        <w:rPr>
          <w:rFonts w:ascii="Times New Roman" w:hAnsi="Times New Roman" w:eastAsia="仿宋_GB2312"/>
          <w:snapToGrid w:val="0"/>
          <w:color w:val="auto"/>
          <w:spacing w:val="6"/>
          <w:w w:val="99"/>
          <w:kern w:val="32"/>
          <w:sz w:val="32"/>
          <w:szCs w:val="32"/>
          <w:highlight w:val="none"/>
        </w:rPr>
        <w:t xml:space="preserve">5000 </w:t>
      </w:r>
      <w:r>
        <w:rPr>
          <w:rFonts w:hint="eastAsia" w:ascii="Times New Roman" w:hAnsi="Times New Roman" w:eastAsia="仿宋_GB2312"/>
          <w:snapToGrid w:val="0"/>
          <w:color w:val="auto"/>
          <w:spacing w:val="6"/>
          <w:w w:val="99"/>
          <w:kern w:val="32"/>
          <w:sz w:val="32"/>
          <w:szCs w:val="32"/>
          <w:highlight w:val="none"/>
        </w:rPr>
        <w:t>万元以上或近三年营业收入增长</w:t>
      </w:r>
      <w:r>
        <w:rPr>
          <w:rFonts w:ascii="Times New Roman" w:hAnsi="Times New Roman" w:eastAsia="仿宋_GB2312"/>
          <w:snapToGrid w:val="0"/>
          <w:color w:val="auto"/>
          <w:spacing w:val="6"/>
          <w:w w:val="99"/>
          <w:kern w:val="32"/>
          <w:sz w:val="32"/>
          <w:szCs w:val="32"/>
          <w:highlight w:val="none"/>
        </w:rPr>
        <w:t>15%</w:t>
      </w:r>
      <w:r>
        <w:rPr>
          <w:rFonts w:hint="eastAsia" w:ascii="Times New Roman" w:hAnsi="Times New Roman" w:eastAsia="仿宋_GB2312"/>
          <w:snapToGrid w:val="0"/>
          <w:color w:val="auto"/>
          <w:spacing w:val="6"/>
          <w:w w:val="99"/>
          <w:kern w:val="32"/>
          <w:sz w:val="32"/>
          <w:szCs w:val="32"/>
          <w:highlight w:val="none"/>
        </w:rPr>
        <w:t>以上，并具备省级以上工程技术研究中心资质。</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w:t>
      </w:r>
      <w:r>
        <w:rPr>
          <w:rFonts w:hint="eastAsia" w:ascii="Times New Roman" w:hAnsi="Times New Roman" w:eastAsia="仿宋_GB2312"/>
          <w:snapToGrid w:val="0"/>
          <w:color w:val="auto"/>
          <w:spacing w:val="6"/>
          <w:w w:val="99"/>
          <w:kern w:val="32"/>
          <w:sz w:val="32"/>
          <w:szCs w:val="32"/>
          <w:highlight w:val="none"/>
        </w:rPr>
        <w:t>七</w:t>
      </w:r>
      <w:r>
        <w:rPr>
          <w:rFonts w:ascii="Times New Roman" w:hAnsi="Times New Roman" w:eastAsia="仿宋_GB2312"/>
          <w:snapToGrid w:val="0"/>
          <w:color w:val="auto"/>
          <w:spacing w:val="6"/>
          <w:w w:val="99"/>
          <w:kern w:val="32"/>
          <w:sz w:val="32"/>
          <w:szCs w:val="32"/>
          <w:highlight w:val="none"/>
        </w:rPr>
        <w:t>）针对我区重点产业关键技术、共性技术、重大技术需求提出技术攻关或成果产业化方案，经专家论证方案切实可行。</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w:t>
      </w:r>
      <w:r>
        <w:rPr>
          <w:rFonts w:hint="eastAsia" w:ascii="Times New Roman" w:hAnsi="Times New Roman" w:eastAsia="仿宋_GB2312"/>
          <w:snapToGrid w:val="0"/>
          <w:color w:val="auto"/>
          <w:spacing w:val="6"/>
          <w:w w:val="99"/>
          <w:kern w:val="32"/>
          <w:sz w:val="32"/>
          <w:szCs w:val="32"/>
          <w:highlight w:val="none"/>
        </w:rPr>
        <w:t>八</w:t>
      </w:r>
      <w:r>
        <w:rPr>
          <w:rFonts w:ascii="Times New Roman" w:hAnsi="Times New Roman" w:eastAsia="仿宋_GB2312"/>
          <w:snapToGrid w:val="0"/>
          <w:color w:val="auto"/>
          <w:spacing w:val="6"/>
          <w:w w:val="99"/>
          <w:kern w:val="32"/>
          <w:sz w:val="32"/>
          <w:szCs w:val="32"/>
          <w:highlight w:val="none"/>
        </w:rPr>
        <w:t>）因违反安全、环保等法律法规受到行政处罚未满三年的企业，不纳入申报范围。</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第十</w:t>
      </w:r>
      <w:r>
        <w:rPr>
          <w:rFonts w:hint="eastAsia" w:eastAsia="黑体"/>
          <w:snapToGrid w:val="0"/>
          <w:color w:val="auto"/>
          <w:spacing w:val="6"/>
          <w:w w:val="99"/>
          <w:kern w:val="32"/>
          <w:sz w:val="32"/>
          <w:szCs w:val="32"/>
          <w:highlight w:val="none"/>
          <w:lang w:eastAsia="zh-CN"/>
        </w:rPr>
        <w:t>二</w:t>
      </w:r>
      <w:r>
        <w:rPr>
          <w:rFonts w:ascii="Times New Roman" w:hAnsi="Times New Roman" w:eastAsia="黑体"/>
          <w:snapToGrid w:val="0"/>
          <w:color w:val="auto"/>
          <w:spacing w:val="6"/>
          <w:w w:val="99"/>
          <w:kern w:val="32"/>
          <w:sz w:val="32"/>
          <w:szCs w:val="32"/>
          <w:highlight w:val="none"/>
        </w:rPr>
        <w:t xml:space="preserve">条  </w:t>
      </w:r>
      <w:r>
        <w:rPr>
          <w:rFonts w:ascii="Times New Roman" w:hAnsi="Times New Roman" w:eastAsia="仿宋_GB2312"/>
          <w:snapToGrid w:val="0"/>
          <w:color w:val="auto"/>
          <w:spacing w:val="6"/>
          <w:w w:val="99"/>
          <w:kern w:val="32"/>
          <w:sz w:val="32"/>
          <w:szCs w:val="32"/>
          <w:highlight w:val="none"/>
        </w:rPr>
        <w:t>区外创新中心认定须具备以下条件：</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（一）在我区注册</w:t>
      </w:r>
      <w:r>
        <w:rPr>
          <w:rFonts w:hint="eastAsia" w:ascii="Times New Roman" w:hAnsi="Times New Roman" w:eastAsia="仿宋_GB2312"/>
          <w:snapToGrid w:val="0"/>
          <w:color w:val="auto"/>
          <w:spacing w:val="6"/>
          <w:w w:val="99"/>
          <w:kern w:val="32"/>
          <w:sz w:val="32"/>
          <w:szCs w:val="32"/>
          <w:highlight w:val="none"/>
        </w:rPr>
        <w:t>，</w:t>
      </w:r>
      <w:r>
        <w:rPr>
          <w:rFonts w:ascii="Times New Roman" w:hAnsi="Times New Roman" w:eastAsia="仿宋_GB2312"/>
          <w:snapToGrid w:val="0"/>
          <w:color w:val="auto"/>
          <w:spacing w:val="6"/>
          <w:w w:val="99"/>
          <w:kern w:val="32"/>
          <w:sz w:val="32"/>
          <w:szCs w:val="32"/>
          <w:highlight w:val="none"/>
        </w:rPr>
        <w:t>具备独立法人资格</w:t>
      </w:r>
      <w:r>
        <w:rPr>
          <w:rFonts w:hint="eastAsia" w:ascii="Times New Roman" w:hAnsi="Times New Roman" w:eastAsia="仿宋_GB2312"/>
          <w:snapToGrid w:val="0"/>
          <w:color w:val="auto"/>
          <w:spacing w:val="6"/>
          <w:w w:val="99"/>
          <w:kern w:val="32"/>
          <w:sz w:val="32"/>
          <w:szCs w:val="32"/>
          <w:highlight w:val="none"/>
        </w:rPr>
        <w:t>。有专员在我区常驻，</w:t>
      </w:r>
      <w:r>
        <w:rPr>
          <w:rFonts w:ascii="Times New Roman" w:hAnsi="Times New Roman" w:eastAsia="仿宋_GB2312"/>
          <w:snapToGrid w:val="0"/>
          <w:color w:val="auto"/>
          <w:spacing w:val="6"/>
          <w:w w:val="99"/>
          <w:kern w:val="32"/>
          <w:sz w:val="32"/>
          <w:szCs w:val="32"/>
          <w:highlight w:val="none"/>
        </w:rPr>
        <w:t>在依托单位和我区均设有专门的办公场所。</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（二）</w:t>
      </w:r>
      <w:r>
        <w:rPr>
          <w:rFonts w:hint="eastAsia" w:ascii="Times New Roman" w:hAnsi="Times New Roman" w:eastAsia="仿宋_GB2312"/>
          <w:snapToGrid w:val="0"/>
          <w:color w:val="auto"/>
          <w:spacing w:val="6"/>
          <w:w w:val="99"/>
          <w:kern w:val="32"/>
          <w:sz w:val="32"/>
          <w:szCs w:val="32"/>
          <w:highlight w:val="none"/>
        </w:rPr>
        <w:t>依托</w:t>
      </w:r>
      <w:r>
        <w:rPr>
          <w:rFonts w:ascii="Times New Roman" w:hAnsi="Times New Roman" w:eastAsia="仿宋_GB2312"/>
          <w:snapToGrid w:val="0"/>
          <w:color w:val="auto"/>
          <w:spacing w:val="6"/>
          <w:w w:val="99"/>
          <w:kern w:val="32"/>
          <w:sz w:val="32"/>
          <w:szCs w:val="32"/>
          <w:highlight w:val="none"/>
        </w:rPr>
        <w:t>单位拥有高水平的研究团队，参与</w:t>
      </w:r>
      <w:r>
        <w:rPr>
          <w:rFonts w:hint="eastAsia" w:ascii="Times New Roman" w:hAnsi="Times New Roman" w:eastAsia="仿宋_GB2312"/>
          <w:snapToGrid w:val="0"/>
          <w:color w:val="auto"/>
          <w:spacing w:val="6"/>
          <w:w w:val="99"/>
          <w:kern w:val="32"/>
          <w:sz w:val="32"/>
          <w:szCs w:val="32"/>
          <w:highlight w:val="none"/>
        </w:rPr>
        <w:t>创新中心</w:t>
      </w:r>
      <w:r>
        <w:rPr>
          <w:rFonts w:ascii="Times New Roman" w:hAnsi="Times New Roman" w:eastAsia="仿宋_GB2312"/>
          <w:snapToGrid w:val="0"/>
          <w:color w:val="auto"/>
          <w:spacing w:val="6"/>
          <w:w w:val="99"/>
          <w:kern w:val="32"/>
          <w:sz w:val="32"/>
          <w:szCs w:val="32"/>
          <w:highlight w:val="none"/>
        </w:rPr>
        <w:t>建设的研发人员总数不少于</w:t>
      </w:r>
      <w:r>
        <w:rPr>
          <w:rFonts w:hint="eastAsia" w:ascii="Times New Roman" w:hAnsi="Times New Roman" w:eastAsia="仿宋_GB2312"/>
          <w:snapToGrid w:val="0"/>
          <w:color w:val="auto"/>
          <w:spacing w:val="6"/>
          <w:w w:val="99"/>
          <w:kern w:val="32"/>
          <w:sz w:val="32"/>
          <w:szCs w:val="32"/>
          <w:highlight w:val="none"/>
        </w:rPr>
        <w:t>15</w:t>
      </w:r>
      <w:r>
        <w:rPr>
          <w:rFonts w:ascii="Times New Roman" w:hAnsi="Times New Roman" w:eastAsia="仿宋_GB2312"/>
          <w:snapToGrid w:val="0"/>
          <w:color w:val="auto"/>
          <w:spacing w:val="6"/>
          <w:w w:val="99"/>
          <w:kern w:val="32"/>
          <w:sz w:val="32"/>
          <w:szCs w:val="32"/>
          <w:highlight w:val="none"/>
        </w:rPr>
        <w:t>人，其中高级职称不少于</w:t>
      </w:r>
      <w:r>
        <w:rPr>
          <w:rFonts w:hint="eastAsia" w:ascii="Times New Roman" w:hAnsi="Times New Roman" w:eastAsia="仿宋_GB2312"/>
          <w:snapToGrid w:val="0"/>
          <w:color w:val="auto"/>
          <w:spacing w:val="6"/>
          <w:w w:val="99"/>
          <w:kern w:val="32"/>
          <w:sz w:val="32"/>
          <w:szCs w:val="32"/>
          <w:highlight w:val="none"/>
        </w:rPr>
        <w:t>5人</w:t>
      </w:r>
      <w:r>
        <w:rPr>
          <w:rFonts w:ascii="Times New Roman" w:hAnsi="Times New Roman" w:eastAsia="仿宋_GB2312"/>
          <w:snapToGrid w:val="0"/>
          <w:color w:val="auto"/>
          <w:spacing w:val="6"/>
          <w:w w:val="99"/>
          <w:kern w:val="32"/>
          <w:sz w:val="32"/>
          <w:szCs w:val="32"/>
          <w:highlight w:val="none"/>
        </w:rPr>
        <w:t>，具备较好的成果转化和企业孵化能力。</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（三）</w:t>
      </w:r>
      <w:r>
        <w:rPr>
          <w:rFonts w:hint="eastAsia" w:ascii="Times New Roman" w:hAnsi="Times New Roman" w:eastAsia="仿宋_GB2312"/>
          <w:snapToGrid w:val="0"/>
          <w:color w:val="auto"/>
          <w:spacing w:val="6"/>
          <w:w w:val="99"/>
          <w:kern w:val="32"/>
          <w:sz w:val="32"/>
          <w:szCs w:val="32"/>
          <w:highlight w:val="none"/>
        </w:rPr>
        <w:t>创新中心</w:t>
      </w:r>
      <w:r>
        <w:rPr>
          <w:rFonts w:ascii="Times New Roman" w:hAnsi="Times New Roman" w:eastAsia="仿宋_GB2312"/>
          <w:snapToGrid w:val="0"/>
          <w:color w:val="auto"/>
          <w:spacing w:val="6"/>
          <w:w w:val="99"/>
          <w:kern w:val="32"/>
          <w:sz w:val="32"/>
          <w:szCs w:val="32"/>
          <w:highlight w:val="none"/>
        </w:rPr>
        <w:t>建设目标明确，研发方向符合我区经济社会发展、战略性新兴产业培育的需求，能够解决行业或经济社会发展的关键共性技术问题。</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（四）具备良好的运行机制，内部机构设置合理，规章制度健全，管理模式高效。</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hint="eastAsia" w:ascii="Times New Roman" w:hAnsi="Times New Roman" w:eastAsia="仿宋_GB2312"/>
          <w:snapToGrid w:val="0"/>
          <w:color w:val="auto"/>
          <w:spacing w:val="6"/>
          <w:w w:val="99"/>
          <w:kern w:val="32"/>
          <w:sz w:val="32"/>
          <w:szCs w:val="32"/>
          <w:highlight w:val="none"/>
        </w:rPr>
        <w:t>（五）依托单位需与区内的行业协会、产业联盟或企业联合申报，技术攻关项目可实现成果产业化。</w:t>
      </w:r>
    </w:p>
    <w:p>
      <w:pPr>
        <w:autoSpaceDE w:val="0"/>
        <w:autoSpaceDN w:val="0"/>
        <w:adjustRightInd w:val="0"/>
        <w:snapToGrid w:val="0"/>
        <w:spacing w:line="600" w:lineRule="exact"/>
        <w:ind w:firstLine="656" w:firstLineChars="20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w:t>
      </w:r>
      <w:r>
        <w:rPr>
          <w:rFonts w:hint="eastAsia" w:ascii="Times New Roman" w:hAnsi="Times New Roman" w:eastAsia="仿宋_GB2312"/>
          <w:snapToGrid w:val="0"/>
          <w:color w:val="auto"/>
          <w:spacing w:val="6"/>
          <w:w w:val="99"/>
          <w:kern w:val="32"/>
          <w:sz w:val="32"/>
          <w:szCs w:val="32"/>
          <w:highlight w:val="none"/>
        </w:rPr>
        <w:t>六</w:t>
      </w:r>
      <w:r>
        <w:rPr>
          <w:rFonts w:ascii="Times New Roman" w:hAnsi="Times New Roman" w:eastAsia="仿宋_GB2312"/>
          <w:snapToGrid w:val="0"/>
          <w:color w:val="auto"/>
          <w:spacing w:val="6"/>
          <w:w w:val="99"/>
          <w:kern w:val="32"/>
          <w:sz w:val="32"/>
          <w:szCs w:val="32"/>
          <w:highlight w:val="none"/>
        </w:rPr>
        <w:t>）依托单位与区管委会或区经科局已签订科技合作框架协议，针对我区重点产业关键技术、共性技术、重大技术需求提出技术攻关方案，经专家论证方案切实可行。</w:t>
      </w:r>
    </w:p>
    <w:p>
      <w:pPr>
        <w:spacing w:line="600" w:lineRule="exact"/>
        <w:ind w:firstLine="656" w:firstLineChars="200"/>
        <w:contextualSpacing/>
        <w:rPr>
          <w:rFonts w:ascii="Times New Roman" w:hAnsi="Times New Roman" w:eastAsia="黑体"/>
          <w:snapToGrid w:val="0"/>
          <w:color w:val="auto"/>
          <w:spacing w:val="6"/>
          <w:w w:val="99"/>
          <w:kern w:val="32"/>
          <w:sz w:val="32"/>
          <w:szCs w:val="32"/>
          <w:highlight w:val="none"/>
        </w:rPr>
      </w:pPr>
      <w:r>
        <w:rPr>
          <w:rFonts w:hint="eastAsia" w:ascii="Times New Roman" w:hAnsi="Times New Roman" w:eastAsia="黑体"/>
          <w:snapToGrid w:val="0"/>
          <w:color w:val="auto"/>
          <w:spacing w:val="6"/>
          <w:w w:val="99"/>
          <w:kern w:val="32"/>
          <w:sz w:val="32"/>
          <w:szCs w:val="32"/>
          <w:highlight w:val="none"/>
        </w:rPr>
        <w:t>第十</w:t>
      </w:r>
      <w:r>
        <w:rPr>
          <w:rFonts w:hint="eastAsia" w:eastAsia="黑体"/>
          <w:snapToGrid w:val="0"/>
          <w:color w:val="auto"/>
          <w:spacing w:val="6"/>
          <w:w w:val="99"/>
          <w:kern w:val="32"/>
          <w:sz w:val="32"/>
          <w:szCs w:val="32"/>
          <w:highlight w:val="none"/>
          <w:lang w:eastAsia="zh-CN"/>
        </w:rPr>
        <w:t>三</w:t>
      </w:r>
      <w:r>
        <w:rPr>
          <w:rFonts w:hint="eastAsia" w:ascii="Times New Roman" w:hAnsi="Times New Roman" w:eastAsia="黑体"/>
          <w:snapToGrid w:val="0"/>
          <w:color w:val="auto"/>
          <w:spacing w:val="6"/>
          <w:w w:val="99"/>
          <w:kern w:val="32"/>
          <w:sz w:val="32"/>
          <w:szCs w:val="32"/>
          <w:highlight w:val="none"/>
        </w:rPr>
        <w:t xml:space="preserve">条  </w:t>
      </w:r>
      <w:r>
        <w:rPr>
          <w:rFonts w:ascii="Times New Roman" w:hAnsi="Times New Roman" w:eastAsia="仿宋"/>
          <w:color w:val="auto"/>
          <w:w w:val="99"/>
          <w:sz w:val="32"/>
          <w:szCs w:val="32"/>
          <w:highlight w:val="none"/>
        </w:rPr>
        <w:t>创新中心扶持标准如下：</w:t>
      </w:r>
    </w:p>
    <w:p>
      <w:pPr>
        <w:autoSpaceDE w:val="0"/>
        <w:autoSpaceDN w:val="0"/>
        <w:adjustRightInd w:val="0"/>
        <w:snapToGrid w:val="0"/>
        <w:spacing w:line="600" w:lineRule="exact"/>
        <w:ind w:firstLine="63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（一）对通过认定的区内创新中心，按照不超过创新中心</w:t>
      </w:r>
      <w:r>
        <w:rPr>
          <w:rFonts w:hint="eastAsia" w:ascii="Times New Roman" w:hAnsi="Times New Roman" w:eastAsia="仿宋_GB2312"/>
          <w:snapToGrid w:val="0"/>
          <w:color w:val="auto"/>
          <w:spacing w:val="6"/>
          <w:w w:val="99"/>
          <w:kern w:val="32"/>
          <w:sz w:val="32"/>
          <w:szCs w:val="32"/>
          <w:highlight w:val="none"/>
        </w:rPr>
        <w:t>自筹</w:t>
      </w:r>
      <w:r>
        <w:rPr>
          <w:rFonts w:ascii="Times New Roman" w:hAnsi="Times New Roman" w:eastAsia="仿宋_GB2312"/>
          <w:snapToGrid w:val="0"/>
          <w:color w:val="auto"/>
          <w:spacing w:val="6"/>
          <w:w w:val="99"/>
          <w:kern w:val="32"/>
          <w:sz w:val="32"/>
          <w:szCs w:val="32"/>
          <w:highlight w:val="none"/>
        </w:rPr>
        <w:t>资金投入的50%给予支持，单个创新中心最高不超过500万元，采取事前资助。</w:t>
      </w:r>
    </w:p>
    <w:p>
      <w:pPr>
        <w:autoSpaceDE w:val="0"/>
        <w:autoSpaceDN w:val="0"/>
        <w:adjustRightInd w:val="0"/>
        <w:snapToGrid w:val="0"/>
        <w:spacing w:line="600" w:lineRule="exact"/>
        <w:ind w:firstLine="63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（二）对通过认定的区外创新中心，给予不超过500万元的建设经费支持，采取事前资助。</w:t>
      </w:r>
    </w:p>
    <w:p>
      <w:pPr>
        <w:autoSpaceDE w:val="0"/>
        <w:autoSpaceDN w:val="0"/>
        <w:adjustRightInd w:val="0"/>
        <w:snapToGrid w:val="0"/>
        <w:spacing w:line="600" w:lineRule="exact"/>
        <w:ind w:firstLine="630"/>
        <w:contextualSpacing/>
        <w:rPr>
          <w:rFonts w:ascii="Times New Roman" w:hAnsi="Times New Roman" w:eastAsia="仿宋_GB2312"/>
          <w:snapToGrid w:val="0"/>
          <w:color w:val="auto"/>
          <w:spacing w:val="6"/>
          <w:w w:val="99"/>
          <w:kern w:val="32"/>
          <w:sz w:val="32"/>
          <w:szCs w:val="32"/>
          <w:highlight w:val="none"/>
        </w:rPr>
      </w:pPr>
      <w:r>
        <w:rPr>
          <w:rFonts w:hint="eastAsia" w:ascii="Times New Roman" w:hAnsi="Times New Roman" w:eastAsia="仿宋_GB2312"/>
          <w:snapToGrid w:val="0"/>
          <w:color w:val="auto"/>
          <w:spacing w:val="6"/>
          <w:w w:val="99"/>
          <w:kern w:val="32"/>
          <w:sz w:val="32"/>
          <w:szCs w:val="32"/>
          <w:highlight w:val="none"/>
        </w:rPr>
        <w:t>（三）创新中心建设期3年，自签订合同之日起</w:t>
      </w:r>
      <w:r>
        <w:rPr>
          <w:rFonts w:ascii="Times New Roman" w:hAnsi="Times New Roman" w:eastAsia="仿宋_GB2312"/>
          <w:color w:val="auto"/>
          <w:w w:val="99"/>
          <w:sz w:val="32"/>
          <w:szCs w:val="32"/>
          <w:highlight w:val="none"/>
        </w:rPr>
        <w:t>可享受专项资金扶持</w:t>
      </w:r>
      <w:r>
        <w:rPr>
          <w:rFonts w:hint="eastAsia" w:ascii="Times New Roman" w:hAnsi="Times New Roman" w:eastAsia="仿宋_GB2312"/>
          <w:color w:val="auto"/>
          <w:w w:val="99"/>
          <w:sz w:val="32"/>
          <w:szCs w:val="32"/>
          <w:highlight w:val="none"/>
        </w:rPr>
        <w:t>。</w:t>
      </w:r>
    </w:p>
    <w:p>
      <w:pPr>
        <w:autoSpaceDE w:val="0"/>
        <w:autoSpaceDN w:val="0"/>
        <w:adjustRightInd w:val="0"/>
        <w:snapToGrid w:val="0"/>
        <w:spacing w:line="600" w:lineRule="exact"/>
        <w:ind w:firstLine="63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color w:val="auto"/>
          <w:w w:val="99"/>
          <w:sz w:val="32"/>
          <w:szCs w:val="32"/>
          <w:highlight w:val="none"/>
        </w:rPr>
        <w:t>第十</w:t>
      </w:r>
      <w:r>
        <w:rPr>
          <w:rFonts w:hint="eastAsia" w:eastAsia="黑体"/>
          <w:color w:val="auto"/>
          <w:w w:val="99"/>
          <w:sz w:val="32"/>
          <w:szCs w:val="32"/>
          <w:highlight w:val="none"/>
          <w:lang w:eastAsia="zh-CN"/>
        </w:rPr>
        <w:t>四</w:t>
      </w:r>
      <w:r>
        <w:rPr>
          <w:rFonts w:ascii="Times New Roman" w:hAnsi="Times New Roman" w:eastAsia="黑体"/>
          <w:color w:val="auto"/>
          <w:w w:val="99"/>
          <w:sz w:val="32"/>
          <w:szCs w:val="32"/>
          <w:highlight w:val="none"/>
        </w:rPr>
        <w:t>条</w:t>
      </w:r>
      <w:r>
        <w:rPr>
          <w:rFonts w:ascii="Times New Roman" w:hAnsi="Times New Roman" w:eastAsia="仿宋"/>
          <w:color w:val="auto"/>
          <w:w w:val="99"/>
          <w:sz w:val="32"/>
          <w:szCs w:val="32"/>
          <w:highlight w:val="none"/>
        </w:rPr>
        <w:t xml:space="preserve">  </w:t>
      </w:r>
      <w:r>
        <w:rPr>
          <w:rFonts w:hint="eastAsia" w:ascii="Times New Roman" w:hAnsi="Times New Roman" w:eastAsia="仿宋_GB2312"/>
          <w:snapToGrid w:val="0"/>
          <w:color w:val="auto"/>
          <w:spacing w:val="6"/>
          <w:w w:val="99"/>
          <w:kern w:val="32"/>
          <w:sz w:val="32"/>
          <w:szCs w:val="32"/>
          <w:highlight w:val="none"/>
        </w:rPr>
        <w:t>创新中心</w:t>
      </w:r>
      <w:r>
        <w:rPr>
          <w:rFonts w:ascii="Times New Roman" w:hAnsi="Times New Roman" w:eastAsia="仿宋_GB2312"/>
          <w:snapToGrid w:val="0"/>
          <w:color w:val="auto"/>
          <w:spacing w:val="6"/>
          <w:w w:val="99"/>
          <w:kern w:val="32"/>
          <w:sz w:val="32"/>
          <w:szCs w:val="32"/>
          <w:highlight w:val="none"/>
        </w:rPr>
        <w:t>扶持资金拨付方式</w:t>
      </w:r>
      <w:r>
        <w:rPr>
          <w:rFonts w:hint="eastAsia" w:ascii="Times New Roman" w:hAnsi="Times New Roman" w:eastAsia="仿宋_GB2312"/>
          <w:snapToGrid w:val="0"/>
          <w:color w:val="auto"/>
          <w:spacing w:val="6"/>
          <w:w w:val="99"/>
          <w:kern w:val="32"/>
          <w:sz w:val="32"/>
          <w:szCs w:val="32"/>
          <w:highlight w:val="none"/>
          <w:lang w:val="en-US" w:eastAsia="zh-CN"/>
        </w:rPr>
        <w:t>如下</w:t>
      </w:r>
      <w:r>
        <w:rPr>
          <w:rFonts w:ascii="Times New Roman" w:hAnsi="Times New Roman" w:eastAsia="仿宋_GB2312"/>
          <w:snapToGrid w:val="0"/>
          <w:color w:val="auto"/>
          <w:spacing w:val="6"/>
          <w:w w:val="99"/>
          <w:kern w:val="32"/>
          <w:sz w:val="32"/>
          <w:szCs w:val="32"/>
          <w:highlight w:val="none"/>
        </w:rPr>
        <w:t>：</w:t>
      </w:r>
    </w:p>
    <w:p>
      <w:pPr>
        <w:autoSpaceDE w:val="0"/>
        <w:autoSpaceDN w:val="0"/>
        <w:adjustRightInd w:val="0"/>
        <w:snapToGrid w:val="0"/>
        <w:spacing w:line="600" w:lineRule="exact"/>
        <w:ind w:firstLine="63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（一）认定后拨付合同资金总额的25%。</w:t>
      </w:r>
    </w:p>
    <w:p>
      <w:pPr>
        <w:autoSpaceDE w:val="0"/>
        <w:autoSpaceDN w:val="0"/>
        <w:adjustRightInd w:val="0"/>
        <w:snapToGrid w:val="0"/>
        <w:spacing w:line="600" w:lineRule="exact"/>
        <w:ind w:firstLine="63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（二）建设过程中每年根据年度绩效评价情况拨付资金，完成阶段性目标、评价合格的单位，</w:t>
      </w:r>
      <w:r>
        <w:rPr>
          <w:rFonts w:hint="eastAsia" w:ascii="Times New Roman" w:hAnsi="Times New Roman" w:eastAsia="仿宋_GB2312"/>
          <w:snapToGrid w:val="0"/>
          <w:color w:val="auto"/>
          <w:spacing w:val="6"/>
          <w:w w:val="99"/>
          <w:kern w:val="32"/>
          <w:sz w:val="32"/>
          <w:szCs w:val="32"/>
          <w:highlight w:val="none"/>
          <w:lang w:val="en-US" w:eastAsia="zh-CN"/>
        </w:rPr>
        <w:t>拨付</w:t>
      </w:r>
      <w:r>
        <w:rPr>
          <w:rFonts w:ascii="Times New Roman" w:hAnsi="Times New Roman" w:eastAsia="仿宋_GB2312"/>
          <w:snapToGrid w:val="0"/>
          <w:color w:val="auto"/>
          <w:spacing w:val="6"/>
          <w:w w:val="99"/>
          <w:kern w:val="32"/>
          <w:sz w:val="32"/>
          <w:szCs w:val="32"/>
          <w:highlight w:val="none"/>
        </w:rPr>
        <w:t>合同资金的25%；评价不合格的单位暂缓拨付下一年度资金，待下阶段目标完成后予以拨付，连续2个年度评价不合格的单位终止后续资金拨付。</w:t>
      </w:r>
    </w:p>
    <w:p>
      <w:pPr>
        <w:autoSpaceDE w:val="0"/>
        <w:autoSpaceDN w:val="0"/>
        <w:adjustRightInd w:val="0"/>
        <w:snapToGrid w:val="0"/>
        <w:spacing w:line="600" w:lineRule="exact"/>
        <w:ind w:firstLine="63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仿宋_GB2312"/>
          <w:snapToGrid w:val="0"/>
          <w:color w:val="auto"/>
          <w:spacing w:val="6"/>
          <w:w w:val="99"/>
          <w:kern w:val="32"/>
          <w:sz w:val="32"/>
          <w:szCs w:val="32"/>
          <w:highlight w:val="none"/>
        </w:rPr>
        <w:t>（三）建设期满并经验收合格后拨付剩余25%的资金。</w:t>
      </w:r>
    </w:p>
    <w:p>
      <w:pPr>
        <w:widowControl/>
        <w:ind w:firstLine="656" w:firstLineChars="200"/>
        <w:jc w:val="left"/>
        <w:rPr>
          <w:rFonts w:ascii="Times New Roman" w:hAnsi="Times New Roman" w:eastAsia="黑体"/>
          <w:bCs/>
          <w:snapToGrid w:val="0"/>
          <w:color w:val="auto"/>
          <w:spacing w:val="6"/>
          <w:w w:val="99"/>
          <w:kern w:val="32"/>
          <w:sz w:val="32"/>
          <w:szCs w:val="32"/>
          <w:highlight w:val="none"/>
        </w:rPr>
      </w:pPr>
    </w:p>
    <w:p>
      <w:pPr>
        <w:autoSpaceDE w:val="0"/>
        <w:autoSpaceDN w:val="0"/>
        <w:adjustRightInd w:val="0"/>
        <w:snapToGrid w:val="0"/>
        <w:spacing w:line="600" w:lineRule="exact"/>
        <w:contextualSpacing/>
        <w:jc w:val="center"/>
        <w:rPr>
          <w:rFonts w:hint="default" w:ascii="Times New Roman" w:hAnsi="Times New Roman" w:eastAsia="黑体"/>
          <w:bCs/>
          <w:snapToGrid w:val="0"/>
          <w:color w:val="auto"/>
          <w:spacing w:val="6"/>
          <w:w w:val="99"/>
          <w:kern w:val="32"/>
          <w:sz w:val="32"/>
          <w:szCs w:val="32"/>
          <w:highlight w:val="none"/>
          <w:lang w:val="en-US"/>
        </w:rPr>
      </w:pPr>
      <w:r>
        <w:rPr>
          <w:rFonts w:hint="eastAsia" w:ascii="Times New Roman" w:hAnsi="Times New Roman" w:eastAsia="黑体"/>
          <w:color w:val="auto"/>
          <w:w w:val="99"/>
          <w:sz w:val="32"/>
          <w:szCs w:val="32"/>
          <w:highlight w:val="none"/>
        </w:rPr>
        <w:t>第</w:t>
      </w:r>
      <w:r>
        <w:rPr>
          <w:rFonts w:hint="eastAsia" w:ascii="Times New Roman" w:hAnsi="Times New Roman" w:eastAsia="黑体"/>
          <w:color w:val="auto"/>
          <w:w w:val="99"/>
          <w:sz w:val="32"/>
          <w:szCs w:val="32"/>
          <w:highlight w:val="none"/>
          <w:lang w:val="en-US" w:eastAsia="zh-CN"/>
        </w:rPr>
        <w:t>四</w:t>
      </w:r>
      <w:r>
        <w:rPr>
          <w:rFonts w:hint="eastAsia" w:ascii="Times New Roman" w:hAnsi="Times New Roman" w:eastAsia="黑体"/>
          <w:color w:val="auto"/>
          <w:w w:val="99"/>
          <w:sz w:val="32"/>
          <w:szCs w:val="32"/>
          <w:highlight w:val="none"/>
        </w:rPr>
        <w:t xml:space="preserve">章 </w:t>
      </w:r>
      <w:r>
        <w:rPr>
          <w:rFonts w:hint="eastAsia" w:ascii="Times New Roman" w:hAnsi="Times New Roman" w:eastAsia="黑体"/>
          <w:color w:val="auto"/>
          <w:w w:val="99"/>
          <w:sz w:val="32"/>
          <w:szCs w:val="32"/>
          <w:highlight w:val="none"/>
          <w:lang w:val="en-US" w:eastAsia="zh-CN"/>
        </w:rPr>
        <w:t>科技成果转移转化支持条件及</w:t>
      </w:r>
      <w:r>
        <w:rPr>
          <w:rFonts w:hint="eastAsia" w:eastAsia="黑体"/>
          <w:color w:val="auto"/>
          <w:w w:val="99"/>
          <w:sz w:val="32"/>
          <w:szCs w:val="32"/>
          <w:highlight w:val="none"/>
          <w:lang w:val="en-US" w:eastAsia="zh-CN"/>
        </w:rPr>
        <w:t>标准</w:t>
      </w:r>
    </w:p>
    <w:p>
      <w:pPr>
        <w:widowControl/>
        <w:ind w:firstLine="656" w:firstLineChars="200"/>
        <w:jc w:val="left"/>
        <w:rPr>
          <w:rFonts w:ascii="Times New Roman" w:hAnsi="Times New Roman" w:eastAsia="黑体"/>
          <w:bCs/>
          <w:snapToGrid w:val="0"/>
          <w:color w:val="auto"/>
          <w:spacing w:val="6"/>
          <w:w w:val="99"/>
          <w:kern w:val="32"/>
          <w:sz w:val="32"/>
          <w:szCs w:val="32"/>
          <w:highlight w:val="none"/>
        </w:rPr>
      </w:pPr>
      <w:r>
        <w:rPr>
          <w:rFonts w:ascii="Times New Roman" w:hAnsi="Times New Roman" w:eastAsia="黑体"/>
          <w:bCs/>
          <w:snapToGrid w:val="0"/>
          <w:color w:val="auto"/>
          <w:spacing w:val="6"/>
          <w:w w:val="99"/>
          <w:kern w:val="32"/>
          <w:sz w:val="32"/>
          <w:szCs w:val="32"/>
          <w:highlight w:val="none"/>
        </w:rPr>
        <w:t>第十</w:t>
      </w:r>
      <w:r>
        <w:rPr>
          <w:rFonts w:hint="eastAsia" w:eastAsia="黑体"/>
          <w:bCs/>
          <w:snapToGrid w:val="0"/>
          <w:color w:val="auto"/>
          <w:spacing w:val="6"/>
          <w:w w:val="99"/>
          <w:kern w:val="32"/>
          <w:sz w:val="32"/>
          <w:szCs w:val="32"/>
          <w:highlight w:val="none"/>
          <w:lang w:eastAsia="zh-CN"/>
        </w:rPr>
        <w:t>五</w:t>
      </w:r>
      <w:r>
        <w:rPr>
          <w:rFonts w:ascii="Times New Roman" w:hAnsi="Times New Roman" w:eastAsia="黑体"/>
          <w:bCs/>
          <w:snapToGrid w:val="0"/>
          <w:color w:val="auto"/>
          <w:spacing w:val="6"/>
          <w:w w:val="99"/>
          <w:kern w:val="32"/>
          <w:sz w:val="32"/>
          <w:szCs w:val="32"/>
          <w:highlight w:val="none"/>
        </w:rPr>
        <w:t>条</w:t>
      </w:r>
      <w:r>
        <w:rPr>
          <w:rFonts w:ascii="Times New Roman" w:hAnsi="Times New Roman" w:eastAsia="仿宋_GB2312"/>
          <w:b/>
          <w:bCs/>
          <w:snapToGrid w:val="0"/>
          <w:color w:val="auto"/>
          <w:spacing w:val="6"/>
          <w:w w:val="99"/>
          <w:kern w:val="32"/>
          <w:sz w:val="32"/>
          <w:szCs w:val="32"/>
          <w:highlight w:val="none"/>
        </w:rPr>
        <w:t xml:space="preserve"> </w:t>
      </w:r>
      <w:r>
        <w:rPr>
          <w:rFonts w:ascii="Times New Roman" w:hAnsi="Times New Roman" w:eastAsia="仿宋_GB2312"/>
          <w:snapToGrid w:val="0"/>
          <w:color w:val="auto"/>
          <w:spacing w:val="6"/>
          <w:w w:val="99"/>
          <w:kern w:val="32"/>
          <w:sz w:val="32"/>
          <w:szCs w:val="32"/>
          <w:highlight w:val="none"/>
        </w:rPr>
        <w:t xml:space="preserve"> </w:t>
      </w:r>
      <w:r>
        <w:rPr>
          <w:rFonts w:hint="eastAsia" w:ascii="Times New Roman" w:hAnsi="Times New Roman" w:eastAsia="仿宋_GB2312"/>
          <w:snapToGrid w:val="0"/>
          <w:color w:val="auto"/>
          <w:spacing w:val="6"/>
          <w:w w:val="99"/>
          <w:kern w:val="32"/>
          <w:sz w:val="32"/>
          <w:szCs w:val="32"/>
          <w:highlight w:val="none"/>
        </w:rPr>
        <w:t>对我区企业购买国内双一流大学、广东省高水平建设大学、中科院直属单位、高新技术企业的科技成果、技术服务</w:t>
      </w:r>
      <w:r>
        <w:rPr>
          <w:rFonts w:hint="eastAsia" w:ascii="Times New Roman" w:hAnsi="Times New Roman" w:eastAsia="仿宋_GB2312"/>
          <w:color w:val="auto"/>
          <w:w w:val="99"/>
          <w:sz w:val="32"/>
          <w:szCs w:val="32"/>
          <w:highlight w:val="none"/>
        </w:rPr>
        <w:t>给予资助</w:t>
      </w:r>
      <w:r>
        <w:rPr>
          <w:rFonts w:hint="eastAsia" w:ascii="Times New Roman" w:hAnsi="Times New Roman" w:eastAsia="仿宋_GB2312"/>
          <w:color w:val="auto"/>
          <w:w w:val="99"/>
          <w:sz w:val="32"/>
          <w:szCs w:val="32"/>
          <w:highlight w:val="none"/>
          <w:lang w:eastAsia="zh-CN"/>
        </w:rPr>
        <w:t>，</w:t>
      </w:r>
      <w:r>
        <w:rPr>
          <w:rFonts w:hint="eastAsia" w:ascii="Times New Roman" w:hAnsi="Times New Roman" w:eastAsia="仿宋_GB2312"/>
          <w:color w:val="auto"/>
          <w:w w:val="99"/>
          <w:sz w:val="32"/>
          <w:szCs w:val="32"/>
          <w:highlight w:val="none"/>
        </w:rPr>
        <w:t>条件如下：</w:t>
      </w:r>
    </w:p>
    <w:p>
      <w:pPr>
        <w:spacing w:line="600" w:lineRule="exact"/>
        <w:ind w:firstLine="632" w:firstLineChars="200"/>
        <w:contextualSpacing/>
        <w:rPr>
          <w:rStyle w:val="5"/>
          <w:rFonts w:ascii="Times New Roman" w:hAnsi="Times New Roman" w:eastAsia="仿宋_GB2312"/>
          <w:smallCaps w:val="0"/>
          <w:color w:val="auto"/>
          <w:w w:val="99"/>
          <w:sz w:val="32"/>
          <w:szCs w:val="32"/>
          <w:highlight w:val="none"/>
          <w:u w:val="none"/>
        </w:rPr>
      </w:pPr>
      <w:r>
        <w:rPr>
          <w:rFonts w:hint="eastAsia" w:ascii="Times New Roman" w:hAnsi="Times New Roman" w:eastAsia="仿宋_GB2312"/>
          <w:color w:val="auto"/>
          <w:w w:val="99"/>
          <w:sz w:val="32"/>
          <w:szCs w:val="32"/>
          <w:highlight w:val="none"/>
        </w:rPr>
        <w:t>（一）技术购买方需在我区注册，具备独立法人资格，有健全的财务管理机构和制度。</w:t>
      </w:r>
    </w:p>
    <w:p>
      <w:pPr>
        <w:spacing w:line="600" w:lineRule="exact"/>
        <w:ind w:firstLine="632" w:firstLineChars="200"/>
        <w:contextualSpacing/>
        <w:rPr>
          <w:rFonts w:ascii="Times New Roman" w:hAnsi="Times New Roman" w:eastAsia="仿宋_GB2312"/>
          <w:color w:val="auto"/>
          <w:w w:val="99"/>
          <w:sz w:val="32"/>
          <w:szCs w:val="32"/>
          <w:highlight w:val="none"/>
        </w:rPr>
      </w:pPr>
      <w:r>
        <w:rPr>
          <w:rFonts w:ascii="Times New Roman" w:hAnsi="Times New Roman" w:eastAsia="仿宋_GB2312"/>
          <w:color w:val="auto"/>
          <w:w w:val="99"/>
          <w:sz w:val="32"/>
          <w:szCs w:val="32"/>
          <w:highlight w:val="none"/>
        </w:rPr>
        <w:t>（二）已签订技术开发或技术转让合同</w:t>
      </w:r>
      <w:r>
        <w:rPr>
          <w:rFonts w:hint="eastAsia" w:ascii="Times New Roman" w:hAnsi="Times New Roman" w:eastAsia="仿宋_GB2312"/>
          <w:color w:val="auto"/>
          <w:w w:val="99"/>
          <w:sz w:val="32"/>
          <w:szCs w:val="32"/>
          <w:highlight w:val="none"/>
        </w:rPr>
        <w:t>，技术购买方须提供与技术合同对应的付款凭证、税务发票等，凭证真实有效，卖方</w:t>
      </w:r>
      <w:r>
        <w:rPr>
          <w:rFonts w:ascii="Times New Roman" w:hAnsi="Times New Roman" w:eastAsia="仿宋_GB2312"/>
          <w:color w:val="auto"/>
          <w:w w:val="99"/>
          <w:sz w:val="32"/>
          <w:szCs w:val="32"/>
          <w:highlight w:val="none"/>
        </w:rPr>
        <w:t>已在卖方属地科技行政主管部门完成技术合同认定登记</w:t>
      </w:r>
      <w:r>
        <w:rPr>
          <w:rFonts w:hint="eastAsia" w:ascii="Times New Roman" w:hAnsi="Times New Roman" w:eastAsia="仿宋_GB2312"/>
          <w:color w:val="auto"/>
          <w:w w:val="99"/>
          <w:sz w:val="32"/>
          <w:szCs w:val="32"/>
          <w:highlight w:val="none"/>
        </w:rPr>
        <w:t>。</w:t>
      </w:r>
    </w:p>
    <w:p>
      <w:pPr>
        <w:spacing w:line="600" w:lineRule="exact"/>
        <w:ind w:firstLine="632" w:firstLineChars="200"/>
        <w:contextualSpacing/>
        <w:rPr>
          <w:rFonts w:ascii="Times New Roman" w:hAnsi="Times New Roman" w:eastAsia="仿宋_GB2312"/>
          <w:color w:val="auto"/>
          <w:w w:val="99"/>
          <w:sz w:val="32"/>
          <w:szCs w:val="32"/>
          <w:highlight w:val="none"/>
        </w:rPr>
      </w:pPr>
      <w:r>
        <w:rPr>
          <w:rFonts w:hint="eastAsia" w:ascii="Times New Roman" w:hAnsi="Times New Roman" w:eastAsia="仿宋_GB2312"/>
          <w:color w:val="auto"/>
          <w:w w:val="99"/>
          <w:sz w:val="32"/>
          <w:szCs w:val="32"/>
          <w:highlight w:val="none"/>
        </w:rPr>
        <w:t>（三）仅用于提升企业内部管理、技术转包、产品销售等非科技创新活动的技术服务，不予资助。</w:t>
      </w:r>
    </w:p>
    <w:p>
      <w:pPr>
        <w:spacing w:line="600" w:lineRule="exact"/>
        <w:ind w:firstLine="632" w:firstLineChars="200"/>
        <w:contextualSpacing/>
        <w:rPr>
          <w:rFonts w:ascii="Times New Roman" w:hAnsi="Times New Roman" w:eastAsia="仿宋_GB2312"/>
          <w:color w:val="auto"/>
          <w:w w:val="99"/>
          <w:sz w:val="32"/>
          <w:szCs w:val="32"/>
          <w:highlight w:val="none"/>
        </w:rPr>
      </w:pPr>
      <w:r>
        <w:rPr>
          <w:rFonts w:hint="eastAsia" w:ascii="Times New Roman" w:hAnsi="Times New Roman" w:eastAsia="黑体"/>
          <w:color w:val="auto"/>
          <w:w w:val="99"/>
          <w:sz w:val="32"/>
          <w:szCs w:val="32"/>
          <w:highlight w:val="none"/>
        </w:rPr>
        <w:t>第十</w:t>
      </w:r>
      <w:r>
        <w:rPr>
          <w:rFonts w:hint="eastAsia" w:eastAsia="黑体"/>
          <w:color w:val="auto"/>
          <w:w w:val="99"/>
          <w:sz w:val="32"/>
          <w:szCs w:val="32"/>
          <w:highlight w:val="none"/>
          <w:lang w:eastAsia="zh-CN"/>
        </w:rPr>
        <w:t>六</w:t>
      </w:r>
      <w:r>
        <w:rPr>
          <w:rFonts w:hint="eastAsia" w:ascii="Times New Roman" w:hAnsi="Times New Roman" w:eastAsia="黑体"/>
          <w:color w:val="auto"/>
          <w:w w:val="99"/>
          <w:sz w:val="32"/>
          <w:szCs w:val="32"/>
          <w:highlight w:val="none"/>
        </w:rPr>
        <w:t xml:space="preserve">条  </w:t>
      </w:r>
      <w:r>
        <w:rPr>
          <w:rFonts w:ascii="Times New Roman" w:hAnsi="Times New Roman" w:eastAsia="仿宋_GB2312"/>
          <w:color w:val="auto"/>
          <w:w w:val="99"/>
          <w:sz w:val="32"/>
          <w:szCs w:val="32"/>
          <w:highlight w:val="none"/>
        </w:rPr>
        <w:t>技术合同交易额在</w:t>
      </w:r>
      <w:r>
        <w:rPr>
          <w:rFonts w:hint="eastAsia" w:ascii="Times New Roman" w:hAnsi="Times New Roman" w:eastAsia="仿宋_GB2312"/>
          <w:color w:val="auto"/>
          <w:w w:val="99"/>
          <w:sz w:val="32"/>
          <w:szCs w:val="32"/>
          <w:highlight w:val="none"/>
        </w:rPr>
        <w:t>20万元及以上的，</w:t>
      </w:r>
      <w:r>
        <w:rPr>
          <w:rFonts w:ascii="Times New Roman" w:hAnsi="Times New Roman" w:eastAsia="仿宋_GB2312"/>
          <w:color w:val="auto"/>
          <w:w w:val="99"/>
          <w:sz w:val="32"/>
          <w:szCs w:val="32"/>
          <w:highlight w:val="none"/>
        </w:rPr>
        <w:t>除关联交易外，按</w:t>
      </w:r>
      <w:r>
        <w:rPr>
          <w:rFonts w:hint="eastAsia" w:eastAsia="仿宋_GB2312"/>
          <w:color w:val="auto"/>
          <w:w w:val="99"/>
          <w:sz w:val="32"/>
          <w:szCs w:val="32"/>
          <w:highlight w:val="none"/>
          <w:lang w:eastAsia="zh-CN"/>
        </w:rPr>
        <w:t>照</w:t>
      </w:r>
      <w:r>
        <w:rPr>
          <w:rFonts w:ascii="Times New Roman" w:hAnsi="Times New Roman" w:eastAsia="仿宋_GB2312"/>
          <w:color w:val="auto"/>
          <w:w w:val="99"/>
          <w:sz w:val="32"/>
          <w:szCs w:val="32"/>
          <w:highlight w:val="none"/>
        </w:rPr>
        <w:t>技术合同实际技术履约额</w:t>
      </w:r>
      <w:r>
        <w:rPr>
          <w:rFonts w:hint="eastAsia" w:ascii="Times New Roman" w:hAnsi="Times New Roman" w:eastAsia="仿宋_GB2312"/>
          <w:color w:val="auto"/>
          <w:w w:val="99"/>
          <w:sz w:val="32"/>
          <w:szCs w:val="32"/>
          <w:highlight w:val="none"/>
        </w:rPr>
        <w:t>给予</w:t>
      </w:r>
      <w:r>
        <w:rPr>
          <w:rFonts w:ascii="Times New Roman" w:hAnsi="Times New Roman" w:eastAsia="仿宋_GB2312"/>
          <w:color w:val="auto"/>
          <w:w w:val="99"/>
          <w:sz w:val="32"/>
          <w:szCs w:val="32"/>
          <w:highlight w:val="none"/>
        </w:rPr>
        <w:t>技术</w:t>
      </w:r>
      <w:r>
        <w:rPr>
          <w:rFonts w:hint="eastAsia" w:ascii="Times New Roman" w:hAnsi="Times New Roman" w:eastAsia="仿宋_GB2312"/>
          <w:color w:val="auto"/>
          <w:w w:val="99"/>
          <w:sz w:val="32"/>
          <w:szCs w:val="32"/>
          <w:highlight w:val="none"/>
        </w:rPr>
        <w:t>购</w:t>
      </w:r>
      <w:r>
        <w:rPr>
          <w:rFonts w:ascii="Times New Roman" w:hAnsi="Times New Roman" w:eastAsia="仿宋_GB2312"/>
          <w:color w:val="auto"/>
          <w:w w:val="99"/>
          <w:sz w:val="32"/>
          <w:szCs w:val="32"/>
          <w:highlight w:val="none"/>
        </w:rPr>
        <w:t>买方不超过</w:t>
      </w:r>
      <w:r>
        <w:rPr>
          <w:rFonts w:hint="eastAsia" w:ascii="Times New Roman" w:hAnsi="Times New Roman" w:eastAsia="仿宋_GB2312"/>
          <w:color w:val="auto"/>
          <w:w w:val="99"/>
          <w:sz w:val="32"/>
          <w:szCs w:val="32"/>
          <w:highlight w:val="none"/>
        </w:rPr>
        <w:t>5%的资助，每个合同资助额度不超过10万元，每年每个</w:t>
      </w:r>
      <w:r>
        <w:rPr>
          <w:rFonts w:hint="eastAsia" w:eastAsia="仿宋_GB2312"/>
          <w:color w:val="auto"/>
          <w:w w:val="99"/>
          <w:sz w:val="32"/>
          <w:szCs w:val="32"/>
          <w:highlight w:val="none"/>
          <w:lang w:eastAsia="zh-CN"/>
        </w:rPr>
        <w:t>企业</w:t>
      </w:r>
      <w:r>
        <w:rPr>
          <w:rFonts w:hint="eastAsia" w:ascii="Times New Roman" w:hAnsi="Times New Roman" w:eastAsia="仿宋_GB2312"/>
          <w:color w:val="auto"/>
          <w:w w:val="99"/>
          <w:sz w:val="32"/>
          <w:szCs w:val="32"/>
          <w:highlight w:val="none"/>
        </w:rPr>
        <w:t>资助总额不超过50万元。</w:t>
      </w:r>
    </w:p>
    <w:p>
      <w:pPr>
        <w:spacing w:line="600" w:lineRule="exact"/>
        <w:ind w:firstLine="632" w:firstLineChars="200"/>
        <w:contextualSpacing/>
        <w:rPr>
          <w:rFonts w:ascii="Times New Roman" w:hAnsi="Times New Roman" w:eastAsia="仿宋_GB2312"/>
          <w:color w:val="auto"/>
          <w:w w:val="99"/>
          <w:sz w:val="32"/>
          <w:szCs w:val="32"/>
          <w:highlight w:val="none"/>
        </w:rPr>
      </w:pPr>
      <w:r>
        <w:rPr>
          <w:rFonts w:hint="eastAsia" w:ascii="Times New Roman" w:hAnsi="Times New Roman" w:eastAsia="黑体"/>
          <w:color w:val="auto"/>
          <w:w w:val="99"/>
          <w:sz w:val="32"/>
          <w:szCs w:val="32"/>
          <w:highlight w:val="none"/>
        </w:rPr>
        <w:t>第十</w:t>
      </w:r>
      <w:r>
        <w:rPr>
          <w:rFonts w:hint="eastAsia" w:eastAsia="黑体"/>
          <w:color w:val="auto"/>
          <w:w w:val="99"/>
          <w:sz w:val="32"/>
          <w:szCs w:val="32"/>
          <w:highlight w:val="none"/>
          <w:lang w:eastAsia="zh-CN"/>
        </w:rPr>
        <w:t>七</w:t>
      </w:r>
      <w:r>
        <w:rPr>
          <w:rFonts w:hint="eastAsia" w:ascii="Times New Roman" w:hAnsi="Times New Roman" w:eastAsia="黑体"/>
          <w:color w:val="auto"/>
          <w:w w:val="99"/>
          <w:sz w:val="32"/>
          <w:szCs w:val="32"/>
          <w:highlight w:val="none"/>
        </w:rPr>
        <w:t>条</w:t>
      </w:r>
      <w:r>
        <w:rPr>
          <w:rFonts w:hint="eastAsia" w:ascii="Times New Roman" w:hAnsi="Times New Roman" w:eastAsia="仿宋_GB2312"/>
          <w:color w:val="auto"/>
          <w:w w:val="99"/>
          <w:sz w:val="32"/>
          <w:szCs w:val="32"/>
          <w:highlight w:val="none"/>
        </w:rPr>
        <w:t xml:space="preserve">  支持科技成果转移转化资助根据年度工作计划编制</w:t>
      </w:r>
      <w:r>
        <w:rPr>
          <w:rFonts w:hint="eastAsia" w:eastAsia="仿宋_GB2312"/>
          <w:color w:val="auto"/>
          <w:w w:val="99"/>
          <w:sz w:val="32"/>
          <w:szCs w:val="32"/>
          <w:highlight w:val="none"/>
          <w:lang w:eastAsia="zh-CN"/>
        </w:rPr>
        <w:t>发布申报通知和指南</w:t>
      </w:r>
      <w:r>
        <w:rPr>
          <w:rFonts w:hint="eastAsia" w:ascii="Times New Roman" w:hAnsi="Times New Roman" w:eastAsia="仿宋_GB2312"/>
          <w:color w:val="auto"/>
          <w:w w:val="99"/>
          <w:sz w:val="32"/>
          <w:szCs w:val="32"/>
          <w:highlight w:val="none"/>
        </w:rPr>
        <w:t>，下半年集中受理。采取事后资助，资助资金一次性拨付。</w:t>
      </w:r>
    </w:p>
    <w:p>
      <w:pPr>
        <w:autoSpaceDE w:val="0"/>
        <w:autoSpaceDN w:val="0"/>
        <w:adjustRightInd w:val="0"/>
        <w:snapToGrid w:val="0"/>
        <w:spacing w:line="600" w:lineRule="exact"/>
        <w:ind w:firstLine="458" w:firstLineChars="200"/>
        <w:contextualSpacing/>
        <w:rPr>
          <w:rFonts w:ascii="Times New Roman" w:hAnsi="Times New Roman" w:eastAsia="方正小标宋简体"/>
          <w:snapToGrid w:val="0"/>
          <w:color w:val="auto"/>
          <w:spacing w:val="6"/>
          <w:w w:val="99"/>
          <w:kern w:val="32"/>
          <w:sz w:val="22"/>
          <w:szCs w:val="44"/>
          <w:highlight w:val="none"/>
        </w:rPr>
      </w:pPr>
    </w:p>
    <w:p>
      <w:pPr>
        <w:spacing w:line="600" w:lineRule="exact"/>
        <w:contextualSpacing/>
        <w:jc w:val="center"/>
        <w:rPr>
          <w:rFonts w:ascii="Times New Roman" w:hAnsi="Times New Roman" w:eastAsia="黑体"/>
          <w:color w:val="auto"/>
          <w:w w:val="99"/>
          <w:sz w:val="32"/>
          <w:szCs w:val="32"/>
          <w:highlight w:val="none"/>
        </w:rPr>
      </w:pPr>
      <w:r>
        <w:rPr>
          <w:rFonts w:ascii="Times New Roman" w:hAnsi="Times New Roman" w:eastAsia="黑体"/>
          <w:color w:val="auto"/>
          <w:w w:val="99"/>
          <w:sz w:val="32"/>
          <w:szCs w:val="32"/>
          <w:highlight w:val="none"/>
        </w:rPr>
        <w:t>第</w:t>
      </w:r>
      <w:r>
        <w:rPr>
          <w:rFonts w:hint="eastAsia" w:ascii="Times New Roman" w:hAnsi="Times New Roman" w:eastAsia="黑体"/>
          <w:color w:val="auto"/>
          <w:w w:val="99"/>
          <w:sz w:val="32"/>
          <w:szCs w:val="32"/>
          <w:highlight w:val="none"/>
          <w:lang w:val="en-US" w:eastAsia="zh-CN"/>
        </w:rPr>
        <w:t>五</w:t>
      </w:r>
      <w:r>
        <w:rPr>
          <w:rFonts w:ascii="Times New Roman" w:hAnsi="Times New Roman" w:eastAsia="黑体"/>
          <w:color w:val="auto"/>
          <w:w w:val="99"/>
          <w:sz w:val="32"/>
          <w:szCs w:val="32"/>
          <w:highlight w:val="none"/>
        </w:rPr>
        <w:t xml:space="preserve">章  </w:t>
      </w:r>
      <w:r>
        <w:rPr>
          <w:rFonts w:hint="eastAsia" w:ascii="Times New Roman" w:hAnsi="Times New Roman" w:eastAsia="黑体"/>
          <w:color w:val="auto"/>
          <w:w w:val="99"/>
          <w:sz w:val="32"/>
          <w:szCs w:val="32"/>
          <w:highlight w:val="none"/>
        </w:rPr>
        <w:t>监督</w:t>
      </w:r>
      <w:r>
        <w:rPr>
          <w:rFonts w:ascii="Times New Roman" w:hAnsi="Times New Roman" w:eastAsia="黑体"/>
          <w:color w:val="auto"/>
          <w:w w:val="99"/>
          <w:sz w:val="32"/>
          <w:szCs w:val="32"/>
          <w:highlight w:val="none"/>
        </w:rPr>
        <w:t>管理和绩效评价</w:t>
      </w:r>
    </w:p>
    <w:p>
      <w:pPr>
        <w:autoSpaceDE w:val="0"/>
        <w:autoSpaceDN w:val="0"/>
        <w:adjustRightInd w:val="0"/>
        <w:snapToGrid w:val="0"/>
        <w:spacing w:line="600" w:lineRule="exact"/>
        <w:ind w:firstLine="63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第十</w:t>
      </w:r>
      <w:r>
        <w:rPr>
          <w:rFonts w:hint="eastAsia" w:eastAsia="黑体"/>
          <w:snapToGrid w:val="0"/>
          <w:color w:val="auto"/>
          <w:spacing w:val="6"/>
          <w:w w:val="99"/>
          <w:kern w:val="32"/>
          <w:sz w:val="32"/>
          <w:szCs w:val="32"/>
          <w:highlight w:val="none"/>
          <w:lang w:eastAsia="zh-CN"/>
        </w:rPr>
        <w:t>八</w:t>
      </w:r>
      <w:r>
        <w:rPr>
          <w:rFonts w:ascii="Times New Roman" w:hAnsi="Times New Roman" w:eastAsia="黑体"/>
          <w:snapToGrid w:val="0"/>
          <w:color w:val="auto"/>
          <w:spacing w:val="6"/>
          <w:w w:val="99"/>
          <w:kern w:val="32"/>
          <w:sz w:val="32"/>
          <w:szCs w:val="32"/>
          <w:highlight w:val="none"/>
        </w:rPr>
        <w:t xml:space="preserve">条 </w:t>
      </w:r>
      <w:r>
        <w:rPr>
          <w:rFonts w:ascii="Times New Roman" w:hAnsi="Times New Roman" w:eastAsia="仿宋_GB2312"/>
          <w:snapToGrid w:val="0"/>
          <w:color w:val="auto"/>
          <w:spacing w:val="6"/>
          <w:w w:val="99"/>
          <w:kern w:val="32"/>
          <w:sz w:val="32"/>
          <w:szCs w:val="32"/>
          <w:highlight w:val="none"/>
        </w:rPr>
        <w:t>创新中心的认定由研究院负责组织实施，需经申报通知</w:t>
      </w:r>
      <w:r>
        <w:rPr>
          <w:rFonts w:hint="eastAsia" w:ascii="Times New Roman" w:hAnsi="Times New Roman" w:eastAsia="仿宋_GB2312"/>
          <w:snapToGrid w:val="0"/>
          <w:color w:val="auto"/>
          <w:spacing w:val="6"/>
          <w:w w:val="99"/>
          <w:kern w:val="32"/>
          <w:sz w:val="32"/>
          <w:szCs w:val="32"/>
          <w:highlight w:val="none"/>
        </w:rPr>
        <w:t>发布、</w:t>
      </w:r>
      <w:r>
        <w:rPr>
          <w:rFonts w:ascii="Times New Roman" w:hAnsi="Times New Roman" w:eastAsia="仿宋_GB2312"/>
          <w:snapToGrid w:val="0"/>
          <w:color w:val="auto"/>
          <w:spacing w:val="6"/>
          <w:w w:val="99"/>
          <w:kern w:val="32"/>
          <w:sz w:val="32"/>
          <w:szCs w:val="32"/>
          <w:highlight w:val="none"/>
        </w:rPr>
        <w:t>形式审查、专家评审、提出拟立项项目报区经科局审核、公示、区管委会</w:t>
      </w:r>
      <w:r>
        <w:rPr>
          <w:rFonts w:hint="eastAsia" w:ascii="Times New Roman" w:hAnsi="Times New Roman" w:eastAsia="仿宋_GB2312"/>
          <w:snapToGrid w:val="0"/>
          <w:color w:val="auto"/>
          <w:spacing w:val="6"/>
          <w:w w:val="99"/>
          <w:kern w:val="32"/>
          <w:sz w:val="32"/>
          <w:szCs w:val="32"/>
          <w:highlight w:val="none"/>
        </w:rPr>
        <w:t>审批、</w:t>
      </w:r>
      <w:r>
        <w:rPr>
          <w:rFonts w:hint="eastAsia" w:ascii="Times New Roman" w:hAnsi="Times New Roman" w:eastAsia="仿宋_GB2312"/>
          <w:snapToGrid w:val="0"/>
          <w:color w:val="auto"/>
          <w:spacing w:val="6"/>
          <w:w w:val="99"/>
          <w:kern w:val="32"/>
          <w:sz w:val="32"/>
          <w:szCs w:val="32"/>
          <w:highlight w:val="none"/>
          <w:lang w:val="en-US" w:eastAsia="zh-CN"/>
        </w:rPr>
        <w:t>正式</w:t>
      </w:r>
      <w:r>
        <w:rPr>
          <w:rFonts w:hint="eastAsia" w:ascii="Times New Roman" w:hAnsi="Times New Roman" w:eastAsia="仿宋_GB2312"/>
          <w:snapToGrid w:val="0"/>
          <w:color w:val="auto"/>
          <w:spacing w:val="6"/>
          <w:w w:val="99"/>
          <w:kern w:val="32"/>
          <w:sz w:val="32"/>
          <w:szCs w:val="32"/>
          <w:highlight w:val="none"/>
        </w:rPr>
        <w:t>签订立项合同</w:t>
      </w:r>
      <w:r>
        <w:rPr>
          <w:rFonts w:ascii="Times New Roman" w:hAnsi="Times New Roman" w:eastAsia="仿宋_GB2312"/>
          <w:snapToGrid w:val="0"/>
          <w:color w:val="auto"/>
          <w:spacing w:val="6"/>
          <w:w w:val="99"/>
          <w:kern w:val="32"/>
          <w:sz w:val="32"/>
          <w:szCs w:val="32"/>
          <w:highlight w:val="none"/>
        </w:rPr>
        <w:t>等程序。</w:t>
      </w:r>
    </w:p>
    <w:p>
      <w:pPr>
        <w:autoSpaceDE w:val="0"/>
        <w:autoSpaceDN w:val="0"/>
        <w:adjustRightInd w:val="0"/>
        <w:snapToGrid w:val="0"/>
        <w:spacing w:line="600" w:lineRule="exact"/>
        <w:ind w:firstLine="630"/>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第</w:t>
      </w:r>
      <w:r>
        <w:rPr>
          <w:rFonts w:hint="eastAsia" w:eastAsia="黑体"/>
          <w:color w:val="auto"/>
          <w:w w:val="99"/>
          <w:sz w:val="32"/>
          <w:szCs w:val="32"/>
          <w:highlight w:val="none"/>
          <w:lang w:eastAsia="zh-CN"/>
        </w:rPr>
        <w:t>十九</w:t>
      </w:r>
      <w:r>
        <w:rPr>
          <w:rFonts w:ascii="Times New Roman" w:hAnsi="Times New Roman" w:eastAsia="黑体"/>
          <w:snapToGrid w:val="0"/>
          <w:color w:val="auto"/>
          <w:spacing w:val="6"/>
          <w:w w:val="99"/>
          <w:kern w:val="32"/>
          <w:sz w:val="32"/>
          <w:szCs w:val="32"/>
          <w:highlight w:val="none"/>
        </w:rPr>
        <w:t>条</w:t>
      </w:r>
      <w:r>
        <w:rPr>
          <w:rFonts w:hint="eastAsia" w:ascii="Times New Roman" w:hAnsi="Times New Roman" w:eastAsia="仿宋_GB2312"/>
          <w:snapToGrid w:val="0"/>
          <w:color w:val="auto"/>
          <w:spacing w:val="6"/>
          <w:w w:val="99"/>
          <w:kern w:val="32"/>
          <w:sz w:val="32"/>
          <w:szCs w:val="32"/>
          <w:highlight w:val="none"/>
        </w:rPr>
        <w:t xml:space="preserve">  </w:t>
      </w:r>
      <w:r>
        <w:rPr>
          <w:rFonts w:ascii="Times New Roman" w:hAnsi="Times New Roman" w:eastAsia="仿宋_GB2312"/>
          <w:snapToGrid w:val="0"/>
          <w:color w:val="auto"/>
          <w:spacing w:val="6"/>
          <w:w w:val="99"/>
          <w:kern w:val="32"/>
          <w:sz w:val="32"/>
          <w:szCs w:val="32"/>
          <w:highlight w:val="none"/>
        </w:rPr>
        <w:t>创新中心</w:t>
      </w:r>
      <w:r>
        <w:rPr>
          <w:rFonts w:hint="eastAsia" w:ascii="Times New Roman" w:hAnsi="Times New Roman" w:eastAsia="仿宋_GB2312"/>
          <w:snapToGrid w:val="0"/>
          <w:color w:val="auto"/>
          <w:spacing w:val="6"/>
          <w:w w:val="99"/>
          <w:kern w:val="32"/>
          <w:sz w:val="32"/>
          <w:szCs w:val="32"/>
          <w:highlight w:val="none"/>
        </w:rPr>
        <w:t>扶持</w:t>
      </w:r>
      <w:r>
        <w:rPr>
          <w:rFonts w:ascii="Times New Roman" w:hAnsi="Times New Roman" w:eastAsia="仿宋_GB2312"/>
          <w:snapToGrid w:val="0"/>
          <w:color w:val="auto"/>
          <w:spacing w:val="6"/>
          <w:w w:val="99"/>
          <w:kern w:val="32"/>
          <w:sz w:val="32"/>
          <w:szCs w:val="32"/>
          <w:highlight w:val="none"/>
        </w:rPr>
        <w:t>资金采取专户专账管理，由区经科局选定监管银行设立专项资金专户，监管银行根据申报书规定的资金使用范围拨付资金，并对资金使用情况进行全程跟踪。</w:t>
      </w:r>
    </w:p>
    <w:p>
      <w:pPr>
        <w:autoSpaceDE w:val="0"/>
        <w:autoSpaceDN w:val="0"/>
        <w:adjustRightInd w:val="0"/>
        <w:snapToGrid w:val="0"/>
        <w:spacing w:line="600" w:lineRule="exact"/>
        <w:ind w:firstLine="632" w:firstLineChars="200"/>
        <w:contextualSpacing/>
        <w:rPr>
          <w:rFonts w:ascii="Times New Roman" w:hAnsi="Times New Roman" w:eastAsia="仿宋_GB2312"/>
          <w:snapToGrid w:val="0"/>
          <w:color w:val="auto"/>
          <w:spacing w:val="6"/>
          <w:w w:val="99"/>
          <w:kern w:val="32"/>
          <w:sz w:val="32"/>
          <w:szCs w:val="32"/>
          <w:highlight w:val="none"/>
        </w:rPr>
      </w:pPr>
      <w:r>
        <w:rPr>
          <w:rFonts w:hint="eastAsia" w:ascii="Times New Roman" w:hAnsi="Times New Roman" w:eastAsia="仿宋_GB2312"/>
          <w:bCs/>
          <w:color w:val="auto"/>
          <w:w w:val="99"/>
          <w:sz w:val="32"/>
          <w:szCs w:val="32"/>
          <w:highlight w:val="none"/>
        </w:rPr>
        <w:t>为保障资金专款专用，事前资助类项目资金</w:t>
      </w:r>
      <w:r>
        <w:rPr>
          <w:rFonts w:ascii="Times New Roman" w:hAnsi="Times New Roman" w:eastAsia="仿宋_GB2312"/>
          <w:snapToGrid w:val="0"/>
          <w:color w:val="auto"/>
          <w:spacing w:val="6"/>
          <w:w w:val="99"/>
          <w:kern w:val="32"/>
          <w:sz w:val="32"/>
          <w:szCs w:val="32"/>
          <w:highlight w:val="none"/>
        </w:rPr>
        <w:t>不得列支扶持项目以外的任何费用，只能用于项目实施过程中所发生的</w:t>
      </w:r>
      <w:r>
        <w:rPr>
          <w:rFonts w:ascii="Times New Roman" w:hAnsi="仿宋_GB2312" w:eastAsia="仿宋_GB2312"/>
          <w:snapToGrid w:val="0"/>
          <w:color w:val="auto"/>
          <w:spacing w:val="6"/>
          <w:w w:val="99"/>
          <w:kern w:val="32"/>
          <w:sz w:val="32"/>
          <w:szCs w:val="32"/>
          <w:highlight w:val="none"/>
        </w:rPr>
        <w:t>直接和间接费用。</w:t>
      </w:r>
      <w:r>
        <w:rPr>
          <w:rFonts w:ascii="Times New Roman" w:hAnsi="仿宋_GB2312" w:eastAsia="仿宋_GB2312"/>
          <w:snapToGrid w:val="0"/>
          <w:color w:val="auto"/>
          <w:spacing w:val="-6"/>
          <w:w w:val="99"/>
          <w:kern w:val="32"/>
          <w:sz w:val="32"/>
          <w:szCs w:val="32"/>
          <w:highlight w:val="none"/>
        </w:rPr>
        <w:t>直接费用</w:t>
      </w:r>
      <w:r>
        <w:rPr>
          <w:rFonts w:ascii="Times New Roman" w:hAnsi="Times New Roman" w:eastAsia="仿宋_GB2312"/>
          <w:snapToGrid w:val="0"/>
          <w:color w:val="auto"/>
          <w:spacing w:val="6"/>
          <w:w w:val="99"/>
          <w:kern w:val="32"/>
          <w:sz w:val="32"/>
          <w:szCs w:val="32"/>
          <w:highlight w:val="none"/>
        </w:rPr>
        <w:t>主要指设备费、材料费、测试化验加工费、燃料动力费、差旅费、会议费、人员费、专家咨询费等</w:t>
      </w:r>
      <w:r>
        <w:rPr>
          <w:rFonts w:ascii="Times New Roman" w:hAnsi="仿宋_GB2312" w:eastAsia="仿宋_GB2312"/>
          <w:snapToGrid w:val="0"/>
          <w:color w:val="auto"/>
          <w:spacing w:val="-6"/>
          <w:w w:val="99"/>
          <w:kern w:val="32"/>
          <w:sz w:val="32"/>
          <w:szCs w:val="32"/>
          <w:highlight w:val="none"/>
        </w:rPr>
        <w:t>；间接费用是指</w:t>
      </w:r>
      <w:r>
        <w:rPr>
          <w:rFonts w:ascii="Times New Roman" w:hAnsi="Times New Roman" w:eastAsia="仿宋_GB2312"/>
          <w:snapToGrid w:val="0"/>
          <w:color w:val="auto"/>
          <w:spacing w:val="6"/>
          <w:w w:val="99"/>
          <w:kern w:val="32"/>
          <w:sz w:val="32"/>
          <w:szCs w:val="32"/>
          <w:highlight w:val="none"/>
        </w:rPr>
        <w:t>项目研发所需设备及房屋、水、电、气、暖等方面的消耗，以及有关管理发生的补助支出。</w:t>
      </w:r>
    </w:p>
    <w:p>
      <w:pPr>
        <w:autoSpaceDE w:val="0"/>
        <w:autoSpaceDN w:val="0"/>
        <w:adjustRightInd w:val="0"/>
        <w:snapToGrid w:val="0"/>
        <w:spacing w:line="600" w:lineRule="exact"/>
        <w:ind w:firstLine="632" w:firstLineChars="200"/>
        <w:contextualSpacing/>
        <w:rPr>
          <w:rFonts w:ascii="Times New Roman" w:hAnsi="Times New Roman" w:eastAsia="仿宋_GB2312"/>
          <w:b/>
          <w:snapToGrid w:val="0"/>
          <w:color w:val="auto"/>
          <w:spacing w:val="-6"/>
          <w:w w:val="99"/>
          <w:kern w:val="32"/>
          <w:sz w:val="32"/>
          <w:szCs w:val="24"/>
          <w:highlight w:val="none"/>
        </w:rPr>
      </w:pPr>
      <w:r>
        <w:rPr>
          <w:rFonts w:ascii="Times New Roman" w:hAnsi="Times New Roman" w:eastAsia="黑体"/>
          <w:color w:val="auto"/>
          <w:w w:val="99"/>
          <w:sz w:val="32"/>
          <w:szCs w:val="32"/>
          <w:highlight w:val="none"/>
        </w:rPr>
        <w:t>第</w:t>
      </w:r>
      <w:r>
        <w:rPr>
          <w:rFonts w:hint="eastAsia" w:ascii="Times New Roman" w:hAnsi="Times New Roman" w:eastAsia="黑体"/>
          <w:color w:val="auto"/>
          <w:w w:val="99"/>
          <w:sz w:val="32"/>
          <w:szCs w:val="32"/>
          <w:highlight w:val="none"/>
        </w:rPr>
        <w:t>二十</w:t>
      </w:r>
      <w:r>
        <w:rPr>
          <w:rFonts w:ascii="Times New Roman" w:hAnsi="Times New Roman" w:eastAsia="黑体"/>
          <w:color w:val="auto"/>
          <w:w w:val="99"/>
          <w:sz w:val="32"/>
          <w:szCs w:val="32"/>
          <w:highlight w:val="none"/>
        </w:rPr>
        <w:t>条</w:t>
      </w:r>
      <w:r>
        <w:rPr>
          <w:rFonts w:hint="eastAsia" w:ascii="Times New Roman" w:hAnsi="Times New Roman" w:eastAsia="黑体"/>
          <w:color w:val="auto"/>
          <w:w w:val="99"/>
          <w:sz w:val="32"/>
          <w:szCs w:val="32"/>
          <w:highlight w:val="none"/>
        </w:rPr>
        <w:t xml:space="preserve">  </w:t>
      </w:r>
      <w:r>
        <w:rPr>
          <w:rFonts w:ascii="Times New Roman" w:hAnsi="Times New Roman" w:eastAsia="仿宋_GB2312"/>
          <w:snapToGrid w:val="0"/>
          <w:color w:val="auto"/>
          <w:spacing w:val="6"/>
          <w:w w:val="99"/>
          <w:kern w:val="32"/>
          <w:sz w:val="32"/>
          <w:szCs w:val="32"/>
          <w:highlight w:val="none"/>
        </w:rPr>
        <w:t>创新中心</w:t>
      </w:r>
      <w:r>
        <w:rPr>
          <w:rFonts w:ascii="Times New Roman" w:hAnsi="Times New Roman" w:eastAsia="仿宋_GB2312"/>
          <w:snapToGrid w:val="0"/>
          <w:color w:val="auto"/>
          <w:spacing w:val="-6"/>
          <w:w w:val="99"/>
          <w:kern w:val="32"/>
          <w:sz w:val="32"/>
          <w:szCs w:val="32"/>
          <w:highlight w:val="none"/>
        </w:rPr>
        <w:t>应严格根据合同约定使用专项资金，确保专项资金专款专用，并接受科技、财政、审计等部门的监督检查。</w:t>
      </w:r>
    </w:p>
    <w:p>
      <w:pPr>
        <w:autoSpaceDE w:val="0"/>
        <w:autoSpaceDN w:val="0"/>
        <w:adjustRightInd w:val="0"/>
        <w:snapToGrid w:val="0"/>
        <w:spacing w:line="600" w:lineRule="exact"/>
        <w:ind w:firstLine="625" w:firstLineChars="198"/>
        <w:contextualSpacing/>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color w:val="auto"/>
          <w:w w:val="99"/>
          <w:sz w:val="32"/>
          <w:szCs w:val="32"/>
          <w:highlight w:val="none"/>
        </w:rPr>
        <w:t>第二十</w:t>
      </w:r>
      <w:r>
        <w:rPr>
          <w:rFonts w:hint="eastAsia" w:ascii="Times New Roman" w:hAnsi="Times New Roman" w:eastAsia="黑体"/>
          <w:color w:val="auto"/>
          <w:w w:val="99"/>
          <w:sz w:val="32"/>
          <w:szCs w:val="32"/>
          <w:highlight w:val="none"/>
        </w:rPr>
        <w:t>一</w:t>
      </w:r>
      <w:r>
        <w:rPr>
          <w:rFonts w:ascii="Times New Roman" w:hAnsi="Times New Roman" w:eastAsia="黑体"/>
          <w:color w:val="auto"/>
          <w:w w:val="99"/>
          <w:sz w:val="32"/>
          <w:szCs w:val="32"/>
          <w:highlight w:val="none"/>
        </w:rPr>
        <w:t>条</w:t>
      </w:r>
      <w:r>
        <w:rPr>
          <w:rFonts w:ascii="Times New Roman" w:hAnsi="Times New Roman" w:eastAsia="仿宋_GB2312"/>
          <w:color w:val="auto"/>
          <w:w w:val="99"/>
          <w:sz w:val="32"/>
          <w:szCs w:val="32"/>
          <w:highlight w:val="none"/>
        </w:rPr>
        <w:t xml:space="preserve">  </w:t>
      </w:r>
      <w:r>
        <w:rPr>
          <w:rFonts w:ascii="Times New Roman" w:hAnsi="Times New Roman" w:eastAsia="仿宋_GB2312"/>
          <w:snapToGrid w:val="0"/>
          <w:color w:val="auto"/>
          <w:spacing w:val="6"/>
          <w:w w:val="99"/>
          <w:kern w:val="32"/>
          <w:sz w:val="32"/>
          <w:szCs w:val="32"/>
          <w:highlight w:val="none"/>
        </w:rPr>
        <w:t>项目实施过程中如发生项目实施时间延长、目标调整、内容更改、主要负责人变更、关键技术方案变更等对项目执行产生重大影响的情况，应在1个月内向研究院报告，并提出延期、修改（调整）、终止执行或撤销项目等调整申请。研究院根据实际情况提出处理意见报经区经科局审定。需延期验收的项目，须在合同到期前3个月内向研究院提出延期申请，延期时间不超过1年，每个项目只可延期一次。</w:t>
      </w:r>
    </w:p>
    <w:p>
      <w:pPr>
        <w:spacing w:line="600" w:lineRule="exact"/>
        <w:ind w:firstLine="645"/>
        <w:contextualSpacing/>
        <w:jc w:val="left"/>
        <w:rPr>
          <w:rFonts w:ascii="Times New Roman" w:hAnsi="Times New Roman" w:eastAsia="仿宋_GB2312"/>
          <w:color w:val="auto"/>
          <w:w w:val="99"/>
          <w:sz w:val="32"/>
          <w:szCs w:val="32"/>
          <w:highlight w:val="none"/>
        </w:rPr>
      </w:pPr>
      <w:r>
        <w:rPr>
          <w:rFonts w:ascii="Times New Roman" w:hAnsi="Times New Roman" w:eastAsia="黑体"/>
          <w:color w:val="auto"/>
          <w:w w:val="99"/>
          <w:sz w:val="32"/>
          <w:szCs w:val="32"/>
          <w:highlight w:val="none"/>
        </w:rPr>
        <w:t>第二十</w:t>
      </w:r>
      <w:r>
        <w:rPr>
          <w:rFonts w:hint="eastAsia" w:eastAsia="黑体"/>
          <w:color w:val="auto"/>
          <w:w w:val="99"/>
          <w:sz w:val="32"/>
          <w:szCs w:val="32"/>
          <w:highlight w:val="none"/>
          <w:lang w:eastAsia="zh-CN"/>
        </w:rPr>
        <w:t>二</w:t>
      </w:r>
      <w:r>
        <w:rPr>
          <w:rFonts w:ascii="Times New Roman" w:hAnsi="Times New Roman" w:eastAsia="黑体"/>
          <w:color w:val="auto"/>
          <w:w w:val="99"/>
          <w:sz w:val="32"/>
          <w:szCs w:val="32"/>
          <w:highlight w:val="none"/>
        </w:rPr>
        <w:t xml:space="preserve">条  </w:t>
      </w:r>
      <w:r>
        <w:rPr>
          <w:rFonts w:ascii="Times New Roman" w:hAnsi="Times New Roman" w:eastAsia="仿宋_GB2312"/>
          <w:color w:val="auto"/>
          <w:w w:val="99"/>
          <w:sz w:val="32"/>
          <w:szCs w:val="32"/>
          <w:highlight w:val="none"/>
        </w:rPr>
        <w:t>创新中心应每年提交进度报告，包含项目研发进度、专项资金使用情况和下一步工作计划，经推荐单位签署意见后提交至研究院备案，作为年度绩效评价和验收的依据。</w:t>
      </w:r>
    </w:p>
    <w:p>
      <w:pPr>
        <w:spacing w:line="600" w:lineRule="exact"/>
        <w:ind w:firstLine="645"/>
        <w:contextualSpacing/>
        <w:rPr>
          <w:rFonts w:ascii="Times New Roman" w:hAnsi="Times New Roman" w:eastAsia="仿宋_GB2312"/>
          <w:color w:val="auto"/>
          <w:w w:val="99"/>
          <w:sz w:val="32"/>
          <w:szCs w:val="32"/>
          <w:highlight w:val="none"/>
        </w:rPr>
      </w:pPr>
      <w:r>
        <w:rPr>
          <w:rFonts w:ascii="Times New Roman" w:hAnsi="Times New Roman" w:eastAsia="黑体"/>
          <w:color w:val="auto"/>
          <w:w w:val="99"/>
          <w:sz w:val="32"/>
          <w:szCs w:val="32"/>
          <w:highlight w:val="none"/>
        </w:rPr>
        <w:t>第</w:t>
      </w:r>
      <w:r>
        <w:rPr>
          <w:rFonts w:ascii="Times New Roman" w:hAnsi="Times New Roman" w:eastAsia="黑体"/>
          <w:snapToGrid w:val="0"/>
          <w:color w:val="auto"/>
          <w:spacing w:val="6"/>
          <w:w w:val="99"/>
          <w:kern w:val="32"/>
          <w:sz w:val="32"/>
          <w:szCs w:val="32"/>
          <w:highlight w:val="none"/>
        </w:rPr>
        <w:t>二十</w:t>
      </w:r>
      <w:r>
        <w:rPr>
          <w:rFonts w:hint="eastAsia" w:eastAsia="黑体"/>
          <w:snapToGrid w:val="0"/>
          <w:color w:val="auto"/>
          <w:spacing w:val="6"/>
          <w:w w:val="99"/>
          <w:kern w:val="32"/>
          <w:sz w:val="32"/>
          <w:szCs w:val="32"/>
          <w:highlight w:val="none"/>
          <w:lang w:eastAsia="zh-CN"/>
        </w:rPr>
        <w:t>三</w:t>
      </w:r>
      <w:r>
        <w:rPr>
          <w:rFonts w:ascii="Times New Roman" w:hAnsi="Times New Roman" w:eastAsia="黑体"/>
          <w:color w:val="auto"/>
          <w:w w:val="99"/>
          <w:sz w:val="32"/>
          <w:szCs w:val="32"/>
          <w:highlight w:val="none"/>
        </w:rPr>
        <w:t xml:space="preserve">条  </w:t>
      </w:r>
      <w:r>
        <w:rPr>
          <w:rFonts w:ascii="Times New Roman" w:hAnsi="Times New Roman" w:eastAsia="仿宋_GB2312"/>
          <w:color w:val="auto"/>
          <w:w w:val="99"/>
          <w:sz w:val="32"/>
          <w:szCs w:val="32"/>
          <w:highlight w:val="none"/>
        </w:rPr>
        <w:t xml:space="preserve">研究院根据立项合同书中约定的经济、技术、服务等指标组织专家对创新中心进行年度绩效评价。评价工作采取定量评估与定性评议相结合、书面材料与实地考察相结合的方式。 </w:t>
      </w:r>
    </w:p>
    <w:p>
      <w:pPr>
        <w:autoSpaceDE w:val="0"/>
        <w:autoSpaceDN w:val="0"/>
        <w:adjustRightInd w:val="0"/>
        <w:snapToGrid w:val="0"/>
        <w:spacing w:line="600" w:lineRule="exact"/>
        <w:ind w:firstLine="656" w:firstLineChars="200"/>
        <w:contextualSpacing/>
        <w:rPr>
          <w:rFonts w:ascii="Times New Roman" w:hAnsi="Times New Roman" w:eastAsia="仿宋_GB2312"/>
          <w:color w:val="auto"/>
          <w:w w:val="99"/>
          <w:sz w:val="32"/>
          <w:szCs w:val="32"/>
          <w:highlight w:val="none"/>
        </w:rPr>
      </w:pPr>
      <w:r>
        <w:rPr>
          <w:rFonts w:ascii="Times New Roman" w:hAnsi="Times New Roman" w:eastAsia="黑体"/>
          <w:snapToGrid w:val="0"/>
          <w:color w:val="auto"/>
          <w:spacing w:val="6"/>
          <w:w w:val="99"/>
          <w:kern w:val="32"/>
          <w:sz w:val="32"/>
          <w:szCs w:val="32"/>
          <w:highlight w:val="none"/>
        </w:rPr>
        <w:t>第二十</w:t>
      </w:r>
      <w:r>
        <w:rPr>
          <w:rFonts w:hint="eastAsia" w:eastAsia="黑体"/>
          <w:snapToGrid w:val="0"/>
          <w:color w:val="auto"/>
          <w:spacing w:val="6"/>
          <w:w w:val="99"/>
          <w:kern w:val="32"/>
          <w:sz w:val="32"/>
          <w:szCs w:val="32"/>
          <w:highlight w:val="none"/>
          <w:lang w:eastAsia="zh-CN"/>
        </w:rPr>
        <w:t>四</w:t>
      </w:r>
      <w:r>
        <w:rPr>
          <w:rFonts w:ascii="Times New Roman" w:hAnsi="Times New Roman" w:eastAsia="黑体"/>
          <w:snapToGrid w:val="0"/>
          <w:color w:val="auto"/>
          <w:spacing w:val="6"/>
          <w:w w:val="99"/>
          <w:kern w:val="32"/>
          <w:sz w:val="32"/>
          <w:szCs w:val="32"/>
          <w:highlight w:val="none"/>
        </w:rPr>
        <w:t xml:space="preserve">条  </w:t>
      </w:r>
      <w:r>
        <w:rPr>
          <w:rFonts w:ascii="Times New Roman" w:hAnsi="Times New Roman" w:eastAsia="仿宋_GB2312"/>
          <w:color w:val="auto"/>
          <w:w w:val="99"/>
          <w:sz w:val="32"/>
          <w:szCs w:val="32"/>
          <w:highlight w:val="none"/>
        </w:rPr>
        <w:t>事前资助类项目结题验收按照开发</w:t>
      </w:r>
      <w:r>
        <w:rPr>
          <w:rFonts w:hint="eastAsia" w:ascii="Times New Roman" w:hAnsi="Times New Roman" w:eastAsia="仿宋_GB2312"/>
          <w:color w:val="auto"/>
          <w:w w:val="99"/>
          <w:sz w:val="32"/>
          <w:szCs w:val="32"/>
          <w:highlight w:val="none"/>
        </w:rPr>
        <w:t>区科技项目结题验收</w:t>
      </w:r>
      <w:r>
        <w:rPr>
          <w:rFonts w:ascii="Times New Roman" w:hAnsi="Times New Roman" w:eastAsia="仿宋_GB2312"/>
          <w:color w:val="auto"/>
          <w:w w:val="99"/>
          <w:sz w:val="32"/>
          <w:szCs w:val="32"/>
          <w:highlight w:val="none"/>
        </w:rPr>
        <w:t>有关规定执行。</w:t>
      </w:r>
    </w:p>
    <w:p>
      <w:pPr>
        <w:autoSpaceDE w:val="0"/>
        <w:autoSpaceDN w:val="0"/>
        <w:adjustRightInd w:val="0"/>
        <w:snapToGrid w:val="0"/>
        <w:spacing w:line="600" w:lineRule="exact"/>
        <w:ind w:firstLine="656" w:firstLineChars="200"/>
        <w:contextualSpacing/>
        <w:jc w:val="left"/>
        <w:rPr>
          <w:rFonts w:ascii="Times New Roman" w:hAnsi="Times New Roman" w:eastAsia="仿宋_GB2312"/>
          <w:snapToGrid w:val="0"/>
          <w:color w:val="auto"/>
          <w:spacing w:val="6"/>
          <w:w w:val="99"/>
          <w:kern w:val="32"/>
          <w:sz w:val="32"/>
          <w:szCs w:val="32"/>
          <w:highlight w:val="none"/>
        </w:rPr>
      </w:pPr>
      <w:r>
        <w:rPr>
          <w:rFonts w:ascii="Times New Roman" w:hAnsi="Times New Roman" w:eastAsia="黑体"/>
          <w:snapToGrid w:val="0"/>
          <w:color w:val="auto"/>
          <w:spacing w:val="6"/>
          <w:w w:val="99"/>
          <w:kern w:val="32"/>
          <w:sz w:val="32"/>
          <w:szCs w:val="32"/>
          <w:highlight w:val="none"/>
        </w:rPr>
        <w:t>第二十</w:t>
      </w:r>
      <w:r>
        <w:rPr>
          <w:rFonts w:hint="eastAsia" w:eastAsia="黑体"/>
          <w:snapToGrid w:val="0"/>
          <w:color w:val="auto"/>
          <w:spacing w:val="6"/>
          <w:w w:val="99"/>
          <w:kern w:val="32"/>
          <w:sz w:val="32"/>
          <w:szCs w:val="32"/>
          <w:highlight w:val="none"/>
          <w:lang w:eastAsia="zh-CN"/>
        </w:rPr>
        <w:t>五</w:t>
      </w:r>
      <w:r>
        <w:rPr>
          <w:rFonts w:ascii="Times New Roman" w:hAnsi="Times New Roman" w:eastAsia="黑体"/>
          <w:snapToGrid w:val="0"/>
          <w:color w:val="auto"/>
          <w:spacing w:val="6"/>
          <w:w w:val="99"/>
          <w:kern w:val="32"/>
          <w:sz w:val="32"/>
          <w:szCs w:val="32"/>
          <w:highlight w:val="none"/>
        </w:rPr>
        <w:t xml:space="preserve">条 </w:t>
      </w:r>
      <w:r>
        <w:rPr>
          <w:rFonts w:ascii="Times New Roman" w:hAnsi="Times New Roman" w:eastAsia="仿宋_GB2312"/>
          <w:snapToGrid w:val="0"/>
          <w:color w:val="auto"/>
          <w:spacing w:val="6"/>
          <w:w w:val="99"/>
          <w:kern w:val="32"/>
          <w:sz w:val="32"/>
          <w:szCs w:val="32"/>
          <w:highlight w:val="none"/>
        </w:rPr>
        <w:t xml:space="preserve"> </w:t>
      </w:r>
      <w:r>
        <w:rPr>
          <w:rFonts w:hint="eastAsia" w:ascii="Times New Roman" w:hAnsi="Times New Roman" w:eastAsia="仿宋_GB2312"/>
          <w:snapToGrid w:val="0"/>
          <w:color w:val="auto"/>
          <w:spacing w:val="6"/>
          <w:w w:val="99"/>
          <w:kern w:val="32"/>
          <w:sz w:val="32"/>
          <w:szCs w:val="32"/>
          <w:highlight w:val="none"/>
        </w:rPr>
        <w:t>专项资金</w:t>
      </w:r>
      <w:r>
        <w:rPr>
          <w:rFonts w:ascii="Times New Roman" w:hAnsi="Times New Roman" w:eastAsia="仿宋_GB2312"/>
          <w:snapToGrid w:val="0"/>
          <w:color w:val="auto"/>
          <w:spacing w:val="6"/>
          <w:w w:val="99"/>
          <w:kern w:val="32"/>
          <w:sz w:val="32"/>
          <w:szCs w:val="32"/>
          <w:highlight w:val="none"/>
        </w:rPr>
        <w:t>申请单位不得弄虚作假，骗取、套取专项资金。违反规定的，区经科局有权取消其三年内申请区科技创新专项资金的资格，并向社会公告；存在违法违纪行为的，将依法追究相关责任。</w:t>
      </w:r>
    </w:p>
    <w:p>
      <w:pPr>
        <w:autoSpaceDE w:val="0"/>
        <w:autoSpaceDN w:val="0"/>
        <w:adjustRightInd w:val="0"/>
        <w:snapToGrid w:val="0"/>
        <w:spacing w:line="600" w:lineRule="exact"/>
        <w:ind w:firstLine="656" w:firstLineChars="200"/>
        <w:contextualSpacing/>
        <w:jc w:val="left"/>
        <w:rPr>
          <w:rFonts w:ascii="Times New Roman" w:hAnsi="Times New Roman" w:eastAsia="仿宋_GB2312"/>
          <w:snapToGrid w:val="0"/>
          <w:color w:val="auto"/>
          <w:spacing w:val="6"/>
          <w:w w:val="99"/>
          <w:kern w:val="32"/>
          <w:sz w:val="32"/>
          <w:szCs w:val="32"/>
          <w:highlight w:val="none"/>
        </w:rPr>
      </w:pPr>
    </w:p>
    <w:p>
      <w:pPr>
        <w:spacing w:line="600" w:lineRule="exact"/>
        <w:contextualSpacing/>
        <w:jc w:val="center"/>
        <w:rPr>
          <w:rFonts w:ascii="Times New Roman" w:hAnsi="Times New Roman" w:eastAsia="黑体"/>
          <w:color w:val="auto"/>
          <w:w w:val="99"/>
          <w:sz w:val="32"/>
          <w:szCs w:val="32"/>
          <w:highlight w:val="none"/>
        </w:rPr>
      </w:pPr>
      <w:r>
        <w:rPr>
          <w:rFonts w:ascii="Times New Roman" w:hAnsi="Times New Roman" w:eastAsia="黑体"/>
          <w:color w:val="auto"/>
          <w:w w:val="99"/>
          <w:sz w:val="32"/>
          <w:szCs w:val="32"/>
          <w:highlight w:val="none"/>
        </w:rPr>
        <w:t>第</w:t>
      </w:r>
      <w:r>
        <w:rPr>
          <w:rFonts w:hint="eastAsia" w:ascii="Times New Roman" w:hAnsi="Times New Roman" w:eastAsia="黑体"/>
          <w:color w:val="auto"/>
          <w:w w:val="99"/>
          <w:sz w:val="32"/>
          <w:szCs w:val="32"/>
          <w:highlight w:val="none"/>
          <w:lang w:val="en-US" w:eastAsia="zh-CN"/>
        </w:rPr>
        <w:t>六</w:t>
      </w:r>
      <w:r>
        <w:rPr>
          <w:rFonts w:ascii="Times New Roman" w:hAnsi="Times New Roman" w:eastAsia="黑体"/>
          <w:color w:val="auto"/>
          <w:w w:val="99"/>
          <w:sz w:val="32"/>
          <w:szCs w:val="32"/>
          <w:highlight w:val="none"/>
        </w:rPr>
        <w:t>章  附则</w:t>
      </w:r>
    </w:p>
    <w:p>
      <w:pPr>
        <w:spacing w:line="600" w:lineRule="exact"/>
        <w:ind w:firstLine="608" w:firstLineChars="200"/>
        <w:contextualSpacing/>
        <w:jc w:val="left"/>
        <w:rPr>
          <w:rFonts w:ascii="Times New Roman" w:hAnsi="Times New Roman" w:eastAsia="黑体"/>
          <w:color w:val="auto"/>
          <w:w w:val="99"/>
          <w:sz w:val="32"/>
          <w:szCs w:val="32"/>
          <w:highlight w:val="none"/>
        </w:rPr>
      </w:pPr>
      <w:r>
        <w:rPr>
          <w:rFonts w:ascii="Times New Roman" w:hAnsi="Times New Roman" w:eastAsia="黑体"/>
          <w:snapToGrid w:val="0"/>
          <w:color w:val="auto"/>
          <w:spacing w:val="-6"/>
          <w:w w:val="99"/>
          <w:kern w:val="32"/>
          <w:sz w:val="32"/>
          <w:szCs w:val="32"/>
          <w:highlight w:val="none"/>
        </w:rPr>
        <w:t>第二十</w:t>
      </w:r>
      <w:r>
        <w:rPr>
          <w:rFonts w:hint="eastAsia" w:eastAsia="黑体"/>
          <w:snapToGrid w:val="0"/>
          <w:color w:val="auto"/>
          <w:spacing w:val="-6"/>
          <w:w w:val="99"/>
          <w:kern w:val="32"/>
          <w:sz w:val="32"/>
          <w:szCs w:val="32"/>
          <w:highlight w:val="none"/>
          <w:lang w:eastAsia="zh-CN"/>
        </w:rPr>
        <w:t>六</w:t>
      </w:r>
      <w:r>
        <w:rPr>
          <w:rFonts w:ascii="Times New Roman" w:hAnsi="Times New Roman" w:eastAsia="黑体"/>
          <w:snapToGrid w:val="0"/>
          <w:color w:val="auto"/>
          <w:spacing w:val="-6"/>
          <w:w w:val="99"/>
          <w:kern w:val="32"/>
          <w:sz w:val="32"/>
          <w:szCs w:val="32"/>
          <w:highlight w:val="none"/>
        </w:rPr>
        <w:t xml:space="preserve">条  </w:t>
      </w:r>
      <w:r>
        <w:rPr>
          <w:rFonts w:ascii="Times New Roman" w:hAnsi="Times New Roman" w:eastAsia="仿宋"/>
          <w:snapToGrid w:val="0"/>
          <w:color w:val="auto"/>
          <w:spacing w:val="6"/>
          <w:w w:val="99"/>
          <w:kern w:val="32"/>
          <w:sz w:val="32"/>
          <w:szCs w:val="32"/>
          <w:highlight w:val="none"/>
        </w:rPr>
        <w:t>本办法由研究院负责解释。</w:t>
      </w:r>
    </w:p>
    <w:p>
      <w:pPr>
        <w:spacing w:line="600" w:lineRule="exact"/>
        <w:ind w:firstLine="632" w:firstLineChars="200"/>
        <w:contextualSpacing/>
        <w:jc w:val="left"/>
        <w:rPr>
          <w:rFonts w:ascii="Times New Roman" w:hAnsi="Times New Roman" w:eastAsia="仿宋"/>
          <w:color w:val="auto"/>
          <w:w w:val="95"/>
          <w:sz w:val="32"/>
          <w:szCs w:val="32"/>
          <w:highlight w:val="none"/>
        </w:rPr>
      </w:pPr>
      <w:r>
        <w:rPr>
          <w:rFonts w:ascii="Times New Roman" w:hAnsi="Times New Roman" w:eastAsia="黑体"/>
          <w:color w:val="auto"/>
          <w:w w:val="99"/>
          <w:sz w:val="32"/>
          <w:szCs w:val="32"/>
          <w:highlight w:val="none"/>
        </w:rPr>
        <w:t>第二十</w:t>
      </w:r>
      <w:r>
        <w:rPr>
          <w:rFonts w:hint="eastAsia" w:ascii="Times New Roman" w:hAnsi="Times New Roman" w:eastAsia="黑体"/>
          <w:snapToGrid w:val="0"/>
          <w:color w:val="auto"/>
          <w:spacing w:val="-6"/>
          <w:w w:val="99"/>
          <w:kern w:val="32"/>
          <w:sz w:val="32"/>
          <w:szCs w:val="32"/>
          <w:highlight w:val="none"/>
        </w:rPr>
        <w:t>七</w:t>
      </w:r>
      <w:r>
        <w:rPr>
          <w:rFonts w:ascii="Times New Roman" w:hAnsi="Times New Roman" w:eastAsia="黑体"/>
          <w:color w:val="auto"/>
          <w:w w:val="99"/>
          <w:sz w:val="32"/>
          <w:szCs w:val="32"/>
          <w:highlight w:val="none"/>
        </w:rPr>
        <w:t>条</w:t>
      </w:r>
      <w:r>
        <w:rPr>
          <w:rFonts w:hint="eastAsia" w:ascii="Times New Roman" w:hAnsi="Times New Roman" w:eastAsia="黑体"/>
          <w:color w:val="auto"/>
          <w:w w:val="99"/>
          <w:sz w:val="32"/>
          <w:szCs w:val="32"/>
          <w:highlight w:val="none"/>
        </w:rPr>
        <w:t xml:space="preserve"> </w:t>
      </w:r>
      <w:r>
        <w:rPr>
          <w:rFonts w:ascii="Times New Roman" w:hAnsi="Times New Roman" w:eastAsia="仿宋"/>
          <w:color w:val="auto"/>
          <w:w w:val="99"/>
          <w:sz w:val="32"/>
          <w:szCs w:val="32"/>
          <w:highlight w:val="none"/>
        </w:rPr>
        <w:t>本办法自</w:t>
      </w:r>
      <w:r>
        <w:rPr>
          <w:rFonts w:hint="eastAsia" w:ascii="Times New Roman" w:hAnsi="Times New Roman" w:eastAsia="仿宋"/>
          <w:color w:val="auto"/>
          <w:w w:val="99"/>
          <w:sz w:val="32"/>
          <w:szCs w:val="32"/>
          <w:highlight w:val="none"/>
        </w:rPr>
        <w:t>2021</w:t>
      </w:r>
      <w:r>
        <w:rPr>
          <w:rFonts w:ascii="Times New Roman" w:hAnsi="Times New Roman" w:eastAsia="仿宋"/>
          <w:color w:val="auto"/>
          <w:w w:val="99"/>
          <w:sz w:val="32"/>
          <w:szCs w:val="32"/>
          <w:highlight w:val="none"/>
        </w:rPr>
        <w:t>年1月1日起施行，有效期至202</w:t>
      </w:r>
      <w:r>
        <w:rPr>
          <w:rFonts w:hint="eastAsia" w:ascii="Times New Roman" w:hAnsi="Times New Roman" w:eastAsia="仿宋"/>
          <w:color w:val="auto"/>
          <w:w w:val="99"/>
          <w:sz w:val="32"/>
          <w:szCs w:val="32"/>
          <w:highlight w:val="none"/>
        </w:rPr>
        <w:t>3</w:t>
      </w:r>
      <w:r>
        <w:rPr>
          <w:rFonts w:ascii="Times New Roman" w:hAnsi="Times New Roman" w:eastAsia="仿宋"/>
          <w:color w:val="auto"/>
          <w:w w:val="99"/>
          <w:sz w:val="32"/>
          <w:szCs w:val="32"/>
          <w:highlight w:val="none"/>
        </w:rPr>
        <w:t>年12月31日止。</w:t>
      </w:r>
    </w:p>
    <w:p>
      <w:pPr>
        <w:spacing w:line="700" w:lineRule="exact"/>
        <w:jc w:val="center"/>
        <w:outlineLvl w:val="9"/>
        <w:rPr>
          <w:rFonts w:eastAsia="方正小标宋简体"/>
          <w:bCs/>
          <w:color w:val="auto"/>
          <w:sz w:val="44"/>
          <w:szCs w:val="44"/>
          <w:highlight w:val="none"/>
        </w:rPr>
      </w:pPr>
    </w:p>
    <w:p>
      <w:pPr>
        <w:spacing w:line="700" w:lineRule="exact"/>
        <w:jc w:val="center"/>
        <w:outlineLvl w:val="9"/>
        <w:rPr>
          <w:rFonts w:eastAsia="方正小标宋简体"/>
          <w:bCs/>
          <w:color w:val="auto"/>
          <w:sz w:val="44"/>
          <w:szCs w:val="4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F48D7"/>
    <w:rsid w:val="0C3F4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link w:val="3"/>
    <w:semiHidden/>
    <w:uiPriority w:val="0"/>
    <w:rPr>
      <w:rFonts w:ascii="Times New Roman" w:hAnsi="Times New Roman"/>
      <w:szCs w:val="24"/>
    </w:rPr>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3">
    <w:name w:val="Char Char Char Char"/>
    <w:basedOn w:val="1"/>
    <w:link w:val="2"/>
    <w:qFormat/>
    <w:uiPriority w:val="0"/>
    <w:rPr>
      <w:rFonts w:ascii="Times New Roman" w:hAnsi="Times New Roman"/>
      <w:szCs w:val="24"/>
    </w:rPr>
  </w:style>
  <w:style w:type="character" w:customStyle="1" w:styleId="5">
    <w:name w:val="不明显参考1"/>
    <w:basedOn w:val="2"/>
    <w:qFormat/>
    <w:uiPriority w:val="31"/>
    <w:rPr>
      <w:smallCaps/>
      <w:color w:val="ED7D31" w:themeColor="accent2"/>
      <w:u w:val="single"/>
      <w14:textFill>
        <w14:solidFill>
          <w14:schemeClr w14:val="accent2"/>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2020-09-28T01:58:00Z</dcterms:created>
  <dc:creator>Admin</dc:creator>
  <cp:lastModifiedBy>Admin</cp:lastModifiedBy>
  <dcterms:modified xsi:type="dcterms:W3CDTF">2020-09-28T01:59:08Z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