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4"/>
        <w:tblW w:w="132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99"/>
        <w:gridCol w:w="1229"/>
        <w:gridCol w:w="1214"/>
        <w:gridCol w:w="1064"/>
        <w:gridCol w:w="1064"/>
        <w:gridCol w:w="2400"/>
        <w:gridCol w:w="1410"/>
        <w:gridCol w:w="1432"/>
        <w:gridCol w:w="315"/>
        <w:gridCol w:w="861"/>
        <w:gridCol w:w="264"/>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3252" w:type="dxa"/>
            <w:gridSpan w:val="12"/>
            <w:vAlign w:val="bottom"/>
          </w:tcPr>
          <w:p>
            <w:pPr>
              <w:widowControl/>
              <w:jc w:val="left"/>
              <w:textAlignment w:val="bottom"/>
              <w:rPr>
                <w:rFonts w:ascii="宋体" w:hAnsi="宋体" w:eastAsia="宋体" w:cs="宋体"/>
                <w:b/>
                <w:color w:val="000000"/>
                <w:sz w:val="44"/>
                <w:szCs w:val="44"/>
              </w:rPr>
            </w:pPr>
            <w:r>
              <w:rPr>
                <w:rFonts w:hint="eastAsia" w:ascii="宋体" w:hAnsi="宋体" w:eastAsia="宋体" w:cs="宋体"/>
                <w:b/>
                <w:color w:val="000000"/>
                <w:kern w:val="0"/>
                <w:sz w:val="44"/>
                <w:szCs w:val="44"/>
                <w:lang/>
              </w:rPr>
              <w:t xml:space="preserve">      建设工程企业良好行为加分标准</w:t>
            </w:r>
            <w:r>
              <w:rPr>
                <w:rStyle w:val="5"/>
                <w:rFonts w:hint="default"/>
                <w:lang/>
              </w:rPr>
              <w:t>(版本编号：2020）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00" w:type="dxa"/>
          <w:trHeight w:val="585" w:hRule="atLeast"/>
        </w:trPr>
        <w:tc>
          <w:tcPr>
            <w:tcW w:w="12452" w:type="dxa"/>
            <w:gridSpan w:val="11"/>
            <w:tcBorders>
              <w:bottom w:val="single" w:color="000000" w:sz="4" w:space="0"/>
            </w:tcBorders>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00" w:type="dxa"/>
          <w:trHeight w:val="286" w:hRule="atLeast"/>
        </w:trPr>
        <w:tc>
          <w:tcPr>
            <w:tcW w:w="1199"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rPr>
              <w:t>企业类别</w:t>
            </w:r>
          </w:p>
        </w:tc>
        <w:tc>
          <w:tcPr>
            <w:tcW w:w="1229"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rPr>
              <w:t>获奖类别</w:t>
            </w:r>
          </w:p>
        </w:tc>
        <w:tc>
          <w:tcPr>
            <w:tcW w:w="121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rPr>
              <w:t>获奖层次</w:t>
            </w:r>
          </w:p>
        </w:tc>
        <w:tc>
          <w:tcPr>
            <w:tcW w:w="4528"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rPr>
              <w:t>获奖情况</w:t>
            </w:r>
          </w:p>
        </w:tc>
        <w:tc>
          <w:tcPr>
            <w:tcW w:w="141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rPr>
              <w:t>颁奖部门</w:t>
            </w:r>
          </w:p>
        </w:tc>
        <w:tc>
          <w:tcPr>
            <w:tcW w:w="1747"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rPr>
              <w:t>分值</w:t>
            </w:r>
          </w:p>
        </w:tc>
        <w:tc>
          <w:tcPr>
            <w:tcW w:w="1125"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rPr>
              <w:t>使用有效期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00" w:type="dxa"/>
          <w:trHeight w:val="795" w:hRule="atLeast"/>
        </w:trPr>
        <w:tc>
          <w:tcPr>
            <w:tcW w:w="11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建筑业施工企业</w:t>
            </w: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奖励加分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在中山辖区内的工程取得市级相关荣誉</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市住建局或市行业协会</w:t>
            </w:r>
          </w:p>
        </w:tc>
        <w:tc>
          <w:tcPr>
            <w:tcW w:w="17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00"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在中山辖区内的工程取得省级相关荣誉</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省住建厅或省行业协会</w:t>
            </w:r>
          </w:p>
        </w:tc>
        <w:tc>
          <w:tcPr>
            <w:tcW w:w="17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00"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在中山辖区内的工程取得国家级相关荣誉</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住建部或部行业协会</w:t>
            </w:r>
          </w:p>
        </w:tc>
        <w:tc>
          <w:tcPr>
            <w:tcW w:w="17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50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00" w:type="dxa"/>
          <w:trHeight w:val="85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承建的建筑施工项目安全生产标准化评定结果为优良</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房屋建筑工程</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建筑面积5000平方米—2万平方米以内（不含2万）的工程</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7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00" w:type="dxa"/>
          <w:trHeight w:val="85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建筑面积2万-8万平方米以内（不含8万）的工程</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7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6</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00" w:type="dxa"/>
          <w:trHeight w:val="312"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24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建筑面积8万平方米及以上的工程</w:t>
            </w:r>
          </w:p>
        </w:tc>
        <w:tc>
          <w:tcPr>
            <w:tcW w:w="14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7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8</w:t>
            </w:r>
          </w:p>
        </w:tc>
        <w:tc>
          <w:tcPr>
            <w:tcW w:w="11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800" w:type="dxa"/>
          <w:trHeight w:val="82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24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85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市政、装饰工程</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造价为500万元—2000万元以内（不含2000万元）的工程</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85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造价为2000万元-8000万元以内（不含8000万）的工程</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6</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67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造价为8000万元及以上的工程</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8</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6960" w:hRule="atLeast"/>
        </w:trPr>
        <w:tc>
          <w:tcPr>
            <w:tcW w:w="1199"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在中山辖区内的工程项目开工前取得施工许可证</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施工企业按施工许可证所报造价，每200万元加1分（下限1分，上限10分）；监理企业按签订合同价款每5万元加1分（下限1分，上限10分）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5760"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在中山辖区内的工程竣工验收备案</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施工企业按施工许可证所报造价，每200万元加1分（下限1分，上限10分）；监理企业按签订合同价款每5万元加1分（下限1分，上限10分）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24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施工现场按要求封闭围挡，围挡上公益广告设置面积达到围挡外立面总面积的50%以上，并保持坚固、稳定、整洁、美观</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681"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施工现场扬尘防控创新工作措施（如使用自动冲洗设施、道路两侧设置喷淋装置，路面干净、房屋建筑楼层每6层设置喷淋装置），达到良好的扬尘防控效果。（需实施两种以上的有效创新措施）</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67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承建工程规范安装视频监控系统</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67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镇级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举办全镇范围的安全生产观摩活动</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61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举办全市范围的安全生产观摩活动</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630"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color w:val="000000"/>
                <w:kern w:val="0"/>
                <w:sz w:val="24"/>
                <w:lang/>
              </w:rPr>
              <w:t>举办全省范围的安全生产观摩活动</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630"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color w:val="000000"/>
                <w:kern w:val="0"/>
                <w:sz w:val="24"/>
                <w:lang/>
              </w:rPr>
              <w:t>获得市级优良工程或同级别的质量类奖项</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690"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color w:val="000000"/>
                <w:kern w:val="0"/>
                <w:sz w:val="24"/>
                <w:lang/>
              </w:rPr>
              <w:t>制作工程质量样板引路，住宅工程有制作室内抹灰砂浆和防水的样板引路</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03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color w:val="000000"/>
                <w:kern w:val="0"/>
                <w:sz w:val="24"/>
                <w:lang/>
              </w:rPr>
              <w:t>施工现场设置混凝土试块标准养护室且标养室采用自动温湿度记录装置，符合相关规范要求</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3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color w:val="000000"/>
                <w:kern w:val="0"/>
                <w:sz w:val="24"/>
                <w:lang/>
              </w:rPr>
              <w:t>按要求制作同条件试块且在现场有采取保护试块的措施和明确标示位置</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336"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color w:val="000000"/>
                <w:kern w:val="0"/>
                <w:sz w:val="24"/>
                <w:lang/>
              </w:rPr>
              <w:t>制定符合本工程实际情况的工程质量常见问题防治方案和措施</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336"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参加行政主管部门组织的质量技术研讨会且提出方案和措施的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5</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336"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在本市内施工企业举办预拌砂浆、高性能混凝土等新材料工程应用示范</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85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由住建局组织的，派出救援队伍参与外市抢险救灾</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50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855" w:hRule="atLeast"/>
        </w:trPr>
        <w:tc>
          <w:tcPr>
            <w:tcW w:w="1199"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由住建局组织的抗洪抢险救灾的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855" w:hRule="atLeast"/>
        </w:trPr>
        <w:tc>
          <w:tcPr>
            <w:tcW w:w="119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支持扶贫事业</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5</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建筑业监理企业</w:t>
            </w:r>
          </w:p>
        </w:tc>
        <w:tc>
          <w:tcPr>
            <w:tcW w:w="1229"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奖励加分</w:t>
            </w:r>
          </w:p>
        </w:tc>
        <w:tc>
          <w:tcPr>
            <w:tcW w:w="1214"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在中山辖区内的工程取得市级相关荣誉</w:t>
            </w:r>
          </w:p>
        </w:tc>
        <w:tc>
          <w:tcPr>
            <w:tcW w:w="1410"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在中山辖区内的工程取得省级相关荣誉</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省住建厅</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在中山辖区内的工程取得国家级相关荣誉</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住建部</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855" w:hRule="atLeast"/>
        </w:trPr>
        <w:tc>
          <w:tcPr>
            <w:tcW w:w="119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承建的建筑施工项目安全生产标准化评定结果为优良</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房屋建筑工程</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建筑面积5000平方米—8万平方米以内（不含8万）的工程</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570" w:hRule="atLeast"/>
        </w:trPr>
        <w:tc>
          <w:tcPr>
            <w:tcW w:w="119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建筑面积8万平方米及以上的工程</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5</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855" w:hRule="atLeast"/>
        </w:trPr>
        <w:tc>
          <w:tcPr>
            <w:tcW w:w="119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市政、装饰工程</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造价为500万元—8000万元以内（不含8000万）的工程</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570" w:hRule="atLeast"/>
        </w:trPr>
        <w:tc>
          <w:tcPr>
            <w:tcW w:w="119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造价为8000万元及以上的工程</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5</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35" w:hRule="atLeast"/>
        </w:trPr>
        <w:tc>
          <w:tcPr>
            <w:tcW w:w="119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完成审核工程质量样板引路方案工作</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35" w:hRule="atLeast"/>
        </w:trPr>
        <w:tc>
          <w:tcPr>
            <w:tcW w:w="119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完成审核施工现场按要求设置混凝土试块标准养护室的工作</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60" w:hRule="atLeast"/>
        </w:trPr>
        <w:tc>
          <w:tcPr>
            <w:tcW w:w="119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检查确认施工单位有按要求制作同条件试块且放置在相应位置</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35" w:hRule="atLeast"/>
        </w:trPr>
        <w:tc>
          <w:tcPr>
            <w:tcW w:w="119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审核制定工程质量常见问题防治方案和措施</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050" w:hRule="atLeast"/>
        </w:trPr>
        <w:tc>
          <w:tcPr>
            <w:tcW w:w="119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按时按要求提交质量监理月报</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825" w:hRule="atLeast"/>
        </w:trPr>
        <w:tc>
          <w:tcPr>
            <w:tcW w:w="11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招标代理机构</w:t>
            </w: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奖励加分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配合监督部门开展监督业务</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5</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21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按要求报送数据</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1/次</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000000"/>
                <w:kern w:val="0"/>
                <w:sz w:val="24"/>
                <w:lang/>
              </w:rPr>
              <w:t>参加</w:t>
            </w:r>
            <w:r>
              <w:rPr>
                <w:rStyle w:val="7"/>
                <w:rFonts w:hint="default"/>
                <w:color w:val="auto"/>
                <w:lang/>
              </w:rPr>
              <w:t>行业协会或</w:t>
            </w:r>
            <w:r>
              <w:rPr>
                <w:rStyle w:val="8"/>
                <w:rFonts w:hint="default"/>
                <w:color w:val="auto"/>
                <w:lang/>
              </w:rPr>
              <w:t>监管部门组织的</w:t>
            </w:r>
            <w:r>
              <w:rPr>
                <w:rStyle w:val="7"/>
                <w:rFonts w:hint="default"/>
                <w:color w:val="auto"/>
                <w:lang/>
              </w:rPr>
              <w:t>招投标</w:t>
            </w:r>
            <w:r>
              <w:rPr>
                <w:rStyle w:val="8"/>
                <w:rFonts w:hint="default"/>
                <w:color w:val="auto"/>
                <w:lang/>
              </w:rPr>
              <w:t>业务培训</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rPr>
            </w:pPr>
            <w:bookmarkStart w:id="0" w:name="_GoBack"/>
            <w:r>
              <w:rPr>
                <w:rFonts w:hint="eastAsia" w:ascii="宋体" w:hAnsi="宋体" w:eastAsia="宋体" w:cs="宋体"/>
                <w:color w:val="000000"/>
                <w:kern w:val="0"/>
                <w:sz w:val="24"/>
                <w:lang/>
              </w:rPr>
              <w:t>0.2/次</w:t>
            </w:r>
            <w:bookmarkEnd w:id="0"/>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获得中山市建设行政主管部门表彰的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lang/>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lang/>
              </w:rPr>
            </w:pPr>
            <w:r>
              <w:rPr>
                <w:rFonts w:hint="eastAsia" w:ascii="宋体" w:hAnsi="宋体" w:eastAsia="宋体" w:cs="宋体"/>
                <w:color w:val="000000"/>
                <w:kern w:val="0"/>
                <w:sz w:val="24"/>
                <w:lang/>
              </w:rPr>
              <w:t>获得广东省建设行政主管部门表彰的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省住建厅</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lang/>
              </w:rPr>
            </w:pPr>
            <w:r>
              <w:rPr>
                <w:rFonts w:hint="eastAsia" w:ascii="宋体" w:hAnsi="宋体" w:eastAsia="宋体" w:cs="宋体"/>
                <w:color w:val="000000"/>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lang/>
              </w:rPr>
            </w:pPr>
            <w:r>
              <w:rPr>
                <w:rFonts w:hint="eastAsia" w:ascii="宋体" w:hAnsi="宋体" w:eastAsia="宋体" w:cs="宋体"/>
                <w:color w:val="000000"/>
                <w:kern w:val="0"/>
                <w:sz w:val="24"/>
                <w:lang/>
              </w:rPr>
              <w:t>获得住建部表彰的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住建部</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20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516"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color w:val="000000"/>
                <w:kern w:val="0"/>
                <w:sz w:val="24"/>
                <w:lang/>
              </w:rPr>
              <w:t>在代理招标项目过程中未被诚信扣分，并获得合同对方作出满意评价</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2/项</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020"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在招投标过程中举报违法违规行为，并经行政主管部门核实有效的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75" w:hRule="atLeast"/>
        </w:trPr>
        <w:tc>
          <w:tcPr>
            <w:tcW w:w="11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勘察设计企业</w:t>
            </w: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信用经营</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企业在中山市成立独立法人机构，或设立分支机构（独立法人机构和分支机构不能同时加分，不包括办事处）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独立法人机构加10分，分支机构加5分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1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国家、广东省或中山市市场监管部门认定的上一年度守合同重信用单位</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国家、广东省或中山市市场监管部门</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5分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85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企业在中山市辖区内依法纳税（含增值稅和所得税）作出贡献的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中山市税务部门</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每满50万元加1分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1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奖项加分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全国优秀工程勘察设计行业奖</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rPr>
              <w:t>中国勘察设计协会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一等奖：60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二等奖：50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三等奖：40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广东省岭南特色规划与建筑设计奖（建设设计奖、园林设计奖、特色乡村民居奖）</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rPr>
              <w:t>广东省住建厅</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金奖：40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银奖：30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铜奖：20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广东省优秀工程勘察设计奖</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rPr>
              <w:t>广东省工程勘察设计行业协会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一等奖：40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二等奖：30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三等奖：20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广东优秀建筑装饰工程奖（设计类）</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rPr>
              <w:t>广东省建筑业协会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一等奖：40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二等奖：30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三等奖：20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中山市优秀勘察设计奖</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rPr>
              <w:t>市工程勘察设计行业协会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一等奖：20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二等奖：10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三等奖：5</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国家级</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省级</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获得绿色建筑评价标识</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rPr>
              <w:t>住房和城乡建设管理部门或者经住房和城乡建设管理部门认定的绿色建筑评价机构</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一星级：2</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二星级：10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三星级：30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国家级</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省级</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通过装配式建筑评价</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rPr>
              <w:t>住房和城乡建设管理部门</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预评价阶段</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基本级：10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A级：20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AA级：30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AAA级：40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竣工评价阶段</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基本级：10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A级：20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AA级：30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AAA级：40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（预评价阶段与竣工评价阶段分数可叠加）</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rPr>
            </w:pPr>
            <w:r>
              <w:rPr>
                <w:rFonts w:hint="eastAsia" w:ascii="宋体" w:hAnsi="宋体" w:eastAsia="宋体" w:cs="宋体"/>
                <w:i w:val="0"/>
                <w:color w:val="000000"/>
                <w:kern w:val="0"/>
                <w:sz w:val="24"/>
                <w:szCs w:val="24"/>
                <w:u w:val="none"/>
                <w:lang w:val="en-US" w:eastAsia="zh-CN"/>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rPr>
            </w:pPr>
            <w:r>
              <w:rPr>
                <w:rFonts w:hint="eastAsia" w:ascii="宋体" w:hAnsi="宋体" w:eastAsia="宋体" w:cs="宋体"/>
                <w:i w:val="0"/>
                <w:color w:val="000000"/>
                <w:kern w:val="0"/>
                <w:sz w:val="24"/>
                <w:szCs w:val="24"/>
                <w:u w:val="none"/>
                <w:lang w:val="en-US" w:eastAsia="zh-CN"/>
              </w:rPr>
              <w:t>投标成功且该招标投标活动未被废标的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rPr>
            </w:pPr>
            <w:r>
              <w:rPr>
                <w:rFonts w:hint="eastAsia" w:ascii="宋体" w:hAnsi="宋体" w:eastAsia="宋体" w:cs="宋体"/>
                <w:i w:val="0"/>
                <w:color w:val="000000"/>
                <w:kern w:val="0"/>
                <w:sz w:val="24"/>
                <w:szCs w:val="24"/>
                <w:u w:val="none"/>
                <w:lang w:val="en-US" w:eastAsia="zh-CN"/>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rPr>
            </w:pPr>
            <w:r>
              <w:rPr>
                <w:rFonts w:hint="eastAsia" w:ascii="宋体" w:hAnsi="宋体" w:eastAsia="宋体" w:cs="宋体"/>
                <w:i w:val="0"/>
                <w:color w:val="000000"/>
                <w:kern w:val="0"/>
                <w:sz w:val="24"/>
                <w:szCs w:val="24"/>
                <w:u w:val="none"/>
                <w:lang w:val="en-US" w:eastAsia="zh-CN"/>
              </w:rPr>
              <w:t>3</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rPr>
            </w:pPr>
            <w:r>
              <w:rPr>
                <w:rFonts w:hint="eastAsia" w:ascii="宋体" w:hAnsi="宋体" w:eastAsia="宋体" w:cs="宋体"/>
                <w:i w:val="0"/>
                <w:color w:val="000000"/>
                <w:kern w:val="0"/>
                <w:sz w:val="24"/>
                <w:szCs w:val="24"/>
                <w:u w:val="non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rPr>
            </w:pPr>
            <w:r>
              <w:rPr>
                <w:rFonts w:hint="eastAsia" w:ascii="宋体" w:hAnsi="宋体" w:eastAsia="宋体" w:cs="宋体"/>
                <w:i w:val="0"/>
                <w:color w:val="000000"/>
                <w:kern w:val="0"/>
                <w:sz w:val="24"/>
                <w:szCs w:val="24"/>
                <w:u w:val="none"/>
                <w:lang w:val="en-US" w:eastAsia="zh-CN"/>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rPr>
            </w:pPr>
            <w:r>
              <w:rPr>
                <w:rFonts w:hint="eastAsia" w:ascii="宋体" w:hAnsi="宋体" w:eastAsia="宋体" w:cs="宋体"/>
                <w:i w:val="0"/>
                <w:color w:val="000000"/>
                <w:kern w:val="0"/>
                <w:sz w:val="24"/>
                <w:szCs w:val="24"/>
                <w:u w:val="none"/>
                <w:lang w:val="en-US" w:eastAsia="zh-CN"/>
              </w:rPr>
              <w:t>投标成功且中标的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rPr>
            </w:pPr>
            <w:r>
              <w:rPr>
                <w:rFonts w:hint="eastAsia" w:ascii="宋体" w:hAnsi="宋体" w:eastAsia="宋体" w:cs="宋体"/>
                <w:i w:val="0"/>
                <w:color w:val="000000"/>
                <w:kern w:val="0"/>
                <w:sz w:val="24"/>
                <w:szCs w:val="24"/>
                <w:u w:val="none"/>
                <w:lang w:val="en-US" w:eastAsia="zh-CN"/>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rPr>
            </w:pPr>
            <w:r>
              <w:rPr>
                <w:rFonts w:hint="eastAsia" w:ascii="宋体" w:hAnsi="宋体" w:eastAsia="宋体" w:cs="宋体"/>
                <w:i w:val="0"/>
                <w:color w:val="000000"/>
                <w:kern w:val="0"/>
                <w:sz w:val="24"/>
                <w:szCs w:val="24"/>
                <w:u w:val="none"/>
                <w:lang w:val="en-US" w:eastAsia="zh-CN"/>
              </w:rPr>
              <w:t>5</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rPr>
            </w:pPr>
            <w:r>
              <w:rPr>
                <w:rFonts w:hint="eastAsia" w:ascii="宋体" w:hAnsi="宋体" w:eastAsia="宋体" w:cs="宋体"/>
                <w:i w:val="0"/>
                <w:color w:val="000000"/>
                <w:kern w:val="0"/>
                <w:sz w:val="24"/>
                <w:szCs w:val="24"/>
                <w:u w:val="non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p>
          <w:p>
            <w:pPr>
              <w:jc w:val="center"/>
              <w:rPr>
                <w:rFonts w:hint="eastAsia" w:ascii="宋体" w:hAnsi="宋体" w:eastAsia="宋体" w:cs="宋体"/>
                <w:color w:val="000000"/>
                <w:sz w:val="24"/>
                <w:lang w:eastAsia="zh-CN"/>
              </w:rPr>
            </w:pP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通报表扬</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获国务院通报表扬的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国务院</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20分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获住建部通报表扬的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住建部</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15分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获广东省人民政府通报表扬的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省人民政府</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15分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获广东省住建厅通报表扬的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省住建厅</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获中山市人民政府通报表扬的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中山市人民政府</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10分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获中山市住建局表扬的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中山市住建局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5分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配合住建部门，安排专业技术人员参与专项检查或工程咨询。</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0.5分/次•人</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sz w:val="24"/>
              </w:rPr>
            </w:pPr>
            <w:r>
              <w:rPr>
                <w:rFonts w:hint="eastAsia" w:ascii="宋体" w:hAnsi="宋体" w:eastAsia="宋体" w:cs="宋体"/>
                <w:color w:val="000000"/>
                <w:kern w:val="0"/>
                <w:sz w:val="24"/>
                <w:lang/>
              </w:rPr>
              <w:t>施工图审查机构</w:t>
            </w: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sz w:val="24"/>
              </w:rPr>
            </w:pPr>
            <w:r>
              <w:rPr>
                <w:rFonts w:hint="eastAsia" w:ascii="宋体" w:hAnsi="宋体" w:eastAsia="宋体" w:cs="宋体"/>
                <w:color w:val="000000"/>
                <w:kern w:val="0"/>
                <w:sz w:val="24"/>
                <w:lang/>
              </w:rPr>
              <w:t>信用经营</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企业在中山市成立独立法人机构，或设立分支机构（独立法人机构和分支机构不能同时加分，不包括办事处）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独立法人机构加10分，分支机构加5分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高级工程师得分，每有一名在中山本地购买社保的高级工程师得0.5分；具有一级注册建筑师、一级注册结构工程师或者勘察设计注册工程师资格的人员，每有一名在中山本地购买社保的得1分。（人员不重复加分）</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详见获奖情况</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国家、广东省或中山市市场监管部门认定的上一年度守合同重信用单位</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国家、广东省或中山市市场监管部门</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5分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企业在中山市辖区内依法纳税（含增值稅和所得税）作出贡献的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中山市税务部门</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每满50万元加1分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sz w:val="24"/>
              </w:rPr>
            </w:pPr>
            <w:r>
              <w:rPr>
                <w:rFonts w:hint="eastAsia" w:ascii="宋体" w:hAnsi="宋体" w:eastAsia="宋体" w:cs="宋体"/>
                <w:color w:val="000000"/>
                <w:kern w:val="0"/>
                <w:sz w:val="24"/>
                <w:lang/>
              </w:rPr>
              <w:t>业绩加分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高效完成省重点建设项目的审图工作，大型房屋建筑工程、市政基础设施工程15个工作日内完成审图，中型及以下房屋建筑工程、市政基础设施工程10个工作日内完成审图（以广东省房屋建筑和市政基础设施工程施工图数字化审查管理系统上的时间为准，包含设计修改回复时间）</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5/大型</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3/中型及以下</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高效完成市重点建设项目的审图工作，大型房屋建筑工程、市政基础设施工程15个工作日内完成审图，中型及以下房屋建筑工程、市政基础设施工程10个工作日内完成审图（以广东省房屋建筑和市政基础设施工程施工图数字化审查管理系统上的时间为准，包含设计修改回复时间）</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2/大型</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1/中型及以下</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审查机构年度在中山市承接的审图业务，按签订的审图合同金额加分（可多项目合并申请）合同金额累积每50万元加1分,以最终出具的审图合格证以及合同为准。</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br/>
            </w:r>
            <w:r>
              <w:rPr>
                <w:rFonts w:hint="eastAsia" w:ascii="宋体" w:hAnsi="宋体" w:eastAsia="宋体" w:cs="宋体"/>
                <w:color w:val="000000"/>
                <w:kern w:val="0"/>
                <w:sz w:val="24"/>
                <w:lang/>
              </w:rPr>
              <w:t>1/50万元</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sz w:val="24"/>
              </w:rPr>
            </w:pPr>
            <w:r>
              <w:rPr>
                <w:rFonts w:hint="eastAsia" w:ascii="宋体" w:hAnsi="宋体" w:eastAsia="宋体" w:cs="宋体"/>
                <w:color w:val="000000"/>
                <w:kern w:val="0"/>
                <w:sz w:val="24"/>
                <w:lang/>
              </w:rPr>
              <w:t>通报表扬</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获国务院通报表扬的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国务院</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20分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获住建部通报表扬的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住建部</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15分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获广东省人民政府通报表扬的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省人民政府</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15分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获广东省住建厅通报表扬的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省住建厅</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10分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获中山市人民政府通报表扬的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中山市人民政府</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10分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获中山市住建局表扬的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中山市住建局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5分</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sz w:val="24"/>
              </w:rPr>
            </w:pPr>
            <w:r>
              <w:rPr>
                <w:rFonts w:hint="eastAsia" w:ascii="宋体" w:hAnsi="宋体" w:eastAsia="宋体" w:cs="宋体"/>
                <w:color w:val="000000"/>
                <w:kern w:val="0"/>
                <w:sz w:val="24"/>
                <w:lang/>
              </w:rPr>
              <w:t>公益活动</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配合住建部门，安排专业审查人员参与专项检查或工程咨询。</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0.5分/次•人</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sz w:val="24"/>
              </w:rPr>
            </w:pPr>
            <w:r>
              <w:rPr>
                <w:rFonts w:hint="eastAsia" w:ascii="宋体" w:hAnsi="宋体" w:eastAsia="宋体" w:cs="宋体"/>
                <w:color w:val="000000"/>
                <w:kern w:val="0"/>
                <w:sz w:val="24"/>
                <w:lang/>
              </w:rPr>
              <w:t>奖项加分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全国优秀工程勘察设计行业奖</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中国勘察设计协会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一等奖：60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二等奖：50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三等奖：40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广东省优秀工程勘察设计奖</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广东省工程勘察设计行业协会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一等奖：40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二等奖：30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三等奖：20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FF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中山市优秀勘察设计奖</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市工程勘察设计行业协会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一等奖：20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二等奖：10</w:t>
            </w:r>
            <w:r>
              <w:rPr>
                <w:rFonts w:hint="eastAsia" w:ascii="宋体" w:hAnsi="宋体" w:eastAsia="宋体" w:cs="宋体"/>
                <w:color w:val="000000"/>
                <w:kern w:val="0"/>
                <w:sz w:val="24"/>
                <w:lang/>
              </w:rPr>
              <w:br/>
            </w:r>
            <w:r>
              <w:rPr>
                <w:rFonts w:hint="eastAsia" w:ascii="宋体" w:hAnsi="宋体" w:eastAsia="宋体" w:cs="宋体"/>
                <w:color w:val="000000"/>
                <w:kern w:val="0"/>
                <w:sz w:val="24"/>
                <w:lang/>
              </w:rPr>
              <w:t>三等奖：5</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FF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005" w:hRule="atLeast"/>
        </w:trPr>
        <w:tc>
          <w:tcPr>
            <w:tcW w:w="119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造价咨询企业</w:t>
            </w: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奖励加分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市建设行政主管部门或市行业协会授予的先进单位</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市住建局或市行业协会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75" w:hRule="atLeast"/>
        </w:trPr>
        <w:tc>
          <w:tcPr>
            <w:tcW w:w="119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省建设行政主管部门或省行业协会授予的先进单位</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省住建厅或省行业协会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170" w:hRule="atLeast"/>
        </w:trPr>
        <w:tc>
          <w:tcPr>
            <w:tcW w:w="119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国家建设行政主管部门或国家行业协会授予的先进单位</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国家住建部或国家行业协会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501" w:hRule="atLeast"/>
        </w:trPr>
        <w:tc>
          <w:tcPr>
            <w:tcW w:w="119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获得中山市（含市级）以上工商行政管理部门授予“重合同守信用”称号</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中山市（含市级）以上工商行政管理部门</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5</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170" w:hRule="atLeast"/>
        </w:trPr>
        <w:tc>
          <w:tcPr>
            <w:tcW w:w="119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在中山辖区内的工程项目获市建设行政主管部门或市行业协会颁发的优秀成果奖</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市住建局或行业协会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5</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00" w:hRule="atLeast"/>
        </w:trPr>
        <w:tc>
          <w:tcPr>
            <w:tcW w:w="119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在中山辖区内的工程项目获省建设行政主管部门或省行业协会颁发的优秀成果奖</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省住建厅或行业协会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90" w:hRule="atLeast"/>
        </w:trPr>
        <w:tc>
          <w:tcPr>
            <w:tcW w:w="119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在中山辖区内的工程项目获国家建设行政主管部门或国家行业协会颁发的优秀成果奖</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国家住建部或行业协会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90" w:hRule="atLeast"/>
        </w:trPr>
        <w:tc>
          <w:tcPr>
            <w:tcW w:w="119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在“中山市建设工程结算备案系统”上传及完成结算价备案</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0.2/项目</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90" w:hRule="atLeast"/>
        </w:trPr>
        <w:tc>
          <w:tcPr>
            <w:tcW w:w="119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受市建设行政主管部门或市行业协会委托编制的适用于中山辖区内的工程项目的相关性补充计价依据、造价指数指标等</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市住建局或市行业协会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5</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90" w:hRule="atLeast"/>
        </w:trPr>
        <w:tc>
          <w:tcPr>
            <w:tcW w:w="119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受省建设行政主管部门或省行业协会委托编制的适用于广东省内的建设工程各专业计价依据</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省住建厅或省行业协会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90" w:hRule="atLeast"/>
        </w:trPr>
        <w:tc>
          <w:tcPr>
            <w:tcW w:w="119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受国家建设行政主管部门或国家行业协会委托编制的适用于全国范围的建设工程各专业计价依据</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国家住建部或国家行业协会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20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660" w:hRule="atLeast"/>
        </w:trPr>
        <w:tc>
          <w:tcPr>
            <w:tcW w:w="11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预拌混凝土企业</w:t>
            </w: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奖励加分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市级预拌混凝土企业先进单位及通报表扬</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4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市级科技进步奖</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市科技局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630"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省级预拌混凝土企业先进单位及通报表扬</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省住建厅</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52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省级科技进步奖</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省科技厅</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4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国家级预拌混凝土企业先进单位及通报表扬</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住建部</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50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49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国家级科技进步奖</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科技部</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50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0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 xml:space="preserve">企业或企业产品应用工程取得市级相关荣誉的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市住建局及相关协会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50"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企业或企业产品应用工程取得省级相关荣誉的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省住建厅及相关协会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0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企业或企业产品应用工程取得国家级相关荣誉的</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住建部及相关协会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50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61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上年度质监抽检各原材料、产品合格率达100%</w:t>
            </w:r>
          </w:p>
        </w:tc>
        <w:tc>
          <w:tcPr>
            <w:tcW w:w="141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61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上一年内无诚信扣分</w:t>
            </w:r>
          </w:p>
        </w:tc>
        <w:tc>
          <w:tcPr>
            <w:tcW w:w="141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3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行业</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获得技术专利及技术成果</w:t>
            </w:r>
          </w:p>
        </w:tc>
        <w:tc>
          <w:tcPr>
            <w:tcW w:w="141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科技及专利部门</w:t>
            </w:r>
          </w:p>
        </w:tc>
        <w:tc>
          <w:tcPr>
            <w:tcW w:w="1432"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10/项</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90"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行业</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企业获得绿色生产一星级评价标识</w:t>
            </w:r>
          </w:p>
        </w:tc>
        <w:tc>
          <w:tcPr>
            <w:tcW w:w="141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授权评价机构</w:t>
            </w:r>
          </w:p>
        </w:tc>
        <w:tc>
          <w:tcPr>
            <w:tcW w:w="1432"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同标识证书有效期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1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行业</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企业获得绿色生产二星级评价标识</w:t>
            </w:r>
          </w:p>
        </w:tc>
        <w:tc>
          <w:tcPr>
            <w:tcW w:w="141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授权评价机构</w:t>
            </w:r>
          </w:p>
        </w:tc>
        <w:tc>
          <w:tcPr>
            <w:tcW w:w="1432"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同标识证书有效期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1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行业</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企业获得绿色生产三星级评价标识</w:t>
            </w:r>
          </w:p>
        </w:tc>
        <w:tc>
          <w:tcPr>
            <w:tcW w:w="141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授权评价机构</w:t>
            </w:r>
          </w:p>
        </w:tc>
        <w:tc>
          <w:tcPr>
            <w:tcW w:w="1432"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40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同标识证书有效期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1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在本市内施工企业举办预拌砂浆、高性能混凝土等新材料工程应用示范</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95" w:hRule="atLeast"/>
        </w:trPr>
        <w:tc>
          <w:tcPr>
            <w:tcW w:w="119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房屋安全鉴定企业</w:t>
            </w: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应急管理奖励加分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在中山市辖区内的应急管理项目获得国家建设行政主管部门或行业协会表彰</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住建部或国家行业协会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30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35" w:hRule="atLeast"/>
        </w:trPr>
        <w:tc>
          <w:tcPr>
            <w:tcW w:w="119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在中山市辖区内的应急管理项目获得省建设行政主管部门或行业协会表彰</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省住建厅或省行业协会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20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170" w:hRule="atLeast"/>
        </w:trPr>
        <w:tc>
          <w:tcPr>
            <w:tcW w:w="119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参加中山市相关技术管理文件的编写或应急管理项目获得市建设行政主管部门或行业协会表彰</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市住建局或市行业协会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660" w:hRule="atLeast"/>
        </w:trPr>
        <w:tc>
          <w:tcPr>
            <w:tcW w:w="119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业绩加分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参加国家标准或规范、规程的编写</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住建部</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30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50" w:hRule="atLeast"/>
        </w:trPr>
        <w:tc>
          <w:tcPr>
            <w:tcW w:w="1199"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省级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参加省标准或规范、规程的编写</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省住建厅</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20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50" w:hRule="atLeast"/>
        </w:trPr>
        <w:tc>
          <w:tcPr>
            <w:tcW w:w="1199" w:type="dxa"/>
            <w:vMerge w:val="continue"/>
            <w:tcBorders>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sz w:val="24"/>
              </w:rPr>
            </w:pPr>
          </w:p>
        </w:tc>
        <w:tc>
          <w:tcPr>
            <w:tcW w:w="121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kern w:val="0"/>
                <w:sz w:val="24"/>
                <w:lang/>
              </w:rPr>
            </w:pPr>
            <w:r>
              <w:rPr>
                <w:rFonts w:hint="eastAsia" w:ascii="宋体" w:hAnsi="宋体" w:eastAsia="宋体" w:cs="宋体"/>
                <w:kern w:val="0"/>
                <w:sz w:val="24"/>
                <w:lang/>
              </w:rPr>
              <w:t>市级</w:t>
            </w:r>
          </w:p>
        </w:tc>
        <w:tc>
          <w:tcPr>
            <w:tcW w:w="4528"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kern w:val="0"/>
                <w:sz w:val="24"/>
                <w:lang/>
              </w:rPr>
            </w:pPr>
            <w:r>
              <w:rPr>
                <w:rFonts w:hint="eastAsia" w:ascii="宋体" w:hAnsi="宋体" w:eastAsia="宋体" w:cs="宋体"/>
                <w:kern w:val="0"/>
                <w:sz w:val="24"/>
                <w:lang/>
              </w:rPr>
              <w:t>在中山市辖区内每年房屋鉴定业务完成量达200宗及以上或鉴定面积达25万平方米及以上</w:t>
            </w:r>
          </w:p>
        </w:tc>
        <w:tc>
          <w:tcPr>
            <w:tcW w:w="141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kern w:val="0"/>
                <w:sz w:val="24"/>
                <w:lang/>
              </w:rPr>
            </w:pPr>
            <w:r>
              <w:rPr>
                <w:rFonts w:hint="eastAsia" w:ascii="宋体" w:hAnsi="宋体" w:eastAsia="宋体" w:cs="宋体"/>
                <w:kern w:val="0"/>
                <w:sz w:val="24"/>
                <w:lang/>
              </w:rPr>
              <w:t>市住建局</w:t>
            </w:r>
          </w:p>
        </w:tc>
        <w:tc>
          <w:tcPr>
            <w:tcW w:w="143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kern w:val="0"/>
                <w:sz w:val="24"/>
                <w:lang/>
              </w:rPr>
            </w:pPr>
            <w:r>
              <w:rPr>
                <w:rFonts w:hint="eastAsia" w:ascii="宋体" w:hAnsi="宋体" w:eastAsia="宋体" w:cs="宋体"/>
                <w:kern w:val="0"/>
                <w:sz w:val="24"/>
                <w:lang/>
              </w:rPr>
              <w:t>5</w:t>
            </w:r>
          </w:p>
        </w:tc>
        <w:tc>
          <w:tcPr>
            <w:tcW w:w="1176"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kern w:val="0"/>
                <w:sz w:val="24"/>
                <w:lang/>
              </w:rPr>
            </w:pPr>
            <w:r>
              <w:rPr>
                <w:rFonts w:hint="eastAsia" w:ascii="宋体" w:hAnsi="宋体" w:eastAsia="宋体" w:cs="宋体"/>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200" w:hRule="atLeast"/>
        </w:trPr>
        <w:tc>
          <w:tcPr>
            <w:tcW w:w="1199" w:type="dxa"/>
            <w:vMerge w:val="restart"/>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起重机械安装企业</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1年度内装拆总量达到81-150台次，没有违法安装的行为并且负责安装的起重机械没有发生起重机械的安全事故</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15</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321"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1年度内装拆总量达到151台次以上，没有违法安装的行为并且负责安装的起重机械没有发生起重机械的安全事故</w:t>
            </w:r>
          </w:p>
        </w:tc>
        <w:tc>
          <w:tcPr>
            <w:tcW w:w="141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20</w:t>
            </w:r>
          </w:p>
        </w:tc>
        <w:tc>
          <w:tcPr>
            <w:tcW w:w="1176"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2551"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参与起重机械同一台设备的安装（包含附着和顶升）、维保、拆卸业务，施工项目安全生产标准化评定结果为优良</w:t>
            </w:r>
          </w:p>
        </w:tc>
        <w:tc>
          <w:tcPr>
            <w:tcW w:w="3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负责1</w:t>
            </w:r>
            <w:r>
              <w:rPr>
                <w:rStyle w:val="6"/>
                <w:rFonts w:hint="default"/>
                <w:lang/>
              </w:rPr>
              <w:t>-2台建筑起重机械的安装（包含附着和顶升）、维保、拆卸业务</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5</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2326"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3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负责3</w:t>
            </w:r>
            <w:r>
              <w:rPr>
                <w:rStyle w:val="6"/>
                <w:rFonts w:hint="default"/>
                <w:lang/>
              </w:rPr>
              <w:t>-5台建筑起重机械的安装（包含附着和顶升）、维保、拆卸业务</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870"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3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负责6台以上（含6台）建筑起重机械的安装（包含附着和顶升）、维保、拆卸业务</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15</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870"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协助政府主管部门参与建筑施工安全大检查</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5</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110"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由住建局组织的，派出救援队伍参与抢险救灾活动</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735" w:hRule="atLeast"/>
        </w:trPr>
        <w:tc>
          <w:tcPr>
            <w:tcW w:w="11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起重机械和安全防护用品检测机构</w:t>
            </w: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协助政府主管部门参与建筑施工安全大检查</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7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协助政府部门为建筑起重机械管理工作提供设备、场所以及专业人员等技术支持</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市住建局</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10</w:t>
            </w:r>
          </w:p>
        </w:tc>
        <w:tc>
          <w:tcPr>
            <w:tcW w:w="11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30" w:hRule="atLeast"/>
        </w:trPr>
        <w:tc>
          <w:tcPr>
            <w:tcW w:w="11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工程质量检测企业</w:t>
            </w:r>
          </w:p>
        </w:tc>
        <w:tc>
          <w:tcPr>
            <w:tcW w:w="1229" w:type="dxa"/>
            <w:tcBorders>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主编国家或行业检测标准</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国家住建部或国家行业协会</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50</w:t>
            </w:r>
          </w:p>
        </w:tc>
        <w:tc>
          <w:tcPr>
            <w:tcW w:w="1176"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1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tcBorders>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业绩加分</w:t>
            </w:r>
          </w:p>
        </w:tc>
        <w:tc>
          <w:tcPr>
            <w:tcW w:w="1214"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国家级</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参编国家或行业检测标准</w:t>
            </w:r>
          </w:p>
        </w:tc>
        <w:tc>
          <w:tcPr>
            <w:tcW w:w="1410"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国家住建部或国家行业协会</w:t>
            </w:r>
          </w:p>
        </w:tc>
        <w:tc>
          <w:tcPr>
            <w:tcW w:w="1432"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30</w:t>
            </w:r>
          </w:p>
        </w:tc>
        <w:tc>
          <w:tcPr>
            <w:tcW w:w="1176"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1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tcBorders>
              <w:bottom w:val="single" w:color="auto"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业绩加分</w:t>
            </w:r>
          </w:p>
        </w:tc>
        <w:tc>
          <w:tcPr>
            <w:tcW w:w="1214" w:type="dxa"/>
            <w:tcBorders>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省级</w:t>
            </w:r>
          </w:p>
        </w:tc>
        <w:tc>
          <w:tcPr>
            <w:tcW w:w="4528"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主编地方检测标准</w:t>
            </w:r>
          </w:p>
        </w:tc>
        <w:tc>
          <w:tcPr>
            <w:tcW w:w="1410" w:type="dxa"/>
            <w:tcBorders>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省住建厅或省行业协会</w:t>
            </w:r>
          </w:p>
        </w:tc>
        <w:tc>
          <w:tcPr>
            <w:tcW w:w="1432" w:type="dxa"/>
            <w:tcBorders>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30</w:t>
            </w:r>
          </w:p>
        </w:tc>
        <w:tc>
          <w:tcPr>
            <w:tcW w:w="1176" w:type="dxa"/>
            <w:gridSpan w:val="2"/>
            <w:tcBorders>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15" w:hRule="atLeast"/>
        </w:trPr>
        <w:tc>
          <w:tcPr>
            <w:tcW w:w="1199"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color w:val="000000"/>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业绩加分</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省级</w:t>
            </w:r>
          </w:p>
        </w:tc>
        <w:tc>
          <w:tcPr>
            <w:tcW w:w="452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参编地方检测标准</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省住建厅或省行业协会</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20</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1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tcBorders>
              <w:top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业绩加分</w:t>
            </w:r>
          </w:p>
        </w:tc>
        <w:tc>
          <w:tcPr>
            <w:tcW w:w="1214"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国家级</w:t>
            </w:r>
          </w:p>
        </w:tc>
        <w:tc>
          <w:tcPr>
            <w:tcW w:w="4528" w:type="dxa"/>
            <w:gridSpan w:val="3"/>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获得国家级检测行业先进单位</w:t>
            </w:r>
          </w:p>
        </w:tc>
        <w:tc>
          <w:tcPr>
            <w:tcW w:w="141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国家住建部或国家行业协会</w:t>
            </w:r>
          </w:p>
        </w:tc>
        <w:tc>
          <w:tcPr>
            <w:tcW w:w="143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50</w:t>
            </w:r>
          </w:p>
        </w:tc>
        <w:tc>
          <w:tcPr>
            <w:tcW w:w="1176"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15" w:hRule="atLeast"/>
        </w:trPr>
        <w:tc>
          <w:tcPr>
            <w:tcW w:w="1199"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color w:val="000000"/>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业绩加分</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省级</w:t>
            </w:r>
          </w:p>
        </w:tc>
        <w:tc>
          <w:tcPr>
            <w:tcW w:w="452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获得省级检测行业先进单位</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省住建厅或省行业协会</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30</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915" w:hRule="atLeast"/>
        </w:trPr>
        <w:tc>
          <w:tcPr>
            <w:tcW w:w="11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rPr>
            </w:pPr>
          </w:p>
        </w:tc>
        <w:tc>
          <w:tcPr>
            <w:tcW w:w="1229"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业绩加分</w:t>
            </w:r>
          </w:p>
        </w:tc>
        <w:tc>
          <w:tcPr>
            <w:tcW w:w="121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市级</w:t>
            </w:r>
          </w:p>
        </w:tc>
        <w:tc>
          <w:tcPr>
            <w:tcW w:w="4528" w:type="dxa"/>
            <w:gridSpan w:val="3"/>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参加国家级或广东省级相关机构组织的能力验证结果为满意的</w:t>
            </w:r>
          </w:p>
        </w:tc>
        <w:tc>
          <w:tcPr>
            <w:tcW w:w="141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市住建局</w:t>
            </w:r>
          </w:p>
        </w:tc>
        <w:tc>
          <w:tcPr>
            <w:tcW w:w="143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5/项目</w:t>
            </w:r>
          </w:p>
        </w:tc>
        <w:tc>
          <w:tcPr>
            <w:tcW w:w="1176"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lang/>
              </w:rPr>
            </w:pPr>
            <w:r>
              <w:rPr>
                <w:rFonts w:hint="eastAsia" w:ascii="宋体" w:hAnsi="宋体" w:eastAsia="宋体" w:cs="宋体"/>
                <w:color w:val="000000"/>
                <w:kern w:val="0"/>
                <w:sz w:val="24"/>
                <w:lang/>
              </w:rPr>
              <w:t>1年（每自然年最多加30分)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286" w:hRule="atLeast"/>
        </w:trPr>
        <w:tc>
          <w:tcPr>
            <w:tcW w:w="1199" w:type="dxa"/>
            <w:vAlign w:val="bottom"/>
          </w:tcPr>
          <w:p>
            <w:pPr>
              <w:rPr>
                <w:rFonts w:ascii="宋体" w:hAnsi="宋体" w:eastAsia="宋体" w:cs="宋体"/>
                <w:color w:val="000000"/>
                <w:sz w:val="24"/>
              </w:rPr>
            </w:pPr>
          </w:p>
        </w:tc>
        <w:tc>
          <w:tcPr>
            <w:tcW w:w="1229" w:type="dxa"/>
            <w:vAlign w:val="bottom"/>
          </w:tcPr>
          <w:p>
            <w:pPr>
              <w:rPr>
                <w:rFonts w:ascii="宋体" w:hAnsi="宋体" w:eastAsia="宋体" w:cs="宋体"/>
                <w:color w:val="000000"/>
                <w:sz w:val="24"/>
              </w:rPr>
            </w:pPr>
          </w:p>
        </w:tc>
        <w:tc>
          <w:tcPr>
            <w:tcW w:w="1214" w:type="dxa"/>
            <w:vAlign w:val="bottom"/>
          </w:tcPr>
          <w:p>
            <w:pPr>
              <w:rPr>
                <w:rFonts w:ascii="宋体" w:hAnsi="宋体" w:eastAsia="宋体" w:cs="宋体"/>
                <w:color w:val="000000"/>
                <w:sz w:val="24"/>
              </w:rPr>
            </w:pPr>
          </w:p>
        </w:tc>
        <w:tc>
          <w:tcPr>
            <w:tcW w:w="1064" w:type="dxa"/>
            <w:vAlign w:val="bottom"/>
          </w:tcPr>
          <w:p>
            <w:pPr>
              <w:rPr>
                <w:rFonts w:ascii="宋体" w:hAnsi="宋体" w:eastAsia="宋体" w:cs="宋体"/>
                <w:color w:val="000000"/>
                <w:sz w:val="24"/>
              </w:rPr>
            </w:pPr>
          </w:p>
        </w:tc>
        <w:tc>
          <w:tcPr>
            <w:tcW w:w="1064" w:type="dxa"/>
            <w:vAlign w:val="bottom"/>
          </w:tcPr>
          <w:p>
            <w:pPr>
              <w:rPr>
                <w:rFonts w:ascii="宋体" w:hAnsi="宋体" w:eastAsia="宋体" w:cs="宋体"/>
                <w:color w:val="000000"/>
                <w:sz w:val="24"/>
              </w:rPr>
            </w:pPr>
          </w:p>
        </w:tc>
        <w:tc>
          <w:tcPr>
            <w:tcW w:w="2400" w:type="dxa"/>
            <w:vAlign w:val="bottom"/>
          </w:tcPr>
          <w:p>
            <w:pPr>
              <w:rPr>
                <w:rFonts w:ascii="宋体" w:hAnsi="宋体" w:eastAsia="宋体" w:cs="宋体"/>
                <w:color w:val="000000"/>
                <w:sz w:val="24"/>
              </w:rPr>
            </w:pPr>
          </w:p>
        </w:tc>
        <w:tc>
          <w:tcPr>
            <w:tcW w:w="1410" w:type="dxa"/>
            <w:vAlign w:val="bottom"/>
          </w:tcPr>
          <w:p>
            <w:pPr>
              <w:rPr>
                <w:rFonts w:ascii="宋体" w:hAnsi="宋体" w:eastAsia="宋体" w:cs="宋体"/>
                <w:color w:val="000000"/>
                <w:sz w:val="24"/>
              </w:rPr>
            </w:pPr>
          </w:p>
        </w:tc>
        <w:tc>
          <w:tcPr>
            <w:tcW w:w="1432" w:type="dxa"/>
            <w:vAlign w:val="bottom"/>
          </w:tcPr>
          <w:p>
            <w:pPr>
              <w:rPr>
                <w:rFonts w:ascii="宋体" w:hAnsi="宋体" w:eastAsia="宋体" w:cs="宋体"/>
                <w:color w:val="000000"/>
                <w:sz w:val="24"/>
              </w:rPr>
            </w:pPr>
          </w:p>
        </w:tc>
        <w:tc>
          <w:tcPr>
            <w:tcW w:w="1176" w:type="dxa"/>
            <w:gridSpan w:val="2"/>
            <w:vAlign w:val="bottom"/>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660" w:hRule="atLeast"/>
        </w:trPr>
        <w:tc>
          <w:tcPr>
            <w:tcW w:w="12188"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24"/>
              </w:rPr>
            </w:pPr>
            <w:r>
              <w:rPr>
                <w:rFonts w:hint="eastAsia" w:ascii="宋体" w:hAnsi="宋体" w:eastAsia="宋体" w:cs="宋体"/>
                <w:b/>
                <w:color w:val="000000"/>
                <w:kern w:val="0"/>
                <w:sz w:val="24"/>
                <w:lang/>
              </w:rPr>
              <w:t>注：1、本标准所描述的工程必须是在中山辖区内的工程项目；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381" w:hRule="atLeast"/>
        </w:trPr>
        <w:tc>
          <w:tcPr>
            <w:tcW w:w="12188"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24"/>
              </w:rPr>
            </w:pPr>
            <w:r>
              <w:rPr>
                <w:rFonts w:hint="eastAsia" w:ascii="宋体" w:hAnsi="宋体" w:eastAsia="宋体" w:cs="宋体"/>
                <w:b/>
                <w:color w:val="000000"/>
                <w:kern w:val="0"/>
                <w:sz w:val="24"/>
                <w:lang/>
              </w:rPr>
              <w:t xml:space="preserve">    2、本标准奖励加分（除获得中山市（含市级）以上工商行政管理部门授予“重合同守信用”称号），以奖励证书落款日期为起始时间，一年内可提交申请加分；获得中山市（含市级）以上工商行政管理部门授予“重合同守信用”称号,以取得所属年度重合同守信用称号的下一年内可提交申请加分（例：2016年度“重合同守信用”可在2018年1月1日前提交申请加分）,奖励加分逾期申请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381" w:hRule="atLeast"/>
        </w:trPr>
        <w:tc>
          <w:tcPr>
            <w:tcW w:w="12188" w:type="dxa"/>
            <w:gridSpan w:val="10"/>
            <w:tcBorders>
              <w:top w:val="single" w:color="000000" w:sz="4" w:space="0"/>
              <w:left w:val="single" w:color="000000" w:sz="4" w:space="0"/>
              <w:bottom w:val="single" w:color="000000" w:sz="4" w:space="0"/>
              <w:right w:val="single" w:color="000000" w:sz="4" w:space="0"/>
            </w:tcBorders>
            <w:vAlign w:val="center"/>
          </w:tcPr>
          <w:p>
            <w:pPr>
              <w:widowControl/>
              <w:ind w:firstLine="482" w:firstLineChars="200"/>
              <w:jc w:val="left"/>
              <w:textAlignment w:val="center"/>
              <w:rPr>
                <w:rFonts w:ascii="宋体" w:hAnsi="宋体" w:eastAsia="宋体" w:cs="宋体"/>
                <w:b/>
                <w:color w:val="000000"/>
                <w:kern w:val="0"/>
                <w:sz w:val="24"/>
                <w:lang/>
              </w:rPr>
            </w:pPr>
            <w:r>
              <w:rPr>
                <w:rFonts w:hint="eastAsia" w:ascii="宋体" w:hAnsi="宋体" w:eastAsia="宋体" w:cs="宋体"/>
                <w:b/>
                <w:color w:val="000000"/>
                <w:kern w:val="0"/>
                <w:sz w:val="24"/>
                <w:lang/>
              </w:rPr>
              <w:t>3、检测机构参编/主编标准的认定为标准出版当年内申请有效；</w:t>
            </w:r>
          </w:p>
          <w:p>
            <w:pPr>
              <w:widowControl/>
              <w:ind w:firstLine="964" w:firstLineChars="400"/>
              <w:jc w:val="left"/>
              <w:textAlignment w:val="center"/>
              <w:rPr>
                <w:rFonts w:ascii="宋体" w:hAnsi="宋体" w:eastAsia="宋体" w:cs="宋体"/>
                <w:b/>
                <w:color w:val="000000"/>
                <w:kern w:val="0"/>
                <w:sz w:val="24"/>
                <w:lang/>
              </w:rPr>
            </w:pPr>
            <w:r>
              <w:rPr>
                <w:rFonts w:hint="eastAsia" w:ascii="宋体" w:hAnsi="宋体" w:eastAsia="宋体" w:cs="宋体"/>
                <w:b/>
                <w:color w:val="000000"/>
                <w:kern w:val="0"/>
                <w:sz w:val="24"/>
                <w:lang/>
              </w:rPr>
              <w:t>检测机构参编/主表标准和参加能力验证的认定以中山市本地实验室和该公司在中山购买社保人为准；检测机构参编/主编标准的认定为标准出版当年内申请有效；检测机构参编/主表标准和参加能力验证的认定以中山市本地实验室和该公司在中山购买社保人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381" w:hRule="atLeast"/>
        </w:trPr>
        <w:tc>
          <w:tcPr>
            <w:tcW w:w="12188" w:type="dxa"/>
            <w:gridSpan w:val="10"/>
            <w:tcBorders>
              <w:top w:val="single" w:color="000000" w:sz="4" w:space="0"/>
              <w:left w:val="single" w:color="000000" w:sz="4" w:space="0"/>
              <w:bottom w:val="single" w:color="000000" w:sz="4" w:space="0"/>
              <w:right w:val="single" w:color="000000" w:sz="4" w:space="0"/>
            </w:tcBorders>
            <w:vAlign w:val="center"/>
          </w:tcPr>
          <w:p>
            <w:pPr>
              <w:widowControl/>
              <w:ind w:firstLine="482" w:firstLineChars="200"/>
              <w:jc w:val="left"/>
              <w:textAlignment w:val="center"/>
              <w:rPr>
                <w:rFonts w:hint="eastAsia" w:ascii="宋体" w:hAnsi="宋体" w:eastAsia="宋体" w:cs="宋体"/>
                <w:b/>
                <w:color w:val="000000"/>
                <w:kern w:val="0"/>
                <w:sz w:val="24"/>
                <w:lang/>
              </w:rPr>
            </w:pPr>
            <w:r>
              <w:rPr>
                <w:rFonts w:hint="eastAsia" w:ascii="宋体" w:hAnsi="宋体" w:eastAsia="宋体" w:cs="宋体"/>
                <w:b/>
                <w:color w:val="000000"/>
                <w:kern w:val="0"/>
                <w:sz w:val="24"/>
                <w:lang w:val="en-US" w:eastAsia="zh-CN"/>
              </w:rPr>
              <w:t>4</w:t>
            </w:r>
            <w:r>
              <w:rPr>
                <w:rFonts w:hint="eastAsia" w:ascii="宋体" w:hAnsi="宋体" w:eastAsia="宋体" w:cs="宋体"/>
                <w:b/>
                <w:color w:val="000000"/>
                <w:kern w:val="0"/>
                <w:sz w:val="24"/>
                <w:lang/>
              </w:rPr>
              <w:t>、本标准中招标代理机构“在代理招标项目过程中未被诚信扣分，并获得合同对方作出满意评价”这一业绩加分行为，以项目中标通知书日期为起算时间，半年内可提交加分申请，逾期视为无效。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381" w:hRule="atLeast"/>
        </w:trPr>
        <w:tc>
          <w:tcPr>
            <w:tcW w:w="12188"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kern w:val="0"/>
                <w:sz w:val="24"/>
                <w:lang/>
              </w:rPr>
            </w:pPr>
            <w:r>
              <w:rPr>
                <w:rFonts w:hint="eastAsia" w:ascii="宋体" w:hAnsi="宋体" w:eastAsia="宋体" w:cs="宋体"/>
                <w:b/>
                <w:kern w:val="0"/>
                <w:sz w:val="24"/>
                <w:lang/>
              </w:rPr>
              <w:t xml:space="preserve">    </w:t>
            </w:r>
            <w:r>
              <w:rPr>
                <w:rFonts w:hint="eastAsia" w:ascii="宋体" w:hAnsi="宋体" w:eastAsia="宋体" w:cs="宋体"/>
                <w:b/>
                <w:kern w:val="0"/>
                <w:sz w:val="24"/>
                <w:lang w:val="en-US" w:eastAsia="zh-CN"/>
              </w:rPr>
              <w:t>5</w:t>
            </w:r>
            <w:r>
              <w:rPr>
                <w:rFonts w:hint="eastAsia" w:ascii="宋体" w:hAnsi="宋体" w:eastAsia="宋体" w:cs="宋体"/>
                <w:b/>
                <w:kern w:val="0"/>
                <w:sz w:val="24"/>
                <w:lang/>
              </w:rPr>
              <w:t>、</w:t>
            </w:r>
            <w:r>
              <w:rPr>
                <w:rFonts w:hint="eastAsia" w:ascii="宋体" w:hAnsi="宋体" w:eastAsia="宋体" w:cs="宋体"/>
                <w:b/>
                <w:color w:val="000000"/>
                <w:kern w:val="0"/>
                <w:sz w:val="24"/>
                <w:lang/>
              </w:rPr>
              <w:t>本标准中招标代理机构“按要求报送数据”这一业绩加分行为，证明材料以发送电子邮箱截图及盖章报表为准。以要求报送数据日期为起算时间，半年内可提交加分申请，逾期视为无效。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064" w:type="dxa"/>
          <w:trHeight w:val="1381" w:hRule="atLeast"/>
        </w:trPr>
        <w:tc>
          <w:tcPr>
            <w:tcW w:w="12188"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kern w:val="0"/>
                <w:sz w:val="24"/>
                <w:lang w:eastAsia="zh-CN"/>
              </w:rPr>
            </w:pPr>
            <w:r>
              <w:rPr>
                <w:rFonts w:hint="eastAsia" w:ascii="宋体" w:hAnsi="宋体" w:eastAsia="宋体" w:cs="宋体"/>
                <w:b/>
                <w:kern w:val="0"/>
                <w:sz w:val="24"/>
                <w:lang/>
              </w:rPr>
              <w:t xml:space="preserve">   </w:t>
            </w:r>
            <w:r>
              <w:rPr>
                <w:rFonts w:hint="eastAsia" w:ascii="宋体" w:hAnsi="宋体" w:eastAsia="宋体" w:cs="宋体"/>
                <w:b/>
                <w:kern w:val="0"/>
                <w:sz w:val="24"/>
                <w:lang w:val="en-US" w:eastAsia="zh-CN"/>
              </w:rPr>
              <w:t>6</w:t>
            </w:r>
            <w:r>
              <w:rPr>
                <w:rFonts w:hint="eastAsia" w:ascii="宋体" w:hAnsi="宋体" w:eastAsia="宋体" w:cs="宋体"/>
                <w:b/>
                <w:kern w:val="0"/>
                <w:sz w:val="24"/>
                <w:lang/>
              </w:rPr>
              <w:t>、本标准中招标代理机构“参加行业协会或监管部门组织的招投标业务培训”这一业绩加分行为，同一企业同一培训只可申请一次奖励加分。</w:t>
            </w:r>
            <w:r>
              <w:rPr>
                <w:rFonts w:hint="eastAsia" w:ascii="宋体" w:hAnsi="宋体" w:eastAsia="宋体" w:cs="宋体"/>
                <w:b/>
                <w:kern w:val="0"/>
                <w:sz w:val="24"/>
                <w:lang w:eastAsia="zh-CN"/>
              </w:rPr>
              <w:t>以培训时期为起算日间，半年内可提交加分申请，逾期视为无效。</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9BF56E4"/>
    <w:rsid w:val="000E6490"/>
    <w:rsid w:val="001C0B8A"/>
    <w:rsid w:val="00D2725C"/>
    <w:rsid w:val="069E4BBF"/>
    <w:rsid w:val="0A917DF4"/>
    <w:rsid w:val="0BB81F4D"/>
    <w:rsid w:val="0FC21F8C"/>
    <w:rsid w:val="10E55AD1"/>
    <w:rsid w:val="113A346D"/>
    <w:rsid w:val="12EE1CCA"/>
    <w:rsid w:val="140A4959"/>
    <w:rsid w:val="14F0381D"/>
    <w:rsid w:val="175B090F"/>
    <w:rsid w:val="180721A5"/>
    <w:rsid w:val="18AB4812"/>
    <w:rsid w:val="1EC33165"/>
    <w:rsid w:val="20391DD2"/>
    <w:rsid w:val="276430E7"/>
    <w:rsid w:val="2B450FCA"/>
    <w:rsid w:val="31014FE6"/>
    <w:rsid w:val="311A52A6"/>
    <w:rsid w:val="33C410C3"/>
    <w:rsid w:val="362057DD"/>
    <w:rsid w:val="385A2844"/>
    <w:rsid w:val="393304B1"/>
    <w:rsid w:val="39BF56E4"/>
    <w:rsid w:val="44A24A90"/>
    <w:rsid w:val="44BC3FE8"/>
    <w:rsid w:val="48FA5B4E"/>
    <w:rsid w:val="49F51095"/>
    <w:rsid w:val="519D7346"/>
    <w:rsid w:val="51F11F45"/>
    <w:rsid w:val="566F0392"/>
    <w:rsid w:val="56D15A0F"/>
    <w:rsid w:val="57C44A86"/>
    <w:rsid w:val="5B572CCC"/>
    <w:rsid w:val="5C24586F"/>
    <w:rsid w:val="5D3B604D"/>
    <w:rsid w:val="5D5E6133"/>
    <w:rsid w:val="5DCA74C6"/>
    <w:rsid w:val="60A95A56"/>
    <w:rsid w:val="637C69BC"/>
    <w:rsid w:val="64990C3B"/>
    <w:rsid w:val="74E5156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unhideWhenUsed/>
    <w:qFormat/>
    <w:uiPriority w:val="1"/>
  </w:style>
  <w:style w:type="table" w:default="1" w:styleId="4">
    <w:name w:val="Normal Table"/>
    <w:unhideWhenUsed/>
    <w:uiPriority w:val="99"/>
    <w:tblPr>
      <w:tblStyle w:val="4"/>
      <w:tblLayout w:type="fixed"/>
      <w:tblCellMar>
        <w:top w:w="0" w:type="dxa"/>
        <w:left w:w="108" w:type="dxa"/>
        <w:bottom w:w="0" w:type="dxa"/>
        <w:right w:w="108" w:type="dxa"/>
      </w:tblCellMar>
    </w:tblPr>
    <w:tcPr>
      <w:textDirection w:val="lrTb"/>
    </w:tcPr>
  </w:style>
  <w:style w:type="paragraph" w:styleId="2">
    <w:name w:val="Balloon Text"/>
    <w:basedOn w:val="1"/>
    <w:link w:val="9"/>
    <w:qFormat/>
    <w:uiPriority w:val="0"/>
    <w:rPr>
      <w:sz w:val="18"/>
      <w:szCs w:val="18"/>
    </w:rPr>
  </w:style>
  <w:style w:type="character" w:customStyle="1" w:styleId="5">
    <w:name w:val="font01"/>
    <w:basedOn w:val="3"/>
    <w:qFormat/>
    <w:uiPriority w:val="0"/>
    <w:rPr>
      <w:rFonts w:hint="eastAsia" w:ascii="宋体" w:hAnsi="宋体" w:eastAsia="宋体" w:cs="宋体"/>
      <w:b/>
      <w:color w:val="000000"/>
      <w:sz w:val="24"/>
      <w:szCs w:val="24"/>
      <w:u w:val="none"/>
    </w:rPr>
  </w:style>
  <w:style w:type="character" w:customStyle="1" w:styleId="6">
    <w:name w:val="font31"/>
    <w:basedOn w:val="3"/>
    <w:qFormat/>
    <w:uiPriority w:val="0"/>
    <w:rPr>
      <w:rFonts w:hint="eastAsia" w:ascii="宋体" w:hAnsi="宋体" w:eastAsia="宋体" w:cs="宋体"/>
      <w:color w:val="000000"/>
      <w:sz w:val="24"/>
      <w:szCs w:val="24"/>
      <w:u w:val="none"/>
    </w:rPr>
  </w:style>
  <w:style w:type="character" w:customStyle="1" w:styleId="7">
    <w:name w:val="font21"/>
    <w:basedOn w:val="3"/>
    <w:qFormat/>
    <w:uiPriority w:val="0"/>
    <w:rPr>
      <w:rFonts w:hint="eastAsia" w:ascii="宋体" w:hAnsi="宋体" w:eastAsia="宋体" w:cs="宋体"/>
      <w:color w:val="FF0000"/>
      <w:sz w:val="24"/>
      <w:szCs w:val="24"/>
      <w:u w:val="none"/>
    </w:rPr>
  </w:style>
  <w:style w:type="character" w:customStyle="1" w:styleId="8">
    <w:name w:val="font11"/>
    <w:basedOn w:val="3"/>
    <w:qFormat/>
    <w:uiPriority w:val="0"/>
    <w:rPr>
      <w:rFonts w:hint="eastAsia" w:ascii="宋体" w:hAnsi="宋体" w:eastAsia="宋体" w:cs="宋体"/>
      <w:color w:val="000000"/>
      <w:sz w:val="24"/>
      <w:szCs w:val="24"/>
      <w:u w:val="none"/>
    </w:rPr>
  </w:style>
  <w:style w:type="character" w:customStyle="1" w:styleId="9">
    <w:name w:val="批注框文本 Char"/>
    <w:basedOn w:val="3"/>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22</Pages>
  <Words>1149</Words>
  <Characters>6551</Characters>
  <Lines>54</Lines>
  <Paragraphs>15</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2019-12-29T06:30:00Z</dcterms:created>
  <dc:creator>黄炜杰</dc:creator>
  <cp:lastModifiedBy>刘立艳</cp:lastModifiedBy>
  <dcterms:modified xsi:type="dcterms:W3CDTF">2020-09-14T09:16:55Z</dcterms:modified>
  <dc:title>      建设工程企业良好行为加分标准(版本编号：2020）</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