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384" w:after="0" w:line="449" w:lineRule="exact"/>
        <w:ind w:right="0"/>
        <w:jc w:val="center"/>
        <w:rPr>
          <w:rStyle w:val="5"/>
          <w:rFonts w:hint="eastAsia" w:ascii="仿宋" w:hAnsi="仿宋" w:eastAsia="仿宋" w:cs="仿宋"/>
          <w:b/>
          <w:bCs/>
          <w:color w:val="000000"/>
          <w:spacing w:val="0"/>
          <w:sz w:val="44"/>
        </w:rPr>
      </w:pPr>
      <w:r>
        <w:rPr>
          <w:rStyle w:val="5"/>
          <w:rFonts w:hint="eastAsia" w:ascii="仿宋" w:hAnsi="仿宋" w:eastAsia="仿宋" w:cs="仿宋"/>
          <w:b/>
          <w:bCs/>
          <w:color w:val="000000"/>
          <w:spacing w:val="2"/>
          <w:sz w:val="44"/>
        </w:rPr>
        <w:t>南朗镇红十字会助学金管理办法</w:t>
      </w:r>
    </w:p>
    <w:p>
      <w:pPr>
        <w:pStyle w:val="14"/>
        <w:keepNext w:val="0"/>
        <w:keepLines w:val="0"/>
        <w:pageBreakBefore w:val="0"/>
        <w:widowControl/>
        <w:kinsoku/>
        <w:wordWrap/>
        <w:overflowPunct/>
        <w:topLinePunct w:val="0"/>
        <w:autoSpaceDE/>
        <w:autoSpaceDN/>
        <w:bidi w:val="0"/>
        <w:adjustRightInd/>
        <w:snapToGrid/>
        <w:spacing w:before="0" w:after="0" w:line="329" w:lineRule="exact"/>
        <w:ind w:right="0" w:rightChars="0"/>
        <w:jc w:val="center"/>
        <w:textAlignment w:val="auto"/>
        <w:outlineLvl w:val="9"/>
        <w:rPr>
          <w:rFonts w:hint="eastAsia" w:ascii="仿宋" w:hAnsi="仿宋" w:eastAsia="仿宋" w:cs="仿宋"/>
          <w:color w:val="auto"/>
          <w:kern w:val="0"/>
          <w:sz w:val="28"/>
          <w:szCs w:val="28"/>
          <w:shd w:val="clear" w:color="auto" w:fill="auto"/>
          <w:lang w:val="en-US" w:eastAsia="zh-CN" w:bidi="ar-SA"/>
        </w:rPr>
      </w:pPr>
    </w:p>
    <w:p>
      <w:pPr>
        <w:pStyle w:val="14"/>
        <w:keepNext w:val="0"/>
        <w:keepLines w:val="0"/>
        <w:pageBreakBefore w:val="0"/>
        <w:widowControl/>
        <w:kinsoku/>
        <w:wordWrap/>
        <w:overflowPunct/>
        <w:topLinePunct w:val="0"/>
        <w:autoSpaceDE/>
        <w:autoSpaceDN/>
        <w:bidi w:val="0"/>
        <w:adjustRightInd/>
        <w:snapToGrid/>
        <w:spacing w:before="0" w:after="0" w:line="329" w:lineRule="exact"/>
        <w:ind w:right="0" w:rightChars="0"/>
        <w:jc w:val="center"/>
        <w:textAlignment w:val="auto"/>
        <w:outlineLvl w:val="9"/>
        <w:rPr>
          <w:rFonts w:hint="eastAsia" w:ascii="仿宋" w:hAnsi="仿宋" w:eastAsia="仿宋" w:cs="仿宋"/>
          <w:color w:val="auto"/>
          <w:kern w:val="0"/>
          <w:sz w:val="28"/>
          <w:szCs w:val="28"/>
          <w:shd w:val="clear" w:color="auto" w:fill="auto"/>
          <w:lang w:val="en-US" w:eastAsia="zh-CN" w:bidi="ar-SA"/>
        </w:rPr>
      </w:pPr>
      <w:r>
        <w:rPr>
          <w:rFonts w:hint="eastAsia" w:ascii="仿宋" w:hAnsi="仿宋" w:eastAsia="仿宋" w:cs="仿宋"/>
          <w:color w:val="auto"/>
          <w:kern w:val="0"/>
          <w:sz w:val="28"/>
          <w:szCs w:val="28"/>
          <w:shd w:val="clear" w:color="auto" w:fill="auto"/>
          <w:lang w:val="en-US" w:eastAsia="zh-CN" w:bidi="ar-SA"/>
        </w:rPr>
        <w:t>(征求意见稿</w:t>
      </w:r>
      <w:bookmarkStart w:id="0" w:name="_GoBack"/>
      <w:bookmarkEnd w:id="0"/>
      <w:r>
        <w:rPr>
          <w:rFonts w:hint="eastAsia" w:ascii="仿宋" w:hAnsi="仿宋" w:eastAsia="仿宋" w:cs="仿宋"/>
          <w:color w:val="auto"/>
          <w:kern w:val="0"/>
          <w:sz w:val="28"/>
          <w:szCs w:val="28"/>
          <w:shd w:val="clear" w:color="auto" w:fill="auto"/>
          <w:lang w:val="en-US" w:eastAsia="zh-CN" w:bidi="ar-SA"/>
        </w:rPr>
        <w:t>)</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jc w:val="center"/>
        <w:textAlignment w:val="auto"/>
        <w:outlineLvl w:val="9"/>
        <w:rPr>
          <w:rFonts w:hint="eastAsia" w:ascii="仿宋" w:hAnsi="仿宋" w:eastAsia="仿宋" w:cs="仿宋"/>
          <w:b/>
          <w:bCs/>
          <w:color w:val="auto"/>
          <w:kern w:val="0"/>
          <w:sz w:val="32"/>
          <w:szCs w:val="32"/>
          <w:shd w:val="clear" w:color="auto" w:fill="auto"/>
          <w:lang w:val="en-US" w:eastAsia="zh-CN" w:bidi="ar-SA"/>
        </w:rPr>
      </w:pP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jc w:val="center"/>
        <w:textAlignment w:val="auto"/>
        <w:outlineLvl w:val="9"/>
        <w:rPr>
          <w:rFonts w:hint="eastAsia" w:ascii="仿宋" w:hAnsi="仿宋" w:eastAsia="仿宋" w:cs="仿宋"/>
          <w:b/>
          <w:bCs/>
          <w:color w:val="auto"/>
          <w:kern w:val="0"/>
          <w:sz w:val="32"/>
          <w:szCs w:val="32"/>
          <w:shd w:val="clear" w:color="auto" w:fill="auto"/>
          <w:lang w:val="en-US" w:eastAsia="zh-CN" w:bidi="ar-SA"/>
        </w:rPr>
      </w:pPr>
      <w:r>
        <w:rPr>
          <w:rFonts w:hint="eastAsia" w:ascii="仿宋" w:hAnsi="仿宋" w:eastAsia="仿宋" w:cs="仿宋"/>
          <w:b/>
          <w:bCs/>
          <w:color w:val="auto"/>
          <w:kern w:val="0"/>
          <w:sz w:val="32"/>
          <w:szCs w:val="32"/>
          <w:shd w:val="clear" w:color="auto" w:fill="auto"/>
          <w:lang w:val="en-US" w:eastAsia="zh-CN" w:bidi="ar-SA"/>
        </w:rPr>
        <w:t>第一章 总则</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第一条 为弘扬“人道、博爱、奉献”的红十字精神，促进青少年身心健康发展，解决困难群体因经济原因造成“上学难”问题，根据《中山市红十字会救助金操作细则》，结合我镇实际，制定本办法。</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第二条 本办法所指助学金，是用于救助困难群体上学的红十字救助资金。救助金主要来源于社会捐赠，包括慈善万人行捐款、其他组织或个人的捐款等。</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jc w:val="center"/>
        <w:textAlignment w:val="auto"/>
        <w:outlineLvl w:val="9"/>
        <w:rPr>
          <w:rFonts w:hint="eastAsia" w:ascii="仿宋" w:hAnsi="仿宋" w:eastAsia="仿宋" w:cs="仿宋"/>
          <w:b/>
          <w:bCs/>
          <w:color w:val="auto"/>
          <w:kern w:val="0"/>
          <w:sz w:val="32"/>
          <w:szCs w:val="32"/>
          <w:shd w:val="clear" w:color="auto" w:fill="auto"/>
          <w:lang w:val="en-US" w:eastAsia="zh-CN" w:bidi="ar-SA"/>
        </w:rPr>
      </w:pPr>
      <w:r>
        <w:rPr>
          <w:rFonts w:hint="eastAsia" w:ascii="仿宋" w:hAnsi="仿宋" w:eastAsia="仿宋" w:cs="仿宋"/>
          <w:b/>
          <w:bCs/>
          <w:color w:val="auto"/>
          <w:kern w:val="0"/>
          <w:sz w:val="32"/>
          <w:szCs w:val="32"/>
          <w:shd w:val="clear" w:color="auto" w:fill="auto"/>
          <w:lang w:val="en-US" w:eastAsia="zh-CN" w:bidi="ar-SA"/>
        </w:rPr>
        <w:t>第二章 救助对象及范围</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第三条 低保户及低收入家庭（以下简称“双低家庭”）和孤儿及事实无人抚养儿童（以下简称“两类困境儿童”）中在读非义务教育阶段全日制学历的对象，以及特殊困难家庭中在读全日制大专、本科或硕士研究生及以上学历的对象。上述困难家庭界定如下：</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b w:val="0"/>
          <w:bCs w:val="0"/>
          <w:i w:val="0"/>
          <w:iCs w:val="0"/>
          <w:color w:val="auto"/>
          <w:kern w:val="0"/>
          <w:sz w:val="32"/>
          <w:szCs w:val="32"/>
          <w:u w:val="none"/>
          <w:shd w:val="clear" w:color="auto" w:fill="auto"/>
          <w:lang w:val="en-US" w:eastAsia="zh-CN" w:bidi="ar-SA"/>
        </w:rPr>
      </w:pPr>
      <w:r>
        <w:rPr>
          <w:rFonts w:hint="eastAsia" w:ascii="仿宋" w:hAnsi="仿宋" w:eastAsia="仿宋" w:cs="仿宋"/>
          <w:b w:val="0"/>
          <w:bCs w:val="0"/>
          <w:i w:val="0"/>
          <w:iCs w:val="0"/>
          <w:color w:val="auto"/>
          <w:kern w:val="0"/>
          <w:sz w:val="32"/>
          <w:szCs w:val="32"/>
          <w:u w:val="none"/>
          <w:shd w:val="clear" w:color="auto" w:fill="auto"/>
          <w:lang w:val="en-US" w:eastAsia="zh-CN" w:bidi="ar-SA"/>
        </w:rPr>
        <w:t>（一）低保户指经南朗镇社会事务局审批、持有《广东省城乡居民最低生活保障证》，并经年审在有效期内的困难家庭；</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b w:val="0"/>
          <w:bCs w:val="0"/>
          <w:i w:val="0"/>
          <w:iCs w:val="0"/>
          <w:color w:val="auto"/>
          <w:kern w:val="0"/>
          <w:sz w:val="32"/>
          <w:szCs w:val="32"/>
          <w:u w:val="none"/>
          <w:shd w:val="clear" w:color="auto" w:fill="auto"/>
          <w:lang w:val="en-US" w:eastAsia="zh-CN" w:bidi="ar-SA"/>
        </w:rPr>
      </w:pPr>
      <w:r>
        <w:rPr>
          <w:rFonts w:hint="eastAsia" w:ascii="仿宋" w:hAnsi="仿宋" w:eastAsia="仿宋" w:cs="仿宋"/>
          <w:b w:val="0"/>
          <w:bCs w:val="0"/>
          <w:i w:val="0"/>
          <w:iCs w:val="0"/>
          <w:color w:val="auto"/>
          <w:kern w:val="0"/>
          <w:sz w:val="32"/>
          <w:szCs w:val="32"/>
          <w:u w:val="none"/>
          <w:shd w:val="clear" w:color="auto" w:fill="auto"/>
          <w:lang w:val="en-US" w:eastAsia="zh-CN" w:bidi="ar-SA"/>
        </w:rPr>
        <w:t>（二）低收入家庭指经南朗镇社会事务局审批、持有《中山市低收入家庭救助证》，并经年审在有效期内的困难家庭；</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（三）孤儿指经中山市民政局审批，持有《儿童福利证》的儿童；</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（四）事实无人抚养儿童指经中山市民政局在《事实无人抚养儿童基本生活补贴申请表》和《广东省社会散居父母双方不能履行抚养义务儿童基本生活保障金使用协议书》盖章确认的儿童；</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（五）特殊困难家庭指经南朗镇关工委审核，符合下列条件之一者：</w:t>
      </w: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1.家庭人均月收入高于当年低保标准的 1.5 倍且低于 1.8 倍；</w:t>
      </w: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2.家庭主要成员突发重大疾病而致贫的；</w:t>
      </w: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3.有家庭成员长期患较严重慢性疾病（如心脑血管病、恶性肿瘤、糖尿病、慢性呼吸系统疾病、肺病、肾病等），需长期治疗和服药的；</w:t>
      </w: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4.家庭发生突发性灾害或自然灾害以致生活困难的；</w:t>
      </w: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5.困难伤残退伍军人、烈士遗属的子女。</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第四条 本办法所指的非义务教育阶段学历包括幼儿园、高中、大专、大学本科和硕士研究生及以上学历等。</w:t>
      </w: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jc w:val="center"/>
        <w:textAlignment w:val="auto"/>
        <w:outlineLvl w:val="9"/>
        <w:rPr>
          <w:rFonts w:hint="eastAsia" w:ascii="仿宋" w:hAnsi="仿宋" w:eastAsia="仿宋" w:cs="仿宋"/>
          <w:b/>
          <w:bCs/>
          <w:color w:val="auto"/>
          <w:kern w:val="0"/>
          <w:sz w:val="32"/>
          <w:szCs w:val="32"/>
          <w:shd w:val="clear" w:color="auto" w:fill="auto"/>
          <w:lang w:val="en-US" w:eastAsia="zh-CN" w:bidi="ar-SA"/>
        </w:rPr>
      </w:pPr>
      <w:r>
        <w:rPr>
          <w:rFonts w:hint="eastAsia" w:ascii="仿宋" w:hAnsi="仿宋" w:eastAsia="仿宋" w:cs="仿宋"/>
          <w:b/>
          <w:bCs/>
          <w:color w:val="auto"/>
          <w:kern w:val="0"/>
          <w:sz w:val="32"/>
          <w:szCs w:val="32"/>
          <w:shd w:val="clear" w:color="auto" w:fill="auto"/>
          <w:lang w:val="en-US" w:eastAsia="zh-CN" w:bidi="ar-SA"/>
        </w:rPr>
        <w:t>第三章 救助方式和标准</w:t>
      </w: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第五条 救助方式为发放助学金，原则上实行社会化发放，按照财政管理制度将助学金直接支付到救助对象个人账户。</w:t>
      </w: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第六条 根据申请对象类别及就读学校类别执行分类救助标准：</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（一）双低家庭成员和两类困境儿童就读大学本科或硕士研究生及以上学历的，给予每年 5000 元助学金；</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（二）双低家庭成员和两类困境儿童就读大专的，给予每年 3000 元助学金；</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（三）双低家庭成员和两类困境儿童就读高中的，给予每年 1500 元助学金；</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（四）双低家庭成员和两类困境儿童就读幼儿园的，给予每年 3000 元助学金；</w:t>
      </w:r>
    </w:p>
    <w:p>
      <w:pPr>
        <w:pStyle w:val="14"/>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（五）特殊困难家庭成员就读大学本科或硕士研究生及以上学历的，给予每年 3000 元助学金；</w:t>
      </w: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（六）特殊困难家庭成员就读大专的，给予每年 2000 元助学金。</w:t>
      </w: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（七）具有其他特殊困难情况的，参照以上标准根据实际情况审批。</w:t>
      </w:r>
    </w:p>
    <w:p>
      <w:pPr>
        <w:pStyle w:val="15"/>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jc w:val="center"/>
        <w:textAlignment w:val="auto"/>
        <w:outlineLvl w:val="9"/>
        <w:rPr>
          <w:rFonts w:hint="eastAsia" w:ascii="仿宋" w:hAnsi="仿宋" w:eastAsia="仿宋" w:cs="仿宋"/>
          <w:b/>
          <w:bCs/>
          <w:color w:val="auto"/>
          <w:kern w:val="0"/>
          <w:sz w:val="32"/>
          <w:szCs w:val="32"/>
          <w:shd w:val="clear" w:color="auto" w:fill="auto"/>
          <w:lang w:val="en-US" w:eastAsia="zh-CN" w:bidi="ar-SA"/>
        </w:rPr>
      </w:pPr>
      <w:r>
        <w:rPr>
          <w:rFonts w:hint="eastAsia" w:ascii="仿宋" w:hAnsi="仿宋" w:eastAsia="仿宋" w:cs="仿宋"/>
          <w:b/>
          <w:bCs/>
          <w:color w:val="auto"/>
          <w:kern w:val="0"/>
          <w:sz w:val="32"/>
          <w:szCs w:val="32"/>
          <w:shd w:val="clear" w:color="auto" w:fill="auto"/>
          <w:lang w:val="en-US" w:eastAsia="zh-CN" w:bidi="ar-SA"/>
        </w:rPr>
        <w:t>第四章 救助程序</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第七条 属于本办法第二章规定的救助对象及范围的个人，申请镇红十字会助学金的，按以下程序办理：</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（一）提出申请</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申请人本人或委托其亲属填写《南朗镇红十字会助学金申请及审批表》（以下简称“审批表”），附个人申请书及有关证明材料，递交至户籍所在地村（居）委会提出申请。</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申请人根据具体情况提供如下材料：</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1.个人申请书，说明家庭困难情况、个人就读信息等有关情况，由申请人本人签名（提供原件）；</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2.申请人居民身份证复印件，委托亲属申请的，需提供委托书和被委托人居民身份证复印件；</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3.低保对象提供《广东省城乡居民最低生活保障证》（低保证）复印件，低收入对象提供《中山市低收入家庭救助证》（低收入证）复印件，孤儿提供《儿童福利证》（孤儿证）复印件，</w:t>
      </w:r>
      <w:r>
        <w:rPr>
          <w:rFonts w:hint="eastAsia" w:ascii="仿宋" w:hAnsi="仿宋" w:eastAsia="仿宋" w:cs="仿宋"/>
          <w:b w:val="0"/>
          <w:bCs w:val="0"/>
          <w:i w:val="0"/>
          <w:iCs w:val="0"/>
          <w:color w:val="auto"/>
          <w:kern w:val="0"/>
          <w:sz w:val="32"/>
          <w:szCs w:val="32"/>
          <w:u w:val="none"/>
          <w:shd w:val="clear" w:color="auto" w:fill="auto"/>
          <w:lang w:val="en-US" w:eastAsia="zh-CN" w:bidi="ar-SA"/>
        </w:rPr>
        <w:t>社会散居父母双方不能履行抚养义务儿童提供《广东省社会散居父母双方不能履行抚养义务儿童认定申请表》复印件，</w:t>
      </w:r>
      <w:r>
        <w:rPr>
          <w:rFonts w:hint="eastAsia" w:ascii="仿宋" w:hAnsi="仿宋" w:eastAsia="仿宋" w:cs="仿宋"/>
          <w:color w:val="auto"/>
          <w:kern w:val="0"/>
          <w:sz w:val="32"/>
          <w:szCs w:val="32"/>
          <w:shd w:val="clear" w:color="auto" w:fill="auto"/>
          <w:lang w:val="en-US" w:eastAsia="zh-CN" w:bidi="ar-SA"/>
        </w:rPr>
        <w:t>特殊困难对象提供收入证明；</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4.入学通知书（首次申请提供）、学生证及缴费凭证等复印件；</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5.需证明患病情况的提供医院出具的疾病证明、医疗单据等复印件；</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6.需要说明其他特殊情况的证明材料；</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7.提供申请人本人的农业银行存折或储蓄卡复印件，银行账号用于接收助学金；无法提供本人银行账号的，可提供家属银行账号代收，同时填写委托书（提供原件）；</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8.南朗镇红十字会认为需要提供的其他材料。</w:t>
      </w:r>
    </w:p>
    <w:p>
      <w:pPr>
        <w:pStyle w:val="16"/>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以上有关材料递交复印件的，需提供原件核对。</w:t>
      </w:r>
    </w:p>
    <w:p>
      <w:pPr>
        <w:pStyle w:val="17"/>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（二）初步审查</w:t>
      </w:r>
    </w:p>
    <w:p>
      <w:pPr>
        <w:pStyle w:val="17"/>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1.由申请对象户籍所在地村（居）委会受理初审。村（居）委会对申请人提交的材料进行审查，材料齐备的，予以受理，核实困难情况及就读信息后，在审批表及个人申请书上加具意见、加盖公章、书记或主任签名。材料不齐备的，应一次性告知申请人或其代理人补齐全部材料。</w:t>
      </w:r>
    </w:p>
    <w:p>
      <w:pPr>
        <w:pStyle w:val="17"/>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经村（居）委会初审通过，属双低家庭或两类困境儿童申请对象的，直接递交至镇红十字会审批；属特殊困难家庭申请对象的，递交至镇关工委审核。</w:t>
      </w:r>
    </w:p>
    <w:p>
      <w:pPr>
        <w:pStyle w:val="17"/>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2.由镇关工委对特殊困难对象申请材料进行审核。经村（居）委会初审后的特殊困难申请对象，镇关工委进行审核，核实困难情况及就读信息后，在审批表加具意见、加盖公章、领导签名，递交至镇红十字会审批。</w:t>
      </w:r>
    </w:p>
    <w:p>
      <w:pPr>
        <w:pStyle w:val="17"/>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（三）审批及发放</w:t>
      </w:r>
    </w:p>
    <w:p>
      <w:pPr>
        <w:pStyle w:val="17"/>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镇红十字会对经过村（居）委会或镇关工委初审的申请材料进行审批。对申请对象的困难情况及就读信息等有关情况进行调查、核实，经镇红十字会 2 名工作人员及秘书长签名，加具救助建议，提交镇红十字会会长审批。</w:t>
      </w:r>
    </w:p>
    <w:p>
      <w:pPr>
        <w:pStyle w:val="17"/>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审批通过的，镇红十字会通过金融机构把助学金支付到申请人提供的银行账户。</w:t>
      </w:r>
    </w:p>
    <w:p>
      <w:pPr>
        <w:pStyle w:val="17"/>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第八条 受理时间。助学申请受理期限为每年的 8 月 1 日至 9 月10 日，逾期不予受理。</w:t>
      </w:r>
    </w:p>
    <w:p>
      <w:pPr>
        <w:pStyle w:val="18"/>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第九条 申请人在同一自然年度内只能申请一次，重复申请不予批准。</w:t>
      </w:r>
    </w:p>
    <w:p>
      <w:pPr>
        <w:pStyle w:val="18"/>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p>
    <w:p>
      <w:pPr>
        <w:pStyle w:val="18"/>
        <w:keepNext w:val="0"/>
        <w:keepLines w:val="0"/>
        <w:pageBreakBefore w:val="0"/>
        <w:widowControl/>
        <w:kinsoku/>
        <w:wordWrap/>
        <w:overflowPunct/>
        <w:topLinePunct w:val="0"/>
        <w:autoSpaceDE/>
        <w:autoSpaceDN/>
        <w:bidi w:val="0"/>
        <w:adjustRightInd/>
        <w:snapToGrid/>
        <w:spacing w:before="0" w:after="0" w:line="288" w:lineRule="auto"/>
        <w:ind w:right="0" w:rightChars="0"/>
        <w:jc w:val="center"/>
        <w:textAlignment w:val="auto"/>
        <w:outlineLvl w:val="9"/>
        <w:rPr>
          <w:rFonts w:hint="eastAsia" w:ascii="仿宋" w:hAnsi="仿宋" w:eastAsia="仿宋" w:cs="仿宋"/>
          <w:b/>
          <w:bCs/>
          <w:color w:val="auto"/>
          <w:kern w:val="0"/>
          <w:sz w:val="32"/>
          <w:szCs w:val="32"/>
          <w:shd w:val="clear" w:color="auto" w:fill="auto"/>
          <w:lang w:val="en-US" w:eastAsia="zh-CN" w:bidi="ar-SA"/>
        </w:rPr>
      </w:pPr>
      <w:r>
        <w:rPr>
          <w:rFonts w:hint="eastAsia" w:ascii="仿宋" w:hAnsi="仿宋" w:eastAsia="仿宋" w:cs="仿宋"/>
          <w:b/>
          <w:bCs/>
          <w:color w:val="auto"/>
          <w:kern w:val="0"/>
          <w:sz w:val="32"/>
          <w:szCs w:val="32"/>
          <w:shd w:val="clear" w:color="auto" w:fill="auto"/>
          <w:lang w:val="en-US" w:eastAsia="zh-CN" w:bidi="ar-SA"/>
        </w:rPr>
        <w:t>第五章 监督管理</w:t>
      </w:r>
    </w:p>
    <w:p>
      <w:pPr>
        <w:pStyle w:val="18"/>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第十条 镇红十字会建立救助对象发放名册等救助档案，加强档案管理。</w:t>
      </w:r>
    </w:p>
    <w:p>
      <w:pPr>
        <w:pStyle w:val="18"/>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第十一条 工作人员应对在调查、审核、审批过程中获得的涉及申请人的信息予以保密，不得向与救助工作无关的任何组织或个人泄露对象个人信息。</w:t>
      </w:r>
    </w:p>
    <w:p>
      <w:pPr>
        <w:pStyle w:val="18"/>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val="en-US" w:eastAsia="zh-CN" w:bidi="ar-SA"/>
        </w:rPr>
        <w:t>第十二条 申请人应如实提供申请信息，并配合依法开展的调查工作。不符合助学条件的人员冒名顶替、伪造身份信息、隐瞒家庭经济状况，骗取助学金的，撤销救助决定，追回助学金，相关信息纳入诚信体系；构成犯罪的，依法追究刑事责任。</w:t>
      </w:r>
    </w:p>
    <w:p>
      <w:pPr>
        <w:pStyle w:val="18"/>
        <w:keepNext w:val="0"/>
        <w:keepLines w:val="0"/>
        <w:pageBreakBefore w:val="0"/>
        <w:widowControl/>
        <w:kinsoku/>
        <w:wordWrap/>
        <w:overflowPunct/>
        <w:topLinePunct w:val="0"/>
        <w:autoSpaceDE/>
        <w:autoSpaceDN/>
        <w:bidi w:val="0"/>
        <w:adjustRightInd/>
        <w:snapToGrid/>
        <w:spacing w:before="0" w:after="0" w:line="288" w:lineRule="auto"/>
        <w:ind w:right="0" w:rightChars="0"/>
        <w:jc w:val="center"/>
        <w:textAlignment w:val="auto"/>
        <w:outlineLvl w:val="9"/>
        <w:rPr>
          <w:rFonts w:hint="eastAsia" w:ascii="仿宋" w:hAnsi="仿宋" w:eastAsia="仿宋" w:cs="仿宋"/>
          <w:color w:val="auto"/>
          <w:kern w:val="0"/>
          <w:sz w:val="32"/>
          <w:szCs w:val="32"/>
          <w:shd w:val="clear" w:color="auto" w:fill="auto"/>
          <w:lang w:val="en-US" w:eastAsia="zh-CN" w:bidi="ar-SA"/>
        </w:rPr>
      </w:pPr>
    </w:p>
    <w:p>
      <w:pPr>
        <w:pStyle w:val="18"/>
        <w:keepNext w:val="0"/>
        <w:keepLines w:val="0"/>
        <w:pageBreakBefore w:val="0"/>
        <w:widowControl/>
        <w:kinsoku/>
        <w:wordWrap/>
        <w:overflowPunct/>
        <w:topLinePunct w:val="0"/>
        <w:autoSpaceDE/>
        <w:autoSpaceDN/>
        <w:bidi w:val="0"/>
        <w:adjustRightInd/>
        <w:snapToGrid/>
        <w:spacing w:before="0" w:after="0" w:line="288" w:lineRule="auto"/>
        <w:ind w:right="0" w:rightChars="0"/>
        <w:jc w:val="center"/>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b/>
          <w:bCs/>
          <w:color w:val="auto"/>
          <w:kern w:val="0"/>
          <w:sz w:val="32"/>
          <w:szCs w:val="32"/>
          <w:shd w:val="clear" w:color="auto" w:fill="auto"/>
          <w:lang w:val="en-US" w:eastAsia="zh-CN" w:bidi="ar-SA"/>
        </w:rPr>
        <w:t>第六章 附则</w:t>
      </w:r>
    </w:p>
    <w:p>
      <w:pPr>
        <w:keepNext w:val="0"/>
        <w:keepLines w:val="0"/>
        <w:pageBreakBefore w:val="0"/>
        <w:widowControl/>
        <w:kinsoku/>
        <w:wordWrap/>
        <w:overflowPunct/>
        <w:topLinePunct w:val="0"/>
        <w:autoSpaceDE/>
        <w:autoSpaceDN/>
        <w:bidi w:val="0"/>
        <w:adjustRightInd/>
        <w:snapToGrid w:val="0"/>
        <w:spacing w:afterAutospacing="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color w:val="auto"/>
          <w:kern w:val="0"/>
          <w:sz w:val="32"/>
          <w:szCs w:val="32"/>
          <w:shd w:val="clear" w:color="auto" w:fill="auto"/>
          <w:lang w:eastAsia="zh-CN"/>
        </w:rPr>
        <w:t>第十三条</w:t>
      </w:r>
      <w:r>
        <w:rPr>
          <w:rFonts w:hint="eastAsia" w:ascii="仿宋" w:hAnsi="仿宋" w:eastAsia="仿宋" w:cs="仿宋"/>
          <w:color w:val="auto"/>
          <w:kern w:val="0"/>
          <w:sz w:val="32"/>
          <w:szCs w:val="32"/>
          <w:shd w:val="clear" w:color="auto" w:fill="auto"/>
          <w:lang w:val="en-US" w:eastAsia="zh-CN"/>
        </w:rPr>
        <w:t xml:space="preserve"> </w:t>
      </w:r>
      <w:r>
        <w:rPr>
          <w:rFonts w:hint="eastAsia" w:ascii="仿宋" w:hAnsi="仿宋" w:eastAsia="仿宋" w:cs="仿宋"/>
          <w:color w:val="auto"/>
          <w:kern w:val="0"/>
          <w:sz w:val="32"/>
          <w:szCs w:val="32"/>
          <w:shd w:val="clear" w:color="auto" w:fill="auto"/>
        </w:rPr>
        <w:t>对于镇委、镇政府和上级红十字会另有规定的，按规定执行。</w:t>
      </w:r>
    </w:p>
    <w:p>
      <w:pPr>
        <w:keepNext w:val="0"/>
        <w:keepLines w:val="0"/>
        <w:pageBreakBefore w:val="0"/>
        <w:widowControl/>
        <w:kinsoku/>
        <w:wordWrap/>
        <w:overflowPunct/>
        <w:topLinePunct w:val="0"/>
        <w:autoSpaceDE/>
        <w:autoSpaceDN/>
        <w:bidi w:val="0"/>
        <w:adjustRightInd/>
        <w:snapToGrid w:val="0"/>
        <w:spacing w:afterAutospacing="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rPr>
      </w:pPr>
      <w:r>
        <w:rPr>
          <w:rFonts w:hint="eastAsia" w:ascii="仿宋" w:hAnsi="仿宋" w:eastAsia="仿宋" w:cs="仿宋"/>
          <w:color w:val="auto"/>
          <w:kern w:val="0"/>
          <w:sz w:val="32"/>
          <w:szCs w:val="32"/>
          <w:shd w:val="clear" w:color="auto" w:fill="auto"/>
          <w:lang w:val="en-US" w:eastAsia="zh-CN" w:bidi="ar-SA"/>
        </w:rPr>
        <w:t xml:space="preserve">第十四条 </w:t>
      </w:r>
      <w:r>
        <w:rPr>
          <w:rFonts w:hint="eastAsia" w:ascii="仿宋" w:hAnsi="仿宋" w:eastAsia="仿宋" w:cs="仿宋"/>
          <w:color w:val="auto"/>
          <w:kern w:val="0"/>
          <w:sz w:val="32"/>
          <w:szCs w:val="32"/>
          <w:shd w:val="clear" w:color="auto" w:fill="auto"/>
        </w:rPr>
        <w:t>本</w:t>
      </w:r>
      <w:r>
        <w:rPr>
          <w:rFonts w:hint="eastAsia" w:ascii="仿宋" w:hAnsi="仿宋" w:eastAsia="仿宋" w:cs="仿宋"/>
          <w:color w:val="auto"/>
          <w:kern w:val="0"/>
          <w:sz w:val="32"/>
          <w:szCs w:val="32"/>
          <w:shd w:val="clear" w:color="auto" w:fill="auto"/>
          <w:lang w:eastAsia="zh-CN"/>
        </w:rPr>
        <w:t>管理办法</w:t>
      </w:r>
      <w:r>
        <w:rPr>
          <w:rFonts w:hint="eastAsia" w:ascii="仿宋" w:hAnsi="仿宋" w:eastAsia="仿宋" w:cs="仿宋"/>
          <w:color w:val="auto"/>
          <w:kern w:val="0"/>
          <w:sz w:val="32"/>
          <w:szCs w:val="32"/>
          <w:shd w:val="clear" w:color="auto" w:fill="auto"/>
        </w:rPr>
        <w:t>由镇红十字会负责解释。</w:t>
      </w:r>
    </w:p>
    <w:p>
      <w:pPr>
        <w:keepNext w:val="0"/>
        <w:keepLines w:val="0"/>
        <w:pageBreakBefore w:val="0"/>
        <w:kinsoku/>
        <w:wordWrap/>
        <w:overflowPunct/>
        <w:topLinePunct w:val="0"/>
        <w:autoSpaceDE/>
        <w:autoSpaceDN/>
        <w:bidi w:val="0"/>
        <w:adjustRightInd/>
        <w:snapToGrid w:val="0"/>
        <w:spacing w:afterAutospacing="0" w:line="288" w:lineRule="auto"/>
        <w:ind w:right="0" w:rightChars="0" w:firstLine="640" w:firstLineChars="200"/>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第</w:t>
      </w:r>
      <w:r>
        <w:rPr>
          <w:rFonts w:hint="eastAsia" w:ascii="仿宋" w:hAnsi="仿宋" w:eastAsia="仿宋" w:cs="仿宋"/>
          <w:color w:val="auto"/>
          <w:sz w:val="32"/>
          <w:szCs w:val="32"/>
          <w:shd w:val="clear" w:color="auto" w:fill="auto"/>
          <w:lang w:eastAsia="zh-CN"/>
        </w:rPr>
        <w:t>十五</w:t>
      </w:r>
      <w:r>
        <w:rPr>
          <w:rFonts w:hint="eastAsia" w:ascii="仿宋" w:hAnsi="仿宋" w:eastAsia="仿宋" w:cs="仿宋"/>
          <w:color w:val="auto"/>
          <w:sz w:val="32"/>
          <w:szCs w:val="32"/>
          <w:shd w:val="clear" w:color="auto" w:fill="auto"/>
        </w:rPr>
        <w:t>条</w:t>
      </w:r>
      <w:r>
        <w:rPr>
          <w:rFonts w:hint="eastAsia" w:ascii="仿宋" w:hAnsi="仿宋" w:eastAsia="仿宋" w:cs="仿宋"/>
          <w:color w:val="auto"/>
          <w:sz w:val="32"/>
          <w:szCs w:val="32"/>
          <w:shd w:val="clear" w:color="auto" w:fill="auto"/>
          <w:lang w:val="en-US" w:eastAsia="zh-CN"/>
        </w:rPr>
        <w:t xml:space="preserve"> </w:t>
      </w:r>
      <w:r>
        <w:rPr>
          <w:rFonts w:hint="eastAsia" w:ascii="仿宋" w:hAnsi="仿宋" w:eastAsia="仿宋" w:cs="仿宋"/>
          <w:color w:val="auto"/>
          <w:sz w:val="32"/>
          <w:szCs w:val="32"/>
          <w:shd w:val="clear" w:color="auto" w:fill="auto"/>
        </w:rPr>
        <w:t>本</w:t>
      </w:r>
      <w:r>
        <w:rPr>
          <w:rFonts w:hint="eastAsia" w:ascii="仿宋" w:hAnsi="仿宋" w:eastAsia="仿宋" w:cs="仿宋"/>
          <w:color w:val="auto"/>
          <w:sz w:val="32"/>
          <w:szCs w:val="32"/>
          <w:shd w:val="clear" w:color="auto" w:fill="auto"/>
          <w:lang w:eastAsia="zh-CN"/>
        </w:rPr>
        <w:t>管理办法</w:t>
      </w:r>
      <w:r>
        <w:rPr>
          <w:rFonts w:hint="eastAsia" w:ascii="仿宋" w:hAnsi="仿宋" w:eastAsia="仿宋" w:cs="仿宋"/>
          <w:color w:val="auto"/>
          <w:sz w:val="32"/>
          <w:szCs w:val="32"/>
          <w:shd w:val="clear" w:color="auto" w:fill="auto"/>
        </w:rPr>
        <w:t>从颁发之日起执行。</w:t>
      </w:r>
    </w:p>
    <w:p>
      <w:pPr>
        <w:pStyle w:val="18"/>
        <w:keepNext w:val="0"/>
        <w:keepLines w:val="0"/>
        <w:pageBreakBefore w:val="0"/>
        <w:widowControl/>
        <w:kinsoku/>
        <w:wordWrap/>
        <w:overflowPunct/>
        <w:topLinePunct w:val="0"/>
        <w:autoSpaceDE/>
        <w:autoSpaceDN/>
        <w:bidi w:val="0"/>
        <w:adjustRightInd/>
        <w:snapToGrid/>
        <w:spacing w:before="0" w:after="0" w:line="288" w:lineRule="auto"/>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SA"/>
        </w:rPr>
      </w:pPr>
    </w:p>
    <w:sectPr>
      <w:footerReference r:id="rId3" w:type="default"/>
      <w:pgSz w:w="11900" w:h="16820"/>
      <w:pgMar w:top="1440" w:right="1800" w:bottom="1440" w:left="1800" w:header="720" w:footer="720" w:gutter="0"/>
      <w:pgNumType w:fmt="numberInDash"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720"/>
  <w:noPunctuationKerning w:val="1"/>
  <w:characterSpacingControl w:val="doNotCompress"/>
  <w:hdrShapeDefaults>
    <o:shapelayout v:ext="edit">
      <o:idmap v:ext="edit" data="3,4"/>
    </o:shapelayout>
  </w:hdrShapeDefault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A2A55"/>
    <w:rsid w:val="0110395E"/>
    <w:rsid w:val="0C897956"/>
    <w:rsid w:val="106B4A01"/>
    <w:rsid w:val="21B17F57"/>
    <w:rsid w:val="38DC0814"/>
    <w:rsid w:val="3D9709EA"/>
    <w:rsid w:val="44B03178"/>
    <w:rsid w:val="49791C46"/>
    <w:rsid w:val="57267A05"/>
    <w:rsid w:val="63013BE9"/>
    <w:rsid w:val="6BEB1BD8"/>
    <w:rsid w:val="6DB90ECF"/>
    <w:rsid w:val="6FB476CD"/>
    <w:rsid w:val="704A36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7">
    <w:name w:val="Normal_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8">
    <w:name w:val="Normal_2"/>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9">
    <w:name w:val="Normal_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0">
    <w:name w:val="Normal_4"/>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1">
    <w:name w:val="Normal_5"/>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2">
    <w:name w:val="Normal_6"/>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3">
    <w:name w:val="Normal_7"/>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4">
    <w:name w:val="Normal_8"/>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5">
    <w:name w:val="Normal_9"/>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6">
    <w:name w:val="Normal_1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7">
    <w:name w:val="Normal_1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8">
    <w:name w:val="Normal_12"/>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2019-08-29T02:48:00Z</dcterms:created>
  <dc:creator>Administrator</dc:creator>
  <cp:lastModifiedBy>慧祺  </cp:lastModifiedBy>
  <cp:lastPrinted>2020-08-18T06:43:00Z</cp:lastPrinted>
  <dcterms:modified xsi:type="dcterms:W3CDTF">2020-08-24T01:02:51Z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