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0" w:line="336" w:lineRule="auto"/>
        <w:jc w:val="both"/>
        <w:rPr>
          <w:rFonts w:hint="eastAsia" w:ascii="黑体" w:hAnsi="黑体" w:eastAsia="黑体" w:cs="黑体"/>
          <w:spacing w:val="6"/>
          <w:sz w:val="32"/>
          <w:szCs w:val="32"/>
          <w:lang w:val="en-US" w:eastAsia="zh-CN"/>
        </w:rPr>
      </w:pPr>
      <w:bookmarkStart w:id="0" w:name="_GoBack"/>
      <w:bookmarkEnd w:id="0"/>
      <w:r>
        <w:rPr>
          <w:rFonts w:hint="eastAsia" w:ascii="黑体" w:hAnsi="黑体" w:eastAsia="黑体" w:cs="黑体"/>
          <w:spacing w:val="6"/>
          <w:sz w:val="32"/>
          <w:szCs w:val="32"/>
          <w:lang w:val="en-US" w:eastAsia="zh-CN"/>
        </w:rPr>
        <w:t>附件：</w:t>
      </w:r>
    </w:p>
    <w:p>
      <w:pPr>
        <w:spacing w:beforeLines="50" w:line="336" w:lineRule="auto"/>
        <w:jc w:val="center"/>
        <w:rPr>
          <w:rFonts w:ascii="微软简标宋" w:hAnsi="微软简标宋" w:eastAsia="微软简标宋" w:cs="微软简标宋"/>
          <w:spacing w:val="6"/>
          <w:sz w:val="44"/>
          <w:szCs w:val="44"/>
          <w:lang w:eastAsia="zh-CN"/>
        </w:rPr>
      </w:pPr>
      <w:r>
        <w:rPr>
          <w:rFonts w:hint="eastAsia" w:ascii="微软简标宋" w:hAnsi="微软简标宋" w:eastAsia="微软简标宋" w:cs="微软简标宋"/>
          <w:spacing w:val="6"/>
          <w:sz w:val="44"/>
          <w:szCs w:val="44"/>
          <w:lang w:eastAsia="zh-CN"/>
        </w:rPr>
        <w:t>中山火炬开发区关于支持企业应对疫情</w:t>
      </w:r>
    </w:p>
    <w:p>
      <w:pPr>
        <w:spacing w:beforeLines="50" w:line="336" w:lineRule="auto"/>
        <w:jc w:val="center"/>
        <w:rPr>
          <w:rFonts w:hint="eastAsia" w:ascii="微软简标宋" w:hAnsi="微软简标宋" w:eastAsia="微软简标宋" w:cs="微软简标宋"/>
          <w:spacing w:val="6"/>
          <w:sz w:val="44"/>
          <w:szCs w:val="44"/>
          <w:lang w:eastAsia="zh-CN"/>
        </w:rPr>
      </w:pPr>
      <w:r>
        <w:rPr>
          <w:rFonts w:hint="eastAsia" w:ascii="微软简标宋" w:hAnsi="微软简标宋" w:eastAsia="微软简标宋" w:cs="微软简标宋"/>
          <w:spacing w:val="6"/>
          <w:sz w:val="44"/>
          <w:szCs w:val="44"/>
          <w:lang w:eastAsia="zh-CN"/>
        </w:rPr>
        <w:t>复工增产的若干措施</w:t>
      </w:r>
    </w:p>
    <w:p>
      <w:pPr>
        <w:spacing w:beforeLines="50" w:line="336" w:lineRule="auto"/>
        <w:jc w:val="center"/>
        <w:rPr>
          <w:rFonts w:hint="eastAsia" w:ascii="仿宋_GB2312" w:hAnsi="仿宋_GB2312" w:eastAsia="仿宋_GB2312" w:cs="仿宋_GB2312"/>
          <w:spacing w:val="6"/>
          <w:sz w:val="32"/>
          <w:szCs w:val="32"/>
          <w:lang w:eastAsia="zh-CN"/>
        </w:rPr>
      </w:pPr>
      <w:r>
        <w:rPr>
          <w:rFonts w:hint="eastAsia" w:ascii="仿宋_GB2312" w:hAnsi="仿宋_GB2312" w:eastAsia="仿宋_GB2312" w:cs="仿宋_GB2312"/>
          <w:spacing w:val="6"/>
          <w:sz w:val="32"/>
          <w:szCs w:val="32"/>
          <w:lang w:eastAsia="zh-CN"/>
        </w:rPr>
        <w:t>（</w:t>
      </w:r>
      <w:r>
        <w:rPr>
          <w:rFonts w:hint="eastAsia" w:ascii="仿宋_GB2312" w:hAnsi="仿宋_GB2312" w:eastAsia="仿宋_GB2312" w:cs="仿宋_GB2312"/>
          <w:spacing w:val="6"/>
          <w:sz w:val="32"/>
          <w:szCs w:val="32"/>
          <w:lang w:val="en-US" w:eastAsia="zh-CN"/>
        </w:rPr>
        <w:t>征求意见稿</w:t>
      </w:r>
      <w:r>
        <w:rPr>
          <w:rFonts w:hint="eastAsia" w:ascii="仿宋_GB2312" w:hAnsi="仿宋_GB2312" w:eastAsia="仿宋_GB2312" w:cs="仿宋_GB2312"/>
          <w:spacing w:val="6"/>
          <w:sz w:val="32"/>
          <w:szCs w:val="32"/>
          <w:lang w:eastAsia="zh-CN"/>
        </w:rPr>
        <w:t>）</w:t>
      </w:r>
    </w:p>
    <w:p>
      <w:pPr>
        <w:spacing w:beforeLines="50" w:line="336" w:lineRule="auto"/>
        <w:jc w:val="both"/>
        <w:rPr>
          <w:rFonts w:hint="eastAsia" w:ascii="仿宋_GB2312" w:hAnsi="仿宋_GB2312" w:eastAsia="仿宋_GB2312" w:cs="仿宋_GB2312"/>
          <w:spacing w:val="6"/>
          <w:sz w:val="32"/>
          <w:szCs w:val="32"/>
          <w:lang w:eastAsia="zh-CN"/>
        </w:rPr>
      </w:pPr>
    </w:p>
    <w:p>
      <w:pPr>
        <w:pStyle w:val="2"/>
        <w:spacing w:line="336" w:lineRule="auto"/>
        <w:ind w:firstLine="664" w:firstLineChars="200"/>
        <w:rPr>
          <w:rFonts w:eastAsia="仿宋_GB2312"/>
          <w:bCs/>
          <w:spacing w:val="6"/>
          <w:sz w:val="32"/>
          <w:szCs w:val="32"/>
        </w:rPr>
      </w:pPr>
      <w:r>
        <w:rPr>
          <w:rFonts w:hint="eastAsia" w:eastAsia="仿宋_GB2312"/>
          <w:bCs/>
          <w:spacing w:val="6"/>
          <w:sz w:val="32"/>
          <w:szCs w:val="32"/>
        </w:rPr>
        <w:t>为深入贯彻习近平总书记关于统筹推进新冠肺炎疫情防控和经济社会发展工作系列重要讲话精神</w:t>
      </w:r>
      <w:r>
        <w:rPr>
          <w:rFonts w:eastAsia="仿宋_GB2312"/>
          <w:bCs/>
          <w:spacing w:val="6"/>
          <w:sz w:val="32"/>
          <w:szCs w:val="32"/>
        </w:rPr>
        <w:t>，全面落实市委、市政府</w:t>
      </w:r>
      <w:r>
        <w:rPr>
          <w:rFonts w:hint="eastAsia" w:eastAsia="仿宋_GB2312"/>
          <w:bCs/>
          <w:spacing w:val="6"/>
          <w:sz w:val="32"/>
          <w:szCs w:val="32"/>
        </w:rPr>
        <w:t>的</w:t>
      </w:r>
      <w:r>
        <w:rPr>
          <w:rFonts w:eastAsia="仿宋_GB2312"/>
          <w:bCs/>
          <w:spacing w:val="6"/>
          <w:sz w:val="32"/>
          <w:szCs w:val="32"/>
        </w:rPr>
        <w:t>工作</w:t>
      </w:r>
      <w:r>
        <w:rPr>
          <w:rFonts w:hint="eastAsia" w:eastAsia="仿宋_GB2312"/>
          <w:bCs/>
          <w:spacing w:val="6"/>
          <w:sz w:val="32"/>
          <w:szCs w:val="32"/>
        </w:rPr>
        <w:t>部署</w:t>
      </w:r>
      <w:r>
        <w:rPr>
          <w:rFonts w:eastAsia="仿宋_GB2312"/>
          <w:bCs/>
          <w:spacing w:val="6"/>
          <w:sz w:val="32"/>
          <w:szCs w:val="32"/>
        </w:rPr>
        <w:t>，支持</w:t>
      </w:r>
      <w:r>
        <w:rPr>
          <w:rFonts w:hint="eastAsia" w:eastAsia="仿宋_GB2312"/>
          <w:bCs/>
          <w:spacing w:val="6"/>
          <w:sz w:val="32"/>
          <w:szCs w:val="32"/>
        </w:rPr>
        <w:t>企业应对疫情复工增产，</w:t>
      </w:r>
      <w:r>
        <w:rPr>
          <w:rFonts w:eastAsia="仿宋_GB2312"/>
          <w:bCs/>
          <w:spacing w:val="6"/>
          <w:sz w:val="32"/>
          <w:szCs w:val="32"/>
        </w:rPr>
        <w:t>现</w:t>
      </w:r>
      <w:r>
        <w:rPr>
          <w:rFonts w:hint="eastAsia" w:eastAsia="仿宋_GB2312"/>
          <w:bCs/>
          <w:spacing w:val="6"/>
          <w:sz w:val="32"/>
          <w:szCs w:val="32"/>
        </w:rPr>
        <w:t>提出以下若干措施：</w:t>
      </w:r>
    </w:p>
    <w:p>
      <w:pPr>
        <w:pStyle w:val="2"/>
        <w:spacing w:line="336" w:lineRule="auto"/>
        <w:ind w:firstLine="664" w:firstLineChars="200"/>
        <w:rPr>
          <w:rFonts w:eastAsia="仿宋_GB2312"/>
          <w:bCs/>
          <w:spacing w:val="6"/>
          <w:sz w:val="32"/>
          <w:szCs w:val="32"/>
        </w:rPr>
      </w:pPr>
      <w:r>
        <w:rPr>
          <w:rFonts w:hint="eastAsia" w:ascii="黑体" w:hAnsi="黑体" w:eastAsia="黑体" w:cs="黑体"/>
          <w:bCs/>
          <w:spacing w:val="6"/>
          <w:sz w:val="32"/>
          <w:szCs w:val="32"/>
        </w:rPr>
        <w:t>一、总体要求</w:t>
      </w:r>
    </w:p>
    <w:p>
      <w:pPr>
        <w:pStyle w:val="2"/>
        <w:spacing w:line="336" w:lineRule="auto"/>
        <w:ind w:firstLine="664" w:firstLineChars="200"/>
        <w:rPr>
          <w:rFonts w:ascii="仿宋_GB2312" w:hAnsi="仿宋_GB2312" w:eastAsia="仿宋_GB2312" w:cs="仿宋_GB2312"/>
          <w:bCs/>
          <w:spacing w:val="6"/>
          <w:sz w:val="32"/>
          <w:szCs w:val="32"/>
        </w:rPr>
      </w:pPr>
      <w:r>
        <w:rPr>
          <w:rFonts w:hint="eastAsia" w:ascii="仿宋_GB2312" w:hAnsi="仿宋_GB2312" w:eastAsia="仿宋_GB2312" w:cs="仿宋_GB2312"/>
          <w:bCs/>
          <w:spacing w:val="6"/>
          <w:sz w:val="32"/>
          <w:szCs w:val="32"/>
        </w:rPr>
        <w:t>企业是推动经济发展，保障社会民生，以及做好“六稳”“六保”工作的重要支撑，紧紧围绕区党工委、管委会的决策部署，立足“支撑、保障、服务”的定位，突出规上限上企业的工作重点，强化年内取得成效的目标导向，注重调动市场主体各方的主观能动性，形成我区企业复工增产的良好工作局面，为实现经济社会发展目标作出应有贡献。</w:t>
      </w:r>
    </w:p>
    <w:p>
      <w:pPr>
        <w:pStyle w:val="2"/>
        <w:spacing w:line="336" w:lineRule="auto"/>
        <w:ind w:firstLine="664" w:firstLineChars="200"/>
        <w:rPr>
          <w:rFonts w:eastAsia="仿宋_GB2312"/>
          <w:bCs/>
          <w:spacing w:val="6"/>
          <w:sz w:val="32"/>
          <w:szCs w:val="32"/>
        </w:rPr>
      </w:pPr>
      <w:r>
        <w:rPr>
          <w:rFonts w:hint="eastAsia" w:ascii="黑体" w:hAnsi="黑体" w:eastAsia="黑体" w:cs="黑体"/>
          <w:bCs/>
          <w:spacing w:val="6"/>
          <w:sz w:val="32"/>
          <w:szCs w:val="32"/>
        </w:rPr>
        <w:t>二、主要举措</w:t>
      </w:r>
    </w:p>
    <w:p>
      <w:pPr>
        <w:pStyle w:val="2"/>
        <w:spacing w:line="336" w:lineRule="auto"/>
        <w:ind w:firstLine="664" w:firstLineChars="200"/>
        <w:rPr>
          <w:rFonts w:eastAsia="仿宋_GB2312"/>
          <w:bCs/>
          <w:spacing w:val="6"/>
          <w:sz w:val="32"/>
          <w:szCs w:val="32"/>
        </w:rPr>
      </w:pPr>
      <w:r>
        <w:rPr>
          <w:rFonts w:hint="eastAsia" w:eastAsia="仿宋_GB2312"/>
          <w:bCs/>
          <w:spacing w:val="6"/>
          <w:sz w:val="32"/>
          <w:szCs w:val="32"/>
        </w:rPr>
        <w:t>1.加快引进和培育壮大服务业龙头骨干企业规模。建立服务业亿元企业库，重点筛选一批服务业骨干企业，会同其他部门及总公司，支持骨干发挥创新资源、市场渠道、供应链等优势，带动区域和产业链上下游中小企业复工复产复商复市。</w:t>
      </w:r>
    </w:p>
    <w:p>
      <w:pPr>
        <w:pStyle w:val="2"/>
        <w:spacing w:line="336" w:lineRule="auto"/>
        <w:ind w:firstLine="684" w:firstLineChars="200"/>
        <w:rPr>
          <w:rFonts w:eastAsia="仿宋_GB2312"/>
          <w:bCs/>
          <w:spacing w:val="11"/>
          <w:sz w:val="32"/>
          <w:szCs w:val="32"/>
        </w:rPr>
      </w:pPr>
      <w:r>
        <w:rPr>
          <w:rFonts w:eastAsia="仿宋_GB2312"/>
          <w:bCs/>
          <w:spacing w:val="11"/>
          <w:sz w:val="32"/>
          <w:szCs w:val="32"/>
        </w:rPr>
        <w:t>2.</w:t>
      </w:r>
      <w:r>
        <w:rPr>
          <w:rFonts w:hint="eastAsia" w:ascii="仿宋_GB2312" w:hAnsi="仿宋_GB2312" w:eastAsia="仿宋_GB2312" w:cs="仿宋_GB2312"/>
          <w:bCs/>
          <w:spacing w:val="11"/>
          <w:sz w:val="32"/>
          <w:szCs w:val="32"/>
        </w:rPr>
        <w:t>大力支持新入库批零企业实现快速成长</w:t>
      </w:r>
      <w:r>
        <w:rPr>
          <w:rFonts w:hint="eastAsia" w:eastAsia="仿宋_GB2312"/>
          <w:bCs/>
          <w:spacing w:val="11"/>
          <w:sz w:val="32"/>
          <w:szCs w:val="32"/>
        </w:rPr>
        <w:t>。对于新入库的批零企业，2020~2022年任意一年度销售额</w:t>
      </w:r>
      <w:r>
        <w:rPr>
          <w:rFonts w:hint="eastAsia" w:eastAsia="仿宋_GB2312"/>
          <w:b w:val="0"/>
          <w:bCs/>
          <w:spacing w:val="11"/>
          <w:sz w:val="32"/>
          <w:szCs w:val="32"/>
          <w:u w:val="none"/>
        </w:rPr>
        <w:t>增量</w:t>
      </w:r>
      <w:r>
        <w:rPr>
          <w:rFonts w:hint="eastAsia" w:eastAsia="仿宋_GB2312"/>
          <w:bCs/>
          <w:spacing w:val="11"/>
          <w:sz w:val="32"/>
          <w:szCs w:val="32"/>
        </w:rPr>
        <w:t>超1亿元元，可在次年按照比起算年度</w:t>
      </w:r>
      <w:r>
        <w:rPr>
          <w:rFonts w:hint="eastAsia" w:eastAsia="仿宋_GB2312"/>
          <w:b w:val="0"/>
          <w:bCs/>
          <w:spacing w:val="11"/>
          <w:sz w:val="32"/>
          <w:szCs w:val="32"/>
          <w:u w:val="none"/>
        </w:rPr>
        <w:t>增量</w:t>
      </w:r>
      <w:r>
        <w:rPr>
          <w:rFonts w:hint="eastAsia" w:eastAsia="仿宋_GB2312"/>
          <w:bCs/>
          <w:spacing w:val="11"/>
          <w:sz w:val="32"/>
          <w:szCs w:val="32"/>
        </w:rPr>
        <w:t>的一定比例给予成长</w:t>
      </w:r>
      <w:r>
        <w:rPr>
          <w:rFonts w:eastAsia="仿宋_GB2312"/>
          <w:bCs/>
          <w:spacing w:val="11"/>
          <w:sz w:val="32"/>
          <w:szCs w:val="32"/>
        </w:rPr>
        <w:t>奖励，</w:t>
      </w:r>
      <w:r>
        <w:rPr>
          <w:rFonts w:hint="eastAsia" w:eastAsia="仿宋_GB2312"/>
          <w:bCs/>
          <w:spacing w:val="11"/>
          <w:sz w:val="32"/>
          <w:szCs w:val="32"/>
        </w:rPr>
        <w:t>具体为第一年、第二年、第三年</w:t>
      </w:r>
      <w:r>
        <w:rPr>
          <w:rFonts w:eastAsia="仿宋_GB2312"/>
          <w:bCs/>
          <w:spacing w:val="11"/>
          <w:sz w:val="32"/>
          <w:szCs w:val="32"/>
        </w:rPr>
        <w:t>分别按照不超过7‰，5‰，3‰核算</w:t>
      </w:r>
      <w:r>
        <w:rPr>
          <w:rFonts w:hint="eastAsia" w:eastAsia="仿宋_GB2312"/>
          <w:bCs/>
          <w:spacing w:val="11"/>
          <w:sz w:val="32"/>
          <w:szCs w:val="32"/>
        </w:rPr>
        <w:t>，</w:t>
      </w:r>
      <w:r>
        <w:rPr>
          <w:rFonts w:hint="eastAsia" w:eastAsia="仿宋_GB2312"/>
          <w:bCs/>
          <w:spacing w:val="6"/>
          <w:sz w:val="32"/>
          <w:szCs w:val="32"/>
        </w:rPr>
        <w:t>起算年可为2020~2022年的任一年</w:t>
      </w:r>
      <w:r>
        <w:rPr>
          <w:rFonts w:hint="eastAsia" w:eastAsia="仿宋_GB2312"/>
          <w:bCs/>
          <w:spacing w:val="11"/>
          <w:sz w:val="32"/>
          <w:szCs w:val="32"/>
        </w:rPr>
        <w:t>。其中，</w:t>
      </w:r>
      <w:r>
        <w:rPr>
          <w:rFonts w:hint="eastAsia" w:eastAsia="仿宋_GB2312"/>
          <w:bCs/>
          <w:spacing w:val="6"/>
          <w:sz w:val="32"/>
          <w:szCs w:val="32"/>
        </w:rPr>
        <w:t>年度</w:t>
      </w:r>
      <w:r>
        <w:rPr>
          <w:rFonts w:eastAsia="仿宋_GB2312"/>
          <w:bCs/>
          <w:spacing w:val="6"/>
          <w:sz w:val="32"/>
          <w:szCs w:val="32"/>
        </w:rPr>
        <w:t>销售额</w:t>
      </w:r>
      <w:r>
        <w:rPr>
          <w:rFonts w:hint="eastAsia" w:eastAsia="仿宋_GB2312"/>
          <w:bCs/>
          <w:spacing w:val="6"/>
          <w:sz w:val="32"/>
          <w:szCs w:val="32"/>
        </w:rPr>
        <w:t>增量</w:t>
      </w:r>
      <w:r>
        <w:rPr>
          <w:rFonts w:eastAsia="仿宋_GB2312"/>
          <w:bCs/>
          <w:spacing w:val="6"/>
          <w:sz w:val="32"/>
          <w:szCs w:val="32"/>
        </w:rPr>
        <w:t>超过</w:t>
      </w:r>
      <w:r>
        <w:rPr>
          <w:rFonts w:hint="eastAsia" w:eastAsia="仿宋_GB2312"/>
          <w:bCs/>
          <w:spacing w:val="6"/>
          <w:sz w:val="32"/>
          <w:szCs w:val="32"/>
        </w:rPr>
        <w:t>5亿</w:t>
      </w:r>
      <w:r>
        <w:rPr>
          <w:rFonts w:eastAsia="仿宋_GB2312"/>
          <w:bCs/>
          <w:spacing w:val="6"/>
          <w:sz w:val="32"/>
          <w:szCs w:val="32"/>
        </w:rPr>
        <w:t>元</w:t>
      </w:r>
      <w:r>
        <w:rPr>
          <w:rFonts w:hint="eastAsia" w:eastAsia="仿宋_GB2312"/>
          <w:bCs/>
          <w:spacing w:val="6"/>
          <w:sz w:val="32"/>
          <w:szCs w:val="32"/>
        </w:rPr>
        <w:t>的企业，</w:t>
      </w:r>
      <w:r>
        <w:rPr>
          <w:rFonts w:hint="eastAsia" w:eastAsia="仿宋_GB2312"/>
          <w:bCs/>
          <w:spacing w:val="11"/>
          <w:sz w:val="32"/>
          <w:szCs w:val="32"/>
        </w:rPr>
        <w:t>奖励资金按40%比例直接用于奖励企业高级管理人员。</w:t>
      </w:r>
    </w:p>
    <w:p>
      <w:pPr>
        <w:pStyle w:val="2"/>
        <w:numPr>
          <w:ilvl w:val="0"/>
          <w:numId w:val="1"/>
        </w:numPr>
        <w:spacing w:line="336" w:lineRule="auto"/>
        <w:ind w:firstLine="664" w:firstLineChars="200"/>
        <w:rPr>
          <w:rFonts w:eastAsia="仿宋_GB2312"/>
          <w:bCs/>
          <w:spacing w:val="6"/>
          <w:sz w:val="32"/>
          <w:szCs w:val="32"/>
        </w:rPr>
      </w:pPr>
      <w:r>
        <w:rPr>
          <w:rFonts w:hint="eastAsia" w:eastAsia="仿宋_GB2312"/>
          <w:bCs/>
          <w:spacing w:val="6"/>
          <w:sz w:val="32"/>
          <w:szCs w:val="32"/>
        </w:rPr>
        <w:t>促进在库批发业企业保持稳定增长。在库限额以上批发业企业，</w:t>
      </w:r>
      <w:r>
        <w:rPr>
          <w:rFonts w:hint="eastAsia" w:eastAsia="仿宋_GB2312"/>
          <w:bCs/>
          <w:spacing w:val="11"/>
          <w:sz w:val="32"/>
          <w:szCs w:val="32"/>
        </w:rPr>
        <w:t>2020~2022年任意一年度销售额增量超1亿元，可在次年按照比起算年度增量的一定比例给予稳增长</w:t>
      </w:r>
      <w:r>
        <w:rPr>
          <w:rFonts w:eastAsia="仿宋_GB2312"/>
          <w:bCs/>
          <w:spacing w:val="11"/>
          <w:sz w:val="32"/>
          <w:szCs w:val="32"/>
        </w:rPr>
        <w:t>奖励，</w:t>
      </w:r>
      <w:r>
        <w:rPr>
          <w:rFonts w:hint="eastAsia" w:eastAsia="仿宋_GB2312"/>
          <w:bCs/>
          <w:spacing w:val="11"/>
          <w:sz w:val="32"/>
          <w:szCs w:val="32"/>
        </w:rPr>
        <w:t>具体为第一年、第二年、第三年</w:t>
      </w:r>
      <w:r>
        <w:rPr>
          <w:rFonts w:eastAsia="仿宋_GB2312"/>
          <w:bCs/>
          <w:spacing w:val="11"/>
          <w:sz w:val="32"/>
          <w:szCs w:val="32"/>
        </w:rPr>
        <w:t>分别按照不超过</w:t>
      </w:r>
      <w:r>
        <w:rPr>
          <w:rFonts w:hint="eastAsia" w:eastAsia="仿宋_GB2312"/>
          <w:bCs/>
          <w:spacing w:val="11"/>
          <w:sz w:val="32"/>
          <w:szCs w:val="32"/>
        </w:rPr>
        <w:t>8</w:t>
      </w:r>
      <w:r>
        <w:rPr>
          <w:rFonts w:eastAsia="仿宋_GB2312"/>
          <w:bCs/>
          <w:spacing w:val="11"/>
          <w:sz w:val="32"/>
          <w:szCs w:val="32"/>
        </w:rPr>
        <w:t>‰，</w:t>
      </w:r>
      <w:r>
        <w:rPr>
          <w:rFonts w:hint="eastAsia" w:eastAsia="仿宋_GB2312"/>
          <w:bCs/>
          <w:spacing w:val="11"/>
          <w:sz w:val="32"/>
          <w:szCs w:val="32"/>
        </w:rPr>
        <w:t>6</w:t>
      </w:r>
      <w:r>
        <w:rPr>
          <w:rFonts w:eastAsia="仿宋_GB2312"/>
          <w:bCs/>
          <w:spacing w:val="11"/>
          <w:sz w:val="32"/>
          <w:szCs w:val="32"/>
        </w:rPr>
        <w:t>‰，</w:t>
      </w:r>
      <w:r>
        <w:rPr>
          <w:rFonts w:hint="eastAsia" w:eastAsia="仿宋_GB2312"/>
          <w:bCs/>
          <w:spacing w:val="11"/>
          <w:sz w:val="32"/>
          <w:szCs w:val="32"/>
        </w:rPr>
        <w:t>4</w:t>
      </w:r>
      <w:r>
        <w:rPr>
          <w:rFonts w:eastAsia="仿宋_GB2312"/>
          <w:bCs/>
          <w:spacing w:val="11"/>
          <w:sz w:val="32"/>
          <w:szCs w:val="32"/>
        </w:rPr>
        <w:t>‰核算</w:t>
      </w:r>
      <w:r>
        <w:rPr>
          <w:rFonts w:hint="eastAsia" w:eastAsia="仿宋_GB2312"/>
          <w:bCs/>
          <w:spacing w:val="11"/>
          <w:sz w:val="32"/>
          <w:szCs w:val="32"/>
        </w:rPr>
        <w:t>，</w:t>
      </w:r>
      <w:r>
        <w:rPr>
          <w:rFonts w:hint="eastAsia" w:eastAsia="仿宋_GB2312"/>
          <w:bCs/>
          <w:spacing w:val="6"/>
          <w:sz w:val="32"/>
          <w:szCs w:val="32"/>
        </w:rPr>
        <w:t>起算年可为2020~2022年的任一年</w:t>
      </w:r>
      <w:r>
        <w:rPr>
          <w:rFonts w:hint="eastAsia" w:eastAsia="仿宋_GB2312"/>
          <w:bCs/>
          <w:spacing w:val="11"/>
          <w:sz w:val="32"/>
          <w:szCs w:val="32"/>
        </w:rPr>
        <w:t>。</w:t>
      </w:r>
      <w:r>
        <w:rPr>
          <w:rFonts w:hint="eastAsia" w:eastAsia="仿宋_GB2312"/>
          <w:bCs/>
          <w:spacing w:val="6"/>
          <w:sz w:val="32"/>
          <w:szCs w:val="32"/>
        </w:rPr>
        <w:t>其中，年度</w:t>
      </w:r>
      <w:r>
        <w:rPr>
          <w:rFonts w:eastAsia="仿宋_GB2312"/>
          <w:bCs/>
          <w:spacing w:val="6"/>
          <w:sz w:val="32"/>
          <w:szCs w:val="32"/>
        </w:rPr>
        <w:t>销售额</w:t>
      </w:r>
      <w:r>
        <w:rPr>
          <w:rFonts w:hint="eastAsia" w:eastAsia="仿宋_GB2312"/>
          <w:bCs/>
          <w:spacing w:val="6"/>
          <w:sz w:val="32"/>
          <w:szCs w:val="32"/>
        </w:rPr>
        <w:t>增量</w:t>
      </w:r>
      <w:r>
        <w:rPr>
          <w:rFonts w:eastAsia="仿宋_GB2312"/>
          <w:bCs/>
          <w:spacing w:val="6"/>
          <w:sz w:val="32"/>
          <w:szCs w:val="32"/>
        </w:rPr>
        <w:t>超过</w:t>
      </w:r>
      <w:r>
        <w:rPr>
          <w:rFonts w:hint="eastAsia" w:eastAsia="仿宋_GB2312"/>
          <w:bCs/>
          <w:spacing w:val="6"/>
          <w:sz w:val="32"/>
          <w:szCs w:val="32"/>
        </w:rPr>
        <w:t>10亿</w:t>
      </w:r>
      <w:r>
        <w:rPr>
          <w:rFonts w:eastAsia="仿宋_GB2312"/>
          <w:bCs/>
          <w:spacing w:val="6"/>
          <w:sz w:val="32"/>
          <w:szCs w:val="32"/>
        </w:rPr>
        <w:t>元</w:t>
      </w:r>
      <w:r>
        <w:rPr>
          <w:rFonts w:hint="eastAsia" w:eastAsia="仿宋_GB2312"/>
          <w:bCs/>
          <w:spacing w:val="6"/>
          <w:sz w:val="32"/>
          <w:szCs w:val="32"/>
        </w:rPr>
        <w:t>的企业，奖励资金按40%的比例直接用于奖励企业高级管理人员。</w:t>
      </w:r>
    </w:p>
    <w:p>
      <w:pPr>
        <w:pStyle w:val="2"/>
        <w:numPr>
          <w:ilvl w:val="0"/>
          <w:numId w:val="1"/>
        </w:numPr>
        <w:spacing w:line="336" w:lineRule="auto"/>
        <w:ind w:firstLine="664" w:firstLineChars="200"/>
        <w:rPr>
          <w:rFonts w:eastAsia="仿宋_GB2312"/>
          <w:bCs/>
          <w:spacing w:val="6"/>
          <w:sz w:val="32"/>
          <w:szCs w:val="32"/>
        </w:rPr>
      </w:pPr>
      <w:r>
        <w:rPr>
          <w:rFonts w:hint="eastAsia" w:eastAsia="仿宋_GB2312"/>
          <w:bCs/>
          <w:spacing w:val="6"/>
          <w:sz w:val="32"/>
          <w:szCs w:val="32"/>
        </w:rPr>
        <w:t>促进在库零售业企业保持稳定增长。在库限额以上零售业企业，2020~2022年任意一年度销售额</w:t>
      </w:r>
      <w:r>
        <w:rPr>
          <w:rFonts w:hint="eastAsia" w:eastAsia="仿宋_GB2312"/>
          <w:bCs/>
          <w:spacing w:val="11"/>
          <w:sz w:val="32"/>
          <w:szCs w:val="32"/>
        </w:rPr>
        <w:t>增量超</w:t>
      </w:r>
      <w:r>
        <w:rPr>
          <w:rFonts w:hint="eastAsia" w:eastAsia="仿宋_GB2312"/>
          <w:bCs/>
          <w:spacing w:val="11"/>
          <w:sz w:val="32"/>
          <w:szCs w:val="32"/>
          <w:lang w:val="en-US" w:eastAsia="zh-CN"/>
        </w:rPr>
        <w:t>5000万</w:t>
      </w:r>
      <w:r>
        <w:rPr>
          <w:rFonts w:hint="eastAsia" w:eastAsia="仿宋_GB2312"/>
          <w:bCs/>
          <w:spacing w:val="11"/>
          <w:sz w:val="32"/>
          <w:szCs w:val="32"/>
        </w:rPr>
        <w:t>元</w:t>
      </w:r>
      <w:r>
        <w:rPr>
          <w:rFonts w:hint="eastAsia" w:eastAsia="仿宋_GB2312"/>
          <w:bCs/>
          <w:spacing w:val="6"/>
          <w:sz w:val="32"/>
          <w:szCs w:val="32"/>
        </w:rPr>
        <w:t>，</w:t>
      </w:r>
      <w:r>
        <w:rPr>
          <w:rFonts w:hint="eastAsia" w:eastAsia="仿宋_GB2312"/>
          <w:bCs/>
          <w:spacing w:val="11"/>
          <w:sz w:val="32"/>
          <w:szCs w:val="32"/>
        </w:rPr>
        <w:t>可在次年按照比起算年度增量的一定比例给予稳增长</w:t>
      </w:r>
      <w:r>
        <w:rPr>
          <w:rFonts w:eastAsia="仿宋_GB2312"/>
          <w:bCs/>
          <w:spacing w:val="11"/>
          <w:sz w:val="32"/>
          <w:szCs w:val="32"/>
        </w:rPr>
        <w:t>奖励，</w:t>
      </w:r>
      <w:r>
        <w:rPr>
          <w:rFonts w:hint="eastAsia" w:eastAsia="仿宋_GB2312"/>
          <w:bCs/>
          <w:spacing w:val="11"/>
          <w:sz w:val="32"/>
          <w:szCs w:val="32"/>
        </w:rPr>
        <w:t>具体为第一年、第二年、第三年</w:t>
      </w:r>
      <w:r>
        <w:rPr>
          <w:rFonts w:eastAsia="仿宋_GB2312"/>
          <w:bCs/>
          <w:spacing w:val="11"/>
          <w:sz w:val="32"/>
          <w:szCs w:val="32"/>
        </w:rPr>
        <w:t>分别按照不超过</w:t>
      </w:r>
      <w:r>
        <w:rPr>
          <w:rFonts w:hint="eastAsia" w:eastAsia="仿宋_GB2312"/>
          <w:bCs/>
          <w:spacing w:val="11"/>
          <w:sz w:val="32"/>
          <w:szCs w:val="32"/>
        </w:rPr>
        <w:t>8</w:t>
      </w:r>
      <w:r>
        <w:rPr>
          <w:rFonts w:eastAsia="仿宋_GB2312"/>
          <w:bCs/>
          <w:spacing w:val="11"/>
          <w:sz w:val="32"/>
          <w:szCs w:val="32"/>
        </w:rPr>
        <w:t>‰，</w:t>
      </w:r>
      <w:r>
        <w:rPr>
          <w:rFonts w:hint="eastAsia" w:eastAsia="仿宋_GB2312"/>
          <w:bCs/>
          <w:spacing w:val="11"/>
          <w:sz w:val="32"/>
          <w:szCs w:val="32"/>
        </w:rPr>
        <w:t>6</w:t>
      </w:r>
      <w:r>
        <w:rPr>
          <w:rFonts w:eastAsia="仿宋_GB2312"/>
          <w:bCs/>
          <w:spacing w:val="11"/>
          <w:sz w:val="32"/>
          <w:szCs w:val="32"/>
        </w:rPr>
        <w:t>‰，</w:t>
      </w:r>
      <w:r>
        <w:rPr>
          <w:rFonts w:hint="eastAsia" w:eastAsia="仿宋_GB2312"/>
          <w:bCs/>
          <w:spacing w:val="11"/>
          <w:sz w:val="32"/>
          <w:szCs w:val="32"/>
        </w:rPr>
        <w:t>4</w:t>
      </w:r>
      <w:r>
        <w:rPr>
          <w:rFonts w:eastAsia="仿宋_GB2312"/>
          <w:bCs/>
          <w:spacing w:val="11"/>
          <w:sz w:val="32"/>
          <w:szCs w:val="32"/>
        </w:rPr>
        <w:t>‰核算</w:t>
      </w:r>
      <w:r>
        <w:rPr>
          <w:rFonts w:hint="eastAsia" w:eastAsia="仿宋_GB2312"/>
          <w:bCs/>
          <w:spacing w:val="11"/>
          <w:sz w:val="32"/>
          <w:szCs w:val="32"/>
        </w:rPr>
        <w:t>，</w:t>
      </w:r>
      <w:r>
        <w:rPr>
          <w:rFonts w:hint="eastAsia" w:eastAsia="仿宋_GB2312"/>
          <w:bCs/>
          <w:spacing w:val="6"/>
          <w:sz w:val="32"/>
          <w:szCs w:val="32"/>
        </w:rPr>
        <w:t>起算年可为2020~2022年的任一年</w:t>
      </w:r>
      <w:r>
        <w:rPr>
          <w:rFonts w:hint="eastAsia" w:eastAsia="仿宋_GB2312"/>
          <w:bCs/>
          <w:spacing w:val="11"/>
          <w:sz w:val="32"/>
          <w:szCs w:val="32"/>
        </w:rPr>
        <w:t>。</w:t>
      </w:r>
      <w:r>
        <w:rPr>
          <w:rFonts w:hint="eastAsia" w:eastAsia="仿宋_GB2312"/>
          <w:bCs/>
          <w:spacing w:val="6"/>
          <w:sz w:val="32"/>
          <w:szCs w:val="32"/>
        </w:rPr>
        <w:t>其中，年度</w:t>
      </w:r>
      <w:r>
        <w:rPr>
          <w:rFonts w:eastAsia="仿宋_GB2312"/>
          <w:bCs/>
          <w:spacing w:val="6"/>
          <w:sz w:val="32"/>
          <w:szCs w:val="32"/>
        </w:rPr>
        <w:t>销售额</w:t>
      </w:r>
      <w:r>
        <w:rPr>
          <w:rFonts w:hint="eastAsia" w:eastAsia="仿宋_GB2312"/>
          <w:bCs/>
          <w:spacing w:val="6"/>
          <w:sz w:val="32"/>
          <w:szCs w:val="32"/>
        </w:rPr>
        <w:t>增量</w:t>
      </w:r>
      <w:r>
        <w:rPr>
          <w:rFonts w:eastAsia="仿宋_GB2312"/>
          <w:bCs/>
          <w:spacing w:val="6"/>
          <w:sz w:val="32"/>
          <w:szCs w:val="32"/>
        </w:rPr>
        <w:t>超过</w:t>
      </w:r>
      <w:r>
        <w:rPr>
          <w:rFonts w:hint="eastAsia" w:eastAsia="仿宋_GB2312"/>
          <w:bCs/>
          <w:spacing w:val="6"/>
          <w:sz w:val="32"/>
          <w:szCs w:val="32"/>
        </w:rPr>
        <w:t>5亿</w:t>
      </w:r>
      <w:r>
        <w:rPr>
          <w:rFonts w:eastAsia="仿宋_GB2312"/>
          <w:bCs/>
          <w:spacing w:val="6"/>
          <w:sz w:val="32"/>
          <w:szCs w:val="32"/>
        </w:rPr>
        <w:t>元</w:t>
      </w:r>
      <w:r>
        <w:rPr>
          <w:rFonts w:hint="eastAsia" w:eastAsia="仿宋_GB2312"/>
          <w:bCs/>
          <w:spacing w:val="6"/>
          <w:sz w:val="32"/>
          <w:szCs w:val="32"/>
        </w:rPr>
        <w:t>的企业，奖励资金按40%的比例直接用于奖励企业高级管理人员。</w:t>
      </w:r>
    </w:p>
    <w:p>
      <w:pPr>
        <w:pStyle w:val="2"/>
        <w:spacing w:line="336" w:lineRule="auto"/>
        <w:ind w:firstLine="664" w:firstLineChars="200"/>
        <w:rPr>
          <w:rFonts w:eastAsia="仿宋_GB2312"/>
          <w:bCs/>
          <w:spacing w:val="6"/>
          <w:sz w:val="32"/>
          <w:szCs w:val="32"/>
        </w:rPr>
      </w:pPr>
      <w:r>
        <w:rPr>
          <w:rFonts w:hint="eastAsia" w:eastAsia="仿宋_GB2312"/>
          <w:bCs/>
          <w:spacing w:val="6"/>
          <w:sz w:val="32"/>
          <w:szCs w:val="32"/>
        </w:rPr>
        <w:t>5.促进建筑业企业保持稳定增长。我区的注册地总专包建筑业企业，</w:t>
      </w:r>
      <w:r>
        <w:rPr>
          <w:rFonts w:hint="eastAsia" w:eastAsia="仿宋_GB2312"/>
          <w:bCs/>
          <w:spacing w:val="11"/>
          <w:sz w:val="32"/>
          <w:szCs w:val="32"/>
        </w:rPr>
        <w:t>2020~2022年任意一年度</w:t>
      </w:r>
      <w:r>
        <w:rPr>
          <w:rFonts w:hint="eastAsia" w:eastAsia="仿宋_GB2312"/>
          <w:bCs/>
          <w:color w:val="auto"/>
          <w:spacing w:val="11"/>
          <w:sz w:val="32"/>
          <w:szCs w:val="32"/>
          <w:lang w:val="en-US" w:eastAsia="zh-CN"/>
        </w:rPr>
        <w:t>营业收入</w:t>
      </w:r>
      <w:r>
        <w:rPr>
          <w:rFonts w:hint="eastAsia" w:eastAsia="仿宋_GB2312"/>
          <w:bCs/>
          <w:spacing w:val="11"/>
          <w:sz w:val="32"/>
          <w:szCs w:val="32"/>
        </w:rPr>
        <w:t>增量超</w:t>
      </w:r>
      <w:r>
        <w:rPr>
          <w:rFonts w:hint="eastAsia" w:eastAsia="仿宋_GB2312"/>
          <w:bCs/>
          <w:spacing w:val="11"/>
          <w:sz w:val="32"/>
          <w:szCs w:val="32"/>
          <w:lang w:val="en-US" w:eastAsia="zh-CN"/>
        </w:rPr>
        <w:t>5000万</w:t>
      </w:r>
      <w:r>
        <w:rPr>
          <w:rFonts w:hint="eastAsia" w:eastAsia="仿宋_GB2312"/>
          <w:bCs/>
          <w:spacing w:val="11"/>
          <w:sz w:val="32"/>
          <w:szCs w:val="32"/>
        </w:rPr>
        <w:t>元</w:t>
      </w:r>
      <w:r>
        <w:rPr>
          <w:rFonts w:hint="eastAsia" w:eastAsia="仿宋_GB2312"/>
          <w:bCs/>
          <w:spacing w:val="6"/>
          <w:sz w:val="32"/>
          <w:szCs w:val="32"/>
        </w:rPr>
        <w:t>，按照当年比起算年度营业收入增量的一定比例给予稳增长</w:t>
      </w:r>
      <w:r>
        <w:rPr>
          <w:rFonts w:eastAsia="仿宋_GB2312"/>
          <w:bCs/>
          <w:spacing w:val="6"/>
          <w:sz w:val="32"/>
          <w:szCs w:val="32"/>
        </w:rPr>
        <w:t>奖励，</w:t>
      </w:r>
      <w:r>
        <w:rPr>
          <w:rFonts w:hint="eastAsia" w:eastAsia="仿宋_GB2312"/>
          <w:bCs/>
          <w:spacing w:val="6"/>
          <w:sz w:val="32"/>
          <w:szCs w:val="32"/>
        </w:rPr>
        <w:t>具体为第一年、第二年、第三年</w:t>
      </w:r>
      <w:r>
        <w:rPr>
          <w:rFonts w:eastAsia="仿宋_GB2312"/>
          <w:bCs/>
          <w:spacing w:val="6"/>
          <w:sz w:val="32"/>
          <w:szCs w:val="32"/>
        </w:rPr>
        <w:t>分别按照不超过</w:t>
      </w:r>
      <w:r>
        <w:rPr>
          <w:rFonts w:hint="eastAsia" w:eastAsia="仿宋_GB2312"/>
          <w:bCs/>
          <w:spacing w:val="6"/>
          <w:sz w:val="32"/>
          <w:szCs w:val="32"/>
        </w:rPr>
        <w:t>8</w:t>
      </w:r>
      <w:r>
        <w:rPr>
          <w:rFonts w:eastAsia="仿宋_GB2312"/>
          <w:bCs/>
          <w:spacing w:val="6"/>
          <w:sz w:val="32"/>
          <w:szCs w:val="32"/>
        </w:rPr>
        <w:t>‰，</w:t>
      </w:r>
      <w:r>
        <w:rPr>
          <w:rFonts w:hint="eastAsia" w:eastAsia="仿宋_GB2312"/>
          <w:bCs/>
          <w:spacing w:val="6"/>
          <w:sz w:val="32"/>
          <w:szCs w:val="32"/>
        </w:rPr>
        <w:t>6</w:t>
      </w:r>
      <w:r>
        <w:rPr>
          <w:rFonts w:eastAsia="仿宋_GB2312"/>
          <w:bCs/>
          <w:spacing w:val="6"/>
          <w:sz w:val="32"/>
          <w:szCs w:val="32"/>
        </w:rPr>
        <w:t>‰，</w:t>
      </w:r>
      <w:r>
        <w:rPr>
          <w:rFonts w:hint="eastAsia" w:eastAsia="仿宋_GB2312"/>
          <w:bCs/>
          <w:spacing w:val="6"/>
          <w:sz w:val="32"/>
          <w:szCs w:val="32"/>
        </w:rPr>
        <w:t>4</w:t>
      </w:r>
      <w:r>
        <w:rPr>
          <w:rFonts w:eastAsia="仿宋_GB2312"/>
          <w:bCs/>
          <w:spacing w:val="6"/>
          <w:sz w:val="32"/>
          <w:szCs w:val="32"/>
        </w:rPr>
        <w:t>‰核算</w:t>
      </w:r>
      <w:r>
        <w:rPr>
          <w:rFonts w:hint="eastAsia" w:eastAsia="仿宋_GB2312"/>
          <w:bCs/>
          <w:spacing w:val="6"/>
          <w:sz w:val="32"/>
          <w:szCs w:val="32"/>
        </w:rPr>
        <w:t>，起算年可为2020~2022年的任一年。其中，年度营业收入增量</w:t>
      </w:r>
      <w:r>
        <w:rPr>
          <w:rFonts w:eastAsia="仿宋_GB2312"/>
          <w:bCs/>
          <w:spacing w:val="6"/>
          <w:sz w:val="32"/>
          <w:szCs w:val="32"/>
        </w:rPr>
        <w:t>超过</w:t>
      </w:r>
      <w:r>
        <w:rPr>
          <w:rFonts w:hint="eastAsia" w:eastAsia="仿宋_GB2312"/>
          <w:bCs/>
          <w:spacing w:val="6"/>
          <w:sz w:val="32"/>
          <w:szCs w:val="32"/>
        </w:rPr>
        <w:t>5亿</w:t>
      </w:r>
      <w:r>
        <w:rPr>
          <w:rFonts w:eastAsia="仿宋_GB2312"/>
          <w:bCs/>
          <w:spacing w:val="6"/>
          <w:sz w:val="32"/>
          <w:szCs w:val="32"/>
        </w:rPr>
        <w:t>元</w:t>
      </w:r>
      <w:r>
        <w:rPr>
          <w:rFonts w:hint="eastAsia" w:eastAsia="仿宋_GB2312"/>
          <w:bCs/>
          <w:spacing w:val="6"/>
          <w:sz w:val="32"/>
          <w:szCs w:val="32"/>
        </w:rPr>
        <w:t>的企业，奖励资金按40%的比例直接用于奖励企业高级管理人员。</w:t>
      </w:r>
    </w:p>
    <w:p>
      <w:pPr>
        <w:pStyle w:val="2"/>
        <w:spacing w:line="336" w:lineRule="auto"/>
        <w:ind w:firstLine="664" w:firstLineChars="200"/>
        <w:rPr>
          <w:rFonts w:eastAsia="仿宋_GB2312"/>
          <w:bCs/>
          <w:spacing w:val="6"/>
          <w:sz w:val="32"/>
          <w:szCs w:val="32"/>
        </w:rPr>
      </w:pPr>
      <w:r>
        <w:rPr>
          <w:rFonts w:hint="eastAsia" w:eastAsia="仿宋_GB2312"/>
          <w:bCs/>
          <w:spacing w:val="6"/>
          <w:sz w:val="32"/>
          <w:szCs w:val="32"/>
        </w:rPr>
        <w:t>上述奖励与区服务业办法的成长奖励不重复适用，按就高原则执行。企业的同一项目已获得市奖励，或市奖励由开发区支出，则从区奖励金额中扣除，且所获奖励不大于企业实际综合经济贡献。属于我区鼓励引进的服务业创新业态，经区管委会同意后，参照本办法第5条执行。</w:t>
      </w:r>
    </w:p>
    <w:p>
      <w:pPr>
        <w:pStyle w:val="2"/>
        <w:spacing w:line="336" w:lineRule="auto"/>
        <w:ind w:firstLine="664" w:firstLineChars="200"/>
        <w:rPr>
          <w:rFonts w:eastAsia="仿宋_GB2312"/>
          <w:bCs/>
          <w:spacing w:val="6"/>
          <w:sz w:val="32"/>
          <w:szCs w:val="32"/>
        </w:rPr>
      </w:pPr>
      <w:r>
        <w:rPr>
          <w:rFonts w:hint="eastAsia" w:eastAsia="仿宋_GB2312"/>
          <w:bCs/>
          <w:spacing w:val="6"/>
          <w:sz w:val="32"/>
          <w:szCs w:val="32"/>
        </w:rPr>
        <w:t>6.高级经营人才专项激励。支持服务业企业高级管理人员优惠购房，支持2020~2022年任意一年度营业收入比上一年度增量超过5亿元（含5亿元）的企业，优惠购置2套以内我区公有企业开发建设的住宅房产；支持2020~2022年任意一年度营业收入比上一年度增量超过10亿元（含10亿元）的企业，优惠购置3套以内我区公有企业开发建设的住宅房产。优惠价格不低于开发商成本价。具体操作另行制定，报区管委会同意后执行。</w:t>
      </w:r>
    </w:p>
    <w:p>
      <w:pPr>
        <w:pStyle w:val="2"/>
        <w:spacing w:line="336" w:lineRule="auto"/>
        <w:ind w:firstLine="664" w:firstLineChars="200"/>
        <w:rPr>
          <w:rFonts w:eastAsia="仿宋_GB2312"/>
          <w:bCs/>
          <w:spacing w:val="6"/>
          <w:sz w:val="32"/>
          <w:szCs w:val="32"/>
        </w:rPr>
      </w:pPr>
      <w:r>
        <w:rPr>
          <w:rFonts w:hint="eastAsia" w:eastAsia="仿宋_GB2312"/>
          <w:bCs/>
          <w:spacing w:val="6"/>
          <w:sz w:val="32"/>
          <w:szCs w:val="32"/>
        </w:rPr>
        <w:t>7.开展消费市场刺激专项行动。联合第三方机构，针对我区特色服务业，实施行业促进专项行动，加快恢复消费市场信心，营造消费市场环境，</w:t>
      </w:r>
      <w:r>
        <w:rPr>
          <w:rFonts w:eastAsia="仿宋_GB2312"/>
          <w:bCs/>
          <w:spacing w:val="6"/>
          <w:sz w:val="32"/>
          <w:szCs w:val="32"/>
        </w:rPr>
        <w:t>培育壮大新型消费、升级消费，增强消费对经济增长</w:t>
      </w:r>
      <w:r>
        <w:rPr>
          <w:rFonts w:hint="eastAsia" w:eastAsia="仿宋_GB2312"/>
          <w:bCs/>
          <w:spacing w:val="6"/>
          <w:sz w:val="32"/>
          <w:szCs w:val="32"/>
        </w:rPr>
        <w:t>的</w:t>
      </w:r>
      <w:r>
        <w:rPr>
          <w:rFonts w:eastAsia="仿宋_GB2312"/>
          <w:bCs/>
          <w:spacing w:val="6"/>
          <w:sz w:val="32"/>
          <w:szCs w:val="32"/>
        </w:rPr>
        <w:t>作用。</w:t>
      </w:r>
    </w:p>
    <w:p>
      <w:pPr>
        <w:spacing w:line="336" w:lineRule="auto"/>
        <w:ind w:firstLine="664"/>
        <w:jc w:val="both"/>
        <w:rPr>
          <w:rFonts w:ascii="仿宋_GB2312" w:eastAsia="仿宋_GB2312"/>
          <w:spacing w:val="6"/>
          <w:sz w:val="32"/>
          <w:szCs w:val="32"/>
          <w:lang w:eastAsia="zh-CN"/>
        </w:rPr>
      </w:pPr>
      <w:r>
        <w:rPr>
          <w:rFonts w:hint="eastAsia" w:eastAsia="仿宋_GB2312"/>
          <w:bCs/>
          <w:spacing w:val="6"/>
          <w:sz w:val="32"/>
          <w:szCs w:val="32"/>
          <w:lang w:eastAsia="zh-CN"/>
        </w:rPr>
        <w:t>8.</w:t>
      </w:r>
      <w:r>
        <w:rPr>
          <w:rFonts w:hint="eastAsia" w:ascii="仿宋_GB2312" w:eastAsia="仿宋_GB2312"/>
          <w:spacing w:val="6"/>
          <w:sz w:val="32"/>
          <w:szCs w:val="32"/>
          <w:lang w:eastAsia="zh-CN"/>
        </w:rPr>
        <w:t>实施规上企业</w:t>
      </w:r>
      <w:r>
        <w:rPr>
          <w:rFonts w:hint="eastAsia" w:ascii="仿宋_GB2312" w:hAnsi="仿宋_GB2312" w:eastAsia="仿宋_GB2312" w:cs="仿宋_GB2312"/>
          <w:spacing w:val="6"/>
          <w:sz w:val="32"/>
          <w:szCs w:val="32"/>
          <w:lang w:eastAsia="zh-CN"/>
        </w:rPr>
        <w:t>“扶优扶强”</w:t>
      </w:r>
      <w:r>
        <w:rPr>
          <w:rFonts w:hint="eastAsia" w:eastAsia="仿宋_GB2312"/>
          <w:spacing w:val="6"/>
          <w:sz w:val="32"/>
          <w:szCs w:val="32"/>
          <w:lang w:eastAsia="zh-CN"/>
        </w:rPr>
        <w:t>专项。</w:t>
      </w:r>
      <w:r>
        <w:rPr>
          <w:rFonts w:hint="eastAsia" w:ascii="仿宋_GB2312" w:eastAsia="仿宋_GB2312"/>
          <w:spacing w:val="6"/>
          <w:sz w:val="32"/>
          <w:szCs w:val="32"/>
          <w:lang w:eastAsia="zh-CN"/>
        </w:rPr>
        <w:t>支持规上企业抢占行业机遇，增加市场份额，对亿元及以上规上工业企业三年期及以上中长期贷款（区内银行贷款）给予贴息扶持，每年每家企业只可选择一笔贷款申请贴息。</w:t>
      </w:r>
      <w:r>
        <w:rPr>
          <w:rFonts w:eastAsia="仿宋_GB2312"/>
          <w:spacing w:val="6"/>
          <w:sz w:val="31"/>
          <w:szCs w:val="31"/>
          <w:lang w:eastAsia="zh-CN"/>
        </w:rPr>
        <w:t>逐年考核，对</w:t>
      </w:r>
      <w:r>
        <w:rPr>
          <w:rFonts w:hint="eastAsia" w:eastAsia="仿宋_GB2312"/>
          <w:spacing w:val="6"/>
          <w:sz w:val="31"/>
          <w:szCs w:val="31"/>
          <w:lang w:eastAsia="zh-CN"/>
        </w:rPr>
        <w:t>符合条件</w:t>
      </w:r>
      <w:r>
        <w:rPr>
          <w:rFonts w:eastAsia="仿宋_GB2312"/>
          <w:spacing w:val="6"/>
          <w:sz w:val="31"/>
          <w:szCs w:val="31"/>
          <w:lang w:eastAsia="zh-CN"/>
        </w:rPr>
        <w:t>企业最高按照其中长期贷款实际支付利息的50%给予奖励，贴息最长不超过</w:t>
      </w:r>
      <w:r>
        <w:rPr>
          <w:rFonts w:hint="eastAsia" w:eastAsia="仿宋_GB2312"/>
          <w:spacing w:val="6"/>
          <w:sz w:val="31"/>
          <w:szCs w:val="31"/>
          <w:lang w:eastAsia="zh-CN"/>
        </w:rPr>
        <w:t>3</w:t>
      </w:r>
      <w:r>
        <w:rPr>
          <w:rFonts w:eastAsia="仿宋_GB2312"/>
          <w:spacing w:val="6"/>
          <w:sz w:val="31"/>
          <w:szCs w:val="31"/>
          <w:lang w:eastAsia="zh-CN"/>
        </w:rPr>
        <w:t>年</w:t>
      </w:r>
      <w:r>
        <w:rPr>
          <w:rFonts w:hint="eastAsia" w:eastAsia="仿宋_GB2312"/>
          <w:spacing w:val="6"/>
          <w:sz w:val="31"/>
          <w:szCs w:val="31"/>
          <w:lang w:eastAsia="zh-CN"/>
        </w:rPr>
        <w:t>（具体见附件）</w:t>
      </w:r>
      <w:r>
        <w:rPr>
          <w:rFonts w:hint="eastAsia" w:ascii="仿宋_GB2312" w:eastAsia="仿宋_GB2312"/>
          <w:spacing w:val="6"/>
          <w:sz w:val="32"/>
          <w:szCs w:val="32"/>
          <w:lang w:eastAsia="zh-CN"/>
        </w:rPr>
        <w:t>。</w:t>
      </w:r>
      <w:r>
        <w:rPr>
          <w:rFonts w:hint="eastAsia" w:eastAsia="仿宋_GB2312"/>
          <w:spacing w:val="6"/>
          <w:sz w:val="32"/>
          <w:szCs w:val="32"/>
          <w:lang w:eastAsia="zh-CN"/>
        </w:rPr>
        <w:t>同一贷款项目贴息与我区科技贷贴息、助保贷贴息、抗疫贷贴息、重大高端装备制造业项目贷款贴息和优质光电产业项目贷款贴息不重复扶持。每年列支不超过5000万元用于企业贴息。</w:t>
      </w:r>
    </w:p>
    <w:p>
      <w:pPr>
        <w:pStyle w:val="2"/>
        <w:spacing w:line="336" w:lineRule="auto"/>
        <w:ind w:firstLine="664" w:firstLineChars="200"/>
        <w:rPr>
          <w:rFonts w:eastAsia="仿宋_GB2312"/>
          <w:bCs/>
          <w:spacing w:val="6"/>
          <w:sz w:val="32"/>
          <w:szCs w:val="32"/>
        </w:rPr>
      </w:pPr>
      <w:r>
        <w:rPr>
          <w:rFonts w:hint="eastAsia" w:eastAsia="仿宋_GB2312"/>
          <w:bCs/>
          <w:spacing w:val="6"/>
          <w:sz w:val="32"/>
          <w:szCs w:val="32"/>
        </w:rPr>
        <w:t>9.支持外贸企业开展线上销售。对2020年开展线上平台销售的规上外贸工业企业，按线上平台收取的实际基础会员年费给予补助，每家最高不超过6000元。</w:t>
      </w:r>
    </w:p>
    <w:p>
      <w:pPr>
        <w:pStyle w:val="2"/>
        <w:spacing w:line="336" w:lineRule="auto"/>
        <w:ind w:firstLine="664" w:firstLineChars="200"/>
        <w:rPr>
          <w:rFonts w:eastAsia="仿宋_GB2312"/>
          <w:bCs/>
          <w:spacing w:val="6"/>
          <w:sz w:val="32"/>
          <w:szCs w:val="32"/>
        </w:rPr>
      </w:pPr>
      <w:r>
        <w:rPr>
          <w:rFonts w:hint="eastAsia" w:eastAsia="仿宋_GB2312"/>
          <w:bCs/>
          <w:spacing w:val="6"/>
          <w:sz w:val="32"/>
          <w:szCs w:val="32"/>
        </w:rPr>
        <w:t>10.稳定外贸基本盘。对获得2020年度《中山市促进外贸稳定增长实施办法》中“加大对稳外贸突出贡献企业的激励”事项扶持的，且新增单笔订单超5亿元（含5亿元）以上的我区外贸工业企业，按不高于1:1的比例进行配套扶持。</w:t>
      </w:r>
    </w:p>
    <w:p>
      <w:pPr>
        <w:pStyle w:val="2"/>
        <w:spacing w:line="336" w:lineRule="auto"/>
        <w:ind w:firstLine="664" w:firstLineChars="200"/>
        <w:rPr>
          <w:rFonts w:hint="eastAsia" w:eastAsia="仿宋_GB2312"/>
          <w:bCs/>
          <w:spacing w:val="6"/>
          <w:sz w:val="32"/>
          <w:szCs w:val="32"/>
        </w:rPr>
      </w:pPr>
      <w:r>
        <w:rPr>
          <w:rFonts w:hint="eastAsia" w:eastAsia="仿宋_GB2312"/>
          <w:bCs/>
          <w:spacing w:val="6"/>
          <w:sz w:val="32"/>
          <w:szCs w:val="32"/>
        </w:rPr>
        <w:t>11.鼓励工业项目动工。为鼓励工业项目动工建设（含租赁类项目），对2020年7月1日以后动工，且2023年6月30日前竣工的工业固定资产投资额超亿元项目</w:t>
      </w:r>
      <w:r>
        <w:rPr>
          <w:rFonts w:hint="eastAsia" w:eastAsia="仿宋_GB2312"/>
          <w:bCs/>
          <w:color w:val="auto"/>
          <w:spacing w:val="6"/>
          <w:sz w:val="32"/>
          <w:szCs w:val="32"/>
        </w:rPr>
        <w:t>，给予奖励，</w:t>
      </w:r>
      <w:r>
        <w:rPr>
          <w:rFonts w:hint="eastAsia" w:eastAsia="仿宋_GB2312"/>
          <w:bCs/>
          <w:spacing w:val="6"/>
          <w:sz w:val="32"/>
          <w:szCs w:val="32"/>
        </w:rPr>
        <w:t>奖励标准为工业固定资产投资额的3%，单个项目最高不超过500万元，省重点项目经管委会同意后，最高不超过1000万元。</w:t>
      </w:r>
    </w:p>
    <w:p>
      <w:pPr>
        <w:pStyle w:val="2"/>
        <w:spacing w:line="336" w:lineRule="auto"/>
        <w:ind w:firstLine="664" w:firstLineChars="200"/>
        <w:rPr>
          <w:rFonts w:eastAsia="仿宋_GB2312"/>
          <w:bCs/>
          <w:color w:val="FF0000"/>
          <w:spacing w:val="6"/>
          <w:sz w:val="32"/>
          <w:szCs w:val="32"/>
        </w:rPr>
      </w:pPr>
      <w:r>
        <w:rPr>
          <w:rFonts w:hint="eastAsia" w:eastAsia="仿宋_GB2312"/>
          <w:bCs/>
          <w:spacing w:val="6"/>
          <w:sz w:val="32"/>
          <w:szCs w:val="32"/>
        </w:rPr>
        <w:t>所有项目的动工时间以施工许可证为准，建筑面积5万平方米以下的要求15个月内完成竣工验收；建筑面积5万平方米（含5万平方米）至10万平方米的要求18个月内完成竣工验收；建筑面积10万平方米以上（含10万平方米）的要求24个月内完成竣工验收。按照就高原则，与获市区其它固定资产投资（含三旧改造）及技术改造</w:t>
      </w:r>
      <w:r>
        <w:rPr>
          <w:rFonts w:hint="eastAsia" w:eastAsia="仿宋_GB2312"/>
          <w:bCs/>
          <w:color w:val="auto"/>
          <w:spacing w:val="6"/>
          <w:sz w:val="32"/>
          <w:szCs w:val="32"/>
        </w:rPr>
        <w:t>的资助</w:t>
      </w:r>
      <w:r>
        <w:rPr>
          <w:rFonts w:hint="eastAsia" w:eastAsia="仿宋_GB2312"/>
          <w:bCs/>
          <w:spacing w:val="6"/>
          <w:sz w:val="32"/>
          <w:szCs w:val="32"/>
        </w:rPr>
        <w:t>不重复。</w:t>
      </w:r>
    </w:p>
    <w:p>
      <w:pPr>
        <w:pStyle w:val="2"/>
        <w:spacing w:line="336" w:lineRule="auto"/>
        <w:ind w:firstLine="664" w:firstLineChars="200"/>
        <w:rPr>
          <w:rFonts w:ascii="黑体" w:hAnsi="黑体" w:eastAsia="黑体" w:cs="黑体"/>
          <w:bCs/>
          <w:spacing w:val="6"/>
          <w:sz w:val="32"/>
          <w:szCs w:val="32"/>
        </w:rPr>
      </w:pPr>
      <w:r>
        <w:rPr>
          <w:rFonts w:hint="eastAsia" w:ascii="黑体" w:hAnsi="黑体" w:eastAsia="黑体" w:cs="黑体"/>
          <w:bCs/>
          <w:spacing w:val="6"/>
          <w:sz w:val="32"/>
          <w:szCs w:val="32"/>
        </w:rPr>
        <w:t>三、组织实施</w:t>
      </w:r>
    </w:p>
    <w:p>
      <w:pPr>
        <w:pStyle w:val="2"/>
        <w:spacing w:line="336" w:lineRule="auto"/>
        <w:ind w:firstLine="664" w:firstLineChars="200"/>
        <w:rPr>
          <w:rFonts w:eastAsia="仿宋_GB2312"/>
          <w:spacing w:val="6"/>
          <w:sz w:val="32"/>
          <w:szCs w:val="32"/>
          <w:shd w:val="clear" w:color="auto" w:fill="FFFFFF"/>
        </w:rPr>
      </w:pPr>
      <w:r>
        <w:rPr>
          <w:rFonts w:hint="eastAsia" w:ascii="楷体_GB2312" w:hAnsi="楷体_GB2312" w:cs="楷体_GB2312"/>
          <w:spacing w:val="6"/>
          <w:sz w:val="32"/>
          <w:szCs w:val="32"/>
          <w:shd w:val="clear" w:color="auto" w:fill="FFFFFF"/>
        </w:rPr>
        <w:t>（一）提高政治站位。</w:t>
      </w:r>
      <w:r>
        <w:rPr>
          <w:rFonts w:eastAsia="仿宋_GB2312"/>
          <w:spacing w:val="6"/>
          <w:sz w:val="32"/>
          <w:szCs w:val="32"/>
          <w:shd w:val="clear" w:color="auto" w:fill="FFFFFF"/>
        </w:rPr>
        <w:t>各单位从</w:t>
      </w:r>
      <w:r>
        <w:rPr>
          <w:rFonts w:hint="eastAsia" w:eastAsia="仿宋_GB2312"/>
          <w:spacing w:val="6"/>
          <w:sz w:val="32"/>
          <w:szCs w:val="32"/>
          <w:shd w:val="clear" w:color="auto" w:fill="FFFFFF"/>
        </w:rPr>
        <w:t>“六稳”“六保”</w:t>
      </w:r>
      <w:r>
        <w:rPr>
          <w:rFonts w:eastAsia="仿宋_GB2312"/>
          <w:spacing w:val="6"/>
          <w:sz w:val="32"/>
          <w:szCs w:val="32"/>
          <w:shd w:val="clear" w:color="auto" w:fill="FFFFFF"/>
        </w:rPr>
        <w:t>的高度，充分认识</w:t>
      </w:r>
      <w:r>
        <w:rPr>
          <w:rFonts w:hint="eastAsia" w:eastAsia="仿宋_GB2312"/>
          <w:spacing w:val="6"/>
          <w:sz w:val="32"/>
          <w:szCs w:val="32"/>
          <w:shd w:val="clear" w:color="auto" w:fill="FFFFFF"/>
        </w:rPr>
        <w:t>企业</w:t>
      </w:r>
      <w:r>
        <w:rPr>
          <w:rFonts w:eastAsia="仿宋_GB2312"/>
          <w:spacing w:val="6"/>
          <w:sz w:val="32"/>
          <w:szCs w:val="32"/>
          <w:shd w:val="clear" w:color="auto" w:fill="FFFFFF"/>
        </w:rPr>
        <w:t>复工复产复市复商的重要性</w:t>
      </w:r>
      <w:r>
        <w:rPr>
          <w:rFonts w:hint="eastAsia" w:eastAsia="仿宋_GB2312"/>
          <w:spacing w:val="6"/>
          <w:sz w:val="32"/>
          <w:szCs w:val="32"/>
          <w:shd w:val="clear" w:color="auto" w:fill="FFFFFF"/>
        </w:rPr>
        <w:t>、</w:t>
      </w:r>
      <w:r>
        <w:rPr>
          <w:rFonts w:eastAsia="仿宋_GB2312"/>
          <w:spacing w:val="6"/>
          <w:sz w:val="32"/>
          <w:szCs w:val="32"/>
          <w:shd w:val="clear" w:color="auto" w:fill="FFFFFF"/>
        </w:rPr>
        <w:t>紧迫性，强化责任担当，积极为</w:t>
      </w:r>
      <w:r>
        <w:rPr>
          <w:rFonts w:hint="eastAsia" w:eastAsia="仿宋_GB2312"/>
          <w:spacing w:val="6"/>
          <w:sz w:val="32"/>
          <w:szCs w:val="32"/>
          <w:shd w:val="clear" w:color="auto" w:fill="FFFFFF"/>
        </w:rPr>
        <w:t>企业</w:t>
      </w:r>
      <w:r>
        <w:rPr>
          <w:rFonts w:eastAsia="仿宋_GB2312"/>
          <w:spacing w:val="6"/>
          <w:sz w:val="32"/>
          <w:szCs w:val="32"/>
          <w:shd w:val="clear" w:color="auto" w:fill="FFFFFF"/>
        </w:rPr>
        <w:t>的平稳运行创造条件、提供保障。</w:t>
      </w:r>
    </w:p>
    <w:p>
      <w:pPr>
        <w:pStyle w:val="2"/>
        <w:spacing w:line="336" w:lineRule="auto"/>
        <w:ind w:firstLine="664" w:firstLineChars="200"/>
        <w:rPr>
          <w:rFonts w:eastAsia="仿宋_GB2312"/>
          <w:spacing w:val="6"/>
          <w:sz w:val="32"/>
          <w:szCs w:val="32"/>
          <w:shd w:val="clear" w:color="auto" w:fill="FFFFFF"/>
        </w:rPr>
      </w:pPr>
      <w:r>
        <w:rPr>
          <w:rFonts w:hint="eastAsia" w:ascii="楷体_GB2312" w:hAnsi="楷体_GB2312" w:cs="楷体_GB2312"/>
          <w:spacing w:val="6"/>
          <w:sz w:val="32"/>
          <w:szCs w:val="32"/>
          <w:shd w:val="clear" w:color="auto" w:fill="FFFFFF"/>
        </w:rPr>
        <w:t>（二）健全协同落实机制。</w:t>
      </w:r>
      <w:r>
        <w:rPr>
          <w:rFonts w:eastAsia="仿宋_GB2312"/>
          <w:spacing w:val="6"/>
          <w:sz w:val="32"/>
          <w:szCs w:val="32"/>
          <w:shd w:val="clear" w:color="auto" w:fill="FFFFFF"/>
        </w:rPr>
        <w:t>加强各单位的跨部门协同，充分调动各类市场主体的积极性</w:t>
      </w:r>
      <w:r>
        <w:rPr>
          <w:rFonts w:hint="eastAsia" w:eastAsia="仿宋_GB2312"/>
          <w:spacing w:val="6"/>
          <w:sz w:val="32"/>
          <w:szCs w:val="32"/>
          <w:shd w:val="clear" w:color="auto" w:fill="FFFFFF"/>
        </w:rPr>
        <w:t>、</w:t>
      </w:r>
      <w:r>
        <w:rPr>
          <w:rFonts w:eastAsia="仿宋_GB2312"/>
          <w:spacing w:val="6"/>
          <w:sz w:val="32"/>
          <w:szCs w:val="32"/>
          <w:shd w:val="clear" w:color="auto" w:fill="FFFFFF"/>
        </w:rPr>
        <w:t>主动性，形成共同推动复工</w:t>
      </w:r>
      <w:r>
        <w:rPr>
          <w:rFonts w:hint="eastAsia" w:eastAsia="仿宋_GB2312"/>
          <w:spacing w:val="6"/>
          <w:sz w:val="32"/>
          <w:szCs w:val="32"/>
          <w:shd w:val="clear" w:color="auto" w:fill="FFFFFF"/>
        </w:rPr>
        <w:t>增产</w:t>
      </w:r>
      <w:r>
        <w:rPr>
          <w:rFonts w:eastAsia="仿宋_GB2312"/>
          <w:spacing w:val="6"/>
          <w:sz w:val="32"/>
          <w:szCs w:val="32"/>
          <w:shd w:val="clear" w:color="auto" w:fill="FFFFFF"/>
        </w:rPr>
        <w:t>的工作合力，确保年内取得成效。</w:t>
      </w:r>
    </w:p>
    <w:p>
      <w:pPr>
        <w:pStyle w:val="2"/>
        <w:spacing w:line="336" w:lineRule="auto"/>
        <w:ind w:firstLine="664" w:firstLineChars="200"/>
        <w:rPr>
          <w:rFonts w:eastAsia="仿宋_GB2312"/>
          <w:spacing w:val="6"/>
          <w:sz w:val="32"/>
          <w:szCs w:val="32"/>
          <w:shd w:val="clear" w:color="auto" w:fill="FFFFFF"/>
        </w:rPr>
      </w:pPr>
      <w:r>
        <w:rPr>
          <w:rFonts w:hint="eastAsia" w:ascii="楷体_GB2312" w:hAnsi="楷体_GB2312" w:cs="楷体_GB2312"/>
          <w:spacing w:val="6"/>
          <w:sz w:val="32"/>
          <w:szCs w:val="32"/>
          <w:shd w:val="clear" w:color="auto" w:fill="FFFFFF"/>
        </w:rPr>
        <w:t>（三）强化宣传落实。</w:t>
      </w:r>
      <w:r>
        <w:rPr>
          <w:rFonts w:eastAsia="仿宋_GB2312"/>
          <w:spacing w:val="6"/>
          <w:sz w:val="32"/>
          <w:szCs w:val="32"/>
          <w:shd w:val="clear" w:color="auto" w:fill="FFFFFF"/>
        </w:rPr>
        <w:t>大力开展援企稳岗、复工复产、金融扶持等政策的宣传，加强与财税、产业、人力资源等相关部门的政策协同，确保各项政策应落实尽落实。</w:t>
      </w:r>
    </w:p>
    <w:p>
      <w:pPr>
        <w:pStyle w:val="2"/>
        <w:spacing w:line="336" w:lineRule="auto"/>
        <w:ind w:firstLine="664" w:firstLineChars="200"/>
        <w:rPr>
          <w:rFonts w:eastAsia="仿宋_GB2312"/>
          <w:spacing w:val="6"/>
          <w:sz w:val="32"/>
          <w:szCs w:val="32"/>
          <w:shd w:val="clear" w:color="auto" w:fill="FFFFFF"/>
        </w:rPr>
      </w:pPr>
      <w:r>
        <w:rPr>
          <w:rFonts w:hint="eastAsia" w:ascii="楷体_GB2312" w:hAnsi="楷体_GB2312" w:cs="楷体_GB2312"/>
          <w:spacing w:val="6"/>
          <w:sz w:val="32"/>
          <w:szCs w:val="32"/>
          <w:shd w:val="clear" w:color="auto" w:fill="FFFFFF"/>
        </w:rPr>
        <w:t>（四）加大资金保障。</w:t>
      </w:r>
      <w:r>
        <w:rPr>
          <w:rFonts w:eastAsia="仿宋_GB2312"/>
          <w:spacing w:val="6"/>
          <w:sz w:val="32"/>
          <w:szCs w:val="32"/>
          <w:shd w:val="clear" w:color="auto" w:fill="FFFFFF"/>
        </w:rPr>
        <w:t>注重用好存量资金，争取增量资金，尽量在年度财政预算内调剂使用，拓展各类资金对</w:t>
      </w:r>
      <w:r>
        <w:rPr>
          <w:rFonts w:hint="eastAsia" w:eastAsia="仿宋_GB2312"/>
          <w:spacing w:val="6"/>
          <w:sz w:val="32"/>
          <w:szCs w:val="32"/>
          <w:shd w:val="clear" w:color="auto" w:fill="FFFFFF"/>
        </w:rPr>
        <w:t>企业</w:t>
      </w:r>
      <w:r>
        <w:rPr>
          <w:rFonts w:eastAsia="仿宋_GB2312"/>
          <w:spacing w:val="6"/>
          <w:sz w:val="32"/>
          <w:szCs w:val="32"/>
          <w:shd w:val="clear" w:color="auto" w:fill="FFFFFF"/>
        </w:rPr>
        <w:t>的投入渠道，引导社会资本、金融投资等加大投入。</w:t>
      </w:r>
    </w:p>
    <w:p>
      <w:pPr>
        <w:pStyle w:val="2"/>
        <w:spacing w:line="336" w:lineRule="auto"/>
        <w:ind w:firstLine="664" w:firstLineChars="200"/>
        <w:rPr>
          <w:rFonts w:eastAsia="仿宋_GB2312"/>
          <w:spacing w:val="6"/>
          <w:sz w:val="32"/>
          <w:szCs w:val="32"/>
          <w:shd w:val="clear" w:color="auto" w:fill="FFFFFF"/>
        </w:rPr>
      </w:pPr>
    </w:p>
    <w:p>
      <w:pPr>
        <w:pStyle w:val="2"/>
        <w:spacing w:line="336" w:lineRule="auto"/>
        <w:ind w:firstLine="664" w:firstLineChars="200"/>
        <w:rPr>
          <w:rFonts w:eastAsia="仿宋_GB2312"/>
          <w:spacing w:val="6"/>
          <w:sz w:val="32"/>
          <w:szCs w:val="32"/>
          <w:shd w:val="clear" w:color="auto" w:fill="FFFFFF"/>
        </w:rPr>
      </w:pPr>
      <w:r>
        <w:rPr>
          <w:rFonts w:hint="eastAsia" w:eastAsia="仿宋_GB2312"/>
          <w:spacing w:val="6"/>
          <w:sz w:val="32"/>
          <w:szCs w:val="32"/>
          <w:shd w:val="clear" w:color="auto" w:fill="FFFFFF"/>
        </w:rPr>
        <w:t>本措施政策自2020年7月1日起执行，有效期三年，由区经科局负责解释。</w:t>
      </w:r>
    </w:p>
    <w:p>
      <w:pPr>
        <w:pStyle w:val="2"/>
        <w:spacing w:line="336" w:lineRule="auto"/>
        <w:ind w:firstLine="664" w:firstLineChars="200"/>
        <w:rPr>
          <w:rFonts w:eastAsia="仿宋_GB2312"/>
          <w:spacing w:val="6"/>
          <w:sz w:val="32"/>
          <w:szCs w:val="32"/>
          <w:shd w:val="clear" w:color="auto" w:fill="FFFFFF"/>
        </w:rPr>
      </w:pPr>
    </w:p>
    <w:p>
      <w:pPr>
        <w:pStyle w:val="2"/>
        <w:spacing w:line="336" w:lineRule="auto"/>
        <w:ind w:firstLine="664" w:firstLineChars="200"/>
        <w:jc w:val="left"/>
        <w:rPr>
          <w:rFonts w:eastAsia="仿宋_GB2312"/>
          <w:spacing w:val="6"/>
          <w:sz w:val="32"/>
          <w:szCs w:val="32"/>
        </w:rPr>
      </w:pPr>
      <w:r>
        <w:rPr>
          <w:rFonts w:hint="eastAsia" w:ascii="仿宋_GB2312" w:eastAsia="仿宋_GB2312"/>
          <w:spacing w:val="6"/>
          <w:sz w:val="32"/>
          <w:szCs w:val="32"/>
        </w:rPr>
        <w:t>附件：规上企业</w:t>
      </w:r>
      <w:r>
        <w:rPr>
          <w:rFonts w:eastAsia="仿宋_GB2312"/>
          <w:spacing w:val="6"/>
          <w:sz w:val="32"/>
          <w:szCs w:val="32"/>
        </w:rPr>
        <w:t>“扶优扶强”</w:t>
      </w:r>
      <w:r>
        <w:rPr>
          <w:rFonts w:hint="eastAsia" w:eastAsia="仿宋_GB2312"/>
          <w:spacing w:val="6"/>
          <w:sz w:val="32"/>
          <w:szCs w:val="32"/>
        </w:rPr>
        <w:t>专项贴息条件及金额</w:t>
      </w:r>
    </w:p>
    <w:p>
      <w:pPr>
        <w:rPr>
          <w:rFonts w:ascii="黑体" w:hAnsi="黑体" w:eastAsia="黑体" w:cs="黑体"/>
          <w:sz w:val="32"/>
          <w:szCs w:val="32"/>
          <w:lang w:eastAsia="zh-CN"/>
        </w:rPr>
      </w:pPr>
      <w:r>
        <w:rPr>
          <w:rFonts w:hint="eastAsia" w:eastAsia="仿宋_GB2312"/>
          <w:sz w:val="32"/>
          <w:szCs w:val="32"/>
          <w:lang w:eastAsia="zh-CN"/>
        </w:rPr>
        <w:br w:type="page"/>
      </w:r>
      <w:r>
        <w:rPr>
          <w:rFonts w:hint="eastAsia" w:ascii="黑体" w:hAnsi="黑体" w:eastAsia="黑体" w:cs="黑体"/>
          <w:sz w:val="32"/>
          <w:szCs w:val="32"/>
          <w:lang w:eastAsia="zh-CN"/>
        </w:rPr>
        <w:t>附件：</w:t>
      </w:r>
    </w:p>
    <w:p>
      <w:pPr>
        <w:pStyle w:val="2"/>
        <w:adjustRightInd w:val="0"/>
        <w:snapToGrid w:val="0"/>
        <w:ind w:firstLine="0"/>
        <w:jc w:val="center"/>
        <w:rPr>
          <w:rFonts w:ascii="微软简标宋" w:hAnsi="微软简标宋" w:eastAsia="微软简标宋" w:cs="微软简标宋"/>
          <w:sz w:val="32"/>
          <w:szCs w:val="32"/>
        </w:rPr>
      </w:pPr>
      <w:r>
        <w:rPr>
          <w:rFonts w:hint="eastAsia" w:ascii="微软简标宋" w:hAnsi="微软简标宋" w:eastAsia="微软简标宋" w:cs="微软简标宋"/>
          <w:sz w:val="32"/>
          <w:szCs w:val="32"/>
        </w:rPr>
        <w:t>规上企业“扶优扶强”专项贴息条件及金额</w:t>
      </w:r>
    </w:p>
    <w:tbl>
      <w:tblPr>
        <w:tblStyle w:val="8"/>
        <w:tblpPr w:leftFromText="180" w:rightFromText="180" w:vertAnchor="text" w:horzAnchor="page" w:tblpX="1789" w:tblpY="661"/>
        <w:tblOverlap w:val="never"/>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8"/>
        <w:gridCol w:w="1668"/>
        <w:gridCol w:w="1604"/>
        <w:gridCol w:w="1842"/>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1" w:hRule="atLeast"/>
        </w:trPr>
        <w:tc>
          <w:tcPr>
            <w:tcW w:w="1798" w:type="dxa"/>
            <w:vAlign w:val="center"/>
          </w:tcPr>
          <w:p>
            <w:pPr>
              <w:widowControl w:val="0"/>
              <w:adjustRightInd w:val="0"/>
              <w:snapToGrid w:val="0"/>
              <w:spacing w:line="180" w:lineRule="auto"/>
              <w:jc w:val="center"/>
              <w:rPr>
                <w:rFonts w:ascii="仿宋_GB2312" w:hAnsi="仿宋_GB2312" w:eastAsia="仿宋_GB2312" w:cs="仿宋_GB2312"/>
                <w:lang w:eastAsia="zh-CN"/>
              </w:rPr>
            </w:pPr>
            <w:r>
              <w:rPr>
                <w:rFonts w:hint="eastAsia" w:ascii="仿宋_GB2312" w:hAnsi="仿宋_GB2312" w:eastAsia="仿宋_GB2312" w:cs="仿宋_GB2312"/>
                <w:lang w:eastAsia="zh-CN"/>
              </w:rPr>
              <w:t>企业规模</w:t>
            </w:r>
          </w:p>
          <w:p>
            <w:pPr>
              <w:widowControl w:val="0"/>
              <w:adjustRightInd w:val="0"/>
              <w:snapToGrid w:val="0"/>
              <w:spacing w:line="180" w:lineRule="auto"/>
              <w:jc w:val="center"/>
              <w:rPr>
                <w:rFonts w:ascii="仿宋_GB2312" w:hAnsi="仿宋_GB2312" w:eastAsia="仿宋_GB2312" w:cs="仿宋_GB2312"/>
                <w:lang w:eastAsia="zh-CN"/>
              </w:rPr>
            </w:pPr>
            <w:r>
              <w:rPr>
                <w:rFonts w:hint="eastAsia" w:ascii="仿宋_GB2312" w:hAnsi="仿宋_GB2312" w:eastAsia="仿宋_GB2312" w:cs="仿宋_GB2312"/>
                <w:spacing w:val="6"/>
                <w:lang w:eastAsia="zh-CN"/>
              </w:rPr>
              <w:t>（以2019年为基数计算）</w:t>
            </w:r>
          </w:p>
        </w:tc>
        <w:tc>
          <w:tcPr>
            <w:tcW w:w="1668" w:type="dxa"/>
            <w:vAlign w:val="center"/>
          </w:tcPr>
          <w:p>
            <w:pPr>
              <w:widowControl w:val="0"/>
              <w:adjustRightInd w:val="0"/>
              <w:snapToGrid w:val="0"/>
              <w:spacing w:line="180" w:lineRule="auto"/>
              <w:jc w:val="center"/>
              <w:rPr>
                <w:rFonts w:ascii="仿宋_GB2312" w:hAnsi="仿宋_GB2312" w:eastAsia="仿宋_GB2312" w:cs="仿宋_GB2312"/>
                <w:lang w:eastAsia="zh-CN"/>
              </w:rPr>
            </w:pPr>
            <w:r>
              <w:rPr>
                <w:rFonts w:hint="eastAsia" w:ascii="仿宋_GB2312" w:hAnsi="仿宋_GB2312" w:eastAsia="仿宋_GB2312" w:cs="仿宋_GB2312"/>
                <w:lang w:eastAsia="zh-CN"/>
              </w:rPr>
              <w:t>2020年增速</w:t>
            </w:r>
          </w:p>
          <w:p>
            <w:pPr>
              <w:widowControl w:val="0"/>
              <w:adjustRightInd w:val="0"/>
              <w:snapToGrid w:val="0"/>
              <w:spacing w:line="180" w:lineRule="auto"/>
              <w:jc w:val="center"/>
              <w:rPr>
                <w:rFonts w:ascii="仿宋_GB2312" w:hAnsi="仿宋_GB2312" w:eastAsia="仿宋_GB2312" w:cs="仿宋_GB2312"/>
                <w:lang w:eastAsia="zh-CN"/>
              </w:rPr>
            </w:pPr>
            <w:r>
              <w:rPr>
                <w:rFonts w:hint="eastAsia" w:ascii="仿宋_GB2312" w:hAnsi="仿宋_GB2312" w:eastAsia="仿宋_GB2312" w:cs="仿宋_GB2312"/>
                <w:spacing w:val="6"/>
                <w:lang w:eastAsia="zh-CN"/>
              </w:rPr>
              <w:t>（以2019年为基数计算）</w:t>
            </w:r>
          </w:p>
        </w:tc>
        <w:tc>
          <w:tcPr>
            <w:tcW w:w="1604" w:type="dxa"/>
            <w:vAlign w:val="center"/>
          </w:tcPr>
          <w:p>
            <w:pPr>
              <w:widowControl w:val="0"/>
              <w:adjustRightInd w:val="0"/>
              <w:snapToGrid w:val="0"/>
              <w:spacing w:line="180" w:lineRule="auto"/>
              <w:jc w:val="center"/>
              <w:rPr>
                <w:rFonts w:ascii="仿宋_GB2312" w:hAnsi="仿宋_GB2312" w:eastAsia="仿宋_GB2312" w:cs="仿宋_GB2312"/>
                <w:lang w:eastAsia="zh-CN"/>
              </w:rPr>
            </w:pPr>
            <w:r>
              <w:rPr>
                <w:rFonts w:hint="eastAsia" w:ascii="仿宋_GB2312" w:hAnsi="仿宋_GB2312" w:eastAsia="仿宋_GB2312" w:cs="仿宋_GB2312"/>
                <w:lang w:eastAsia="zh-CN"/>
              </w:rPr>
              <w:t>2021年增速</w:t>
            </w:r>
          </w:p>
          <w:p>
            <w:pPr>
              <w:widowControl w:val="0"/>
              <w:adjustRightInd w:val="0"/>
              <w:snapToGrid w:val="0"/>
              <w:spacing w:line="180" w:lineRule="auto"/>
              <w:jc w:val="center"/>
              <w:rPr>
                <w:rFonts w:ascii="仿宋_GB2312" w:hAnsi="仿宋_GB2312" w:eastAsia="仿宋_GB2312" w:cs="仿宋_GB2312"/>
                <w:lang w:eastAsia="zh-CN"/>
              </w:rPr>
            </w:pPr>
            <w:r>
              <w:rPr>
                <w:rFonts w:hint="eastAsia" w:ascii="仿宋_GB2312" w:hAnsi="仿宋_GB2312" w:eastAsia="仿宋_GB2312" w:cs="仿宋_GB2312"/>
                <w:spacing w:val="6"/>
                <w:lang w:eastAsia="zh-CN"/>
              </w:rPr>
              <w:t>（以2020年为基数计算）</w:t>
            </w:r>
          </w:p>
        </w:tc>
        <w:tc>
          <w:tcPr>
            <w:tcW w:w="1842" w:type="dxa"/>
            <w:vAlign w:val="center"/>
          </w:tcPr>
          <w:p>
            <w:pPr>
              <w:widowControl w:val="0"/>
              <w:adjustRightInd w:val="0"/>
              <w:snapToGrid w:val="0"/>
              <w:spacing w:line="180" w:lineRule="auto"/>
              <w:jc w:val="center"/>
              <w:rPr>
                <w:rFonts w:ascii="仿宋_GB2312" w:hAnsi="仿宋_GB2312" w:eastAsia="仿宋_GB2312" w:cs="仿宋_GB2312"/>
                <w:lang w:eastAsia="zh-CN"/>
              </w:rPr>
            </w:pPr>
            <w:r>
              <w:rPr>
                <w:rFonts w:hint="eastAsia" w:ascii="仿宋_GB2312" w:hAnsi="仿宋_GB2312" w:eastAsia="仿宋_GB2312" w:cs="仿宋_GB2312"/>
                <w:lang w:eastAsia="zh-CN"/>
              </w:rPr>
              <w:t>2022年增速</w:t>
            </w:r>
          </w:p>
          <w:p>
            <w:pPr>
              <w:widowControl w:val="0"/>
              <w:adjustRightInd w:val="0"/>
              <w:snapToGrid w:val="0"/>
              <w:spacing w:line="180" w:lineRule="auto"/>
              <w:jc w:val="center"/>
              <w:rPr>
                <w:rFonts w:ascii="仿宋_GB2312" w:hAnsi="仿宋_GB2312" w:eastAsia="仿宋_GB2312" w:cs="仿宋_GB2312"/>
                <w:lang w:eastAsia="zh-CN"/>
              </w:rPr>
            </w:pPr>
            <w:r>
              <w:rPr>
                <w:rFonts w:hint="eastAsia" w:ascii="仿宋_GB2312" w:hAnsi="仿宋_GB2312" w:eastAsia="仿宋_GB2312" w:cs="仿宋_GB2312"/>
                <w:lang w:eastAsia="zh-CN"/>
              </w:rPr>
              <w:t>（以2019年为基数计算）</w:t>
            </w:r>
          </w:p>
        </w:tc>
        <w:tc>
          <w:tcPr>
            <w:tcW w:w="1560" w:type="dxa"/>
            <w:vAlign w:val="center"/>
          </w:tcPr>
          <w:p>
            <w:pPr>
              <w:widowControl w:val="0"/>
              <w:adjustRightInd w:val="0"/>
              <w:snapToGrid w:val="0"/>
              <w:spacing w:line="180" w:lineRule="auto"/>
              <w:jc w:val="center"/>
              <w:rPr>
                <w:rFonts w:ascii="仿宋_GB2312" w:hAnsi="仿宋_GB2312" w:eastAsia="仿宋_GB2312" w:cs="仿宋_GB2312"/>
                <w:lang w:eastAsia="zh-CN"/>
              </w:rPr>
            </w:pPr>
            <w:r>
              <w:rPr>
                <w:rFonts w:hint="eastAsia" w:ascii="仿宋_GB2312" w:hAnsi="仿宋_GB2312" w:eastAsia="仿宋_GB2312" w:cs="仿宋_GB2312"/>
                <w:lang w:eastAsia="zh-CN"/>
              </w:rPr>
              <w:t>贴息金额</w:t>
            </w:r>
          </w:p>
          <w:p>
            <w:pPr>
              <w:widowControl w:val="0"/>
              <w:adjustRightInd w:val="0"/>
              <w:snapToGrid w:val="0"/>
              <w:spacing w:line="180" w:lineRule="auto"/>
              <w:jc w:val="center"/>
              <w:rPr>
                <w:rFonts w:ascii="仿宋_GB2312" w:hAnsi="仿宋_GB2312" w:eastAsia="仿宋_GB2312" w:cs="仿宋_GB2312"/>
                <w:lang w:eastAsia="zh-CN"/>
              </w:rPr>
            </w:pPr>
            <w:r>
              <w:rPr>
                <w:rFonts w:hint="eastAsia" w:ascii="仿宋_GB2312" w:hAnsi="仿宋_GB2312" w:eastAsia="仿宋_GB2312" w:cs="仿宋_GB2312"/>
                <w:lang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4" w:hRule="atLeast"/>
        </w:trPr>
        <w:tc>
          <w:tcPr>
            <w:tcW w:w="1798" w:type="dxa"/>
            <w:vAlign w:val="center"/>
          </w:tcPr>
          <w:p>
            <w:pPr>
              <w:widowControl w:val="0"/>
              <w:adjustRightInd w:val="0"/>
              <w:snapToGrid w:val="0"/>
              <w:jc w:val="center"/>
              <w:rPr>
                <w:rFonts w:ascii="仿宋_GB2312" w:hAnsi="仿宋_GB2312" w:eastAsia="仿宋_GB2312" w:cs="仿宋_GB2312"/>
                <w:spacing w:val="6"/>
                <w:lang w:eastAsia="zh-CN"/>
              </w:rPr>
            </w:pPr>
            <w:r>
              <w:rPr>
                <w:rFonts w:hint="eastAsia" w:ascii="仿宋_GB2312" w:hAnsi="仿宋_GB2312" w:eastAsia="仿宋_GB2312" w:cs="仿宋_GB2312"/>
                <w:spacing w:val="6"/>
                <w:lang w:eastAsia="zh-CN"/>
              </w:rPr>
              <w:t>1亿元（含）至3亿元</w:t>
            </w:r>
          </w:p>
        </w:tc>
        <w:tc>
          <w:tcPr>
            <w:tcW w:w="1668" w:type="dxa"/>
            <w:vAlign w:val="center"/>
          </w:tcPr>
          <w:p>
            <w:pPr>
              <w:widowControl w:val="0"/>
              <w:adjustRightInd w:val="0"/>
              <w:snapToGrid w:val="0"/>
              <w:jc w:val="center"/>
              <w:rPr>
                <w:rFonts w:ascii="仿宋_GB2312" w:hAnsi="仿宋_GB2312" w:eastAsia="仿宋_GB2312" w:cs="仿宋_GB2312"/>
                <w:spacing w:val="6"/>
                <w:lang w:eastAsia="zh-CN"/>
              </w:rPr>
            </w:pPr>
            <w:r>
              <w:rPr>
                <w:rFonts w:hint="eastAsia" w:ascii="仿宋_GB2312" w:hAnsi="仿宋_GB2312" w:eastAsia="仿宋_GB2312" w:cs="仿宋_GB2312"/>
                <w:spacing w:val="6"/>
                <w:lang w:eastAsia="zh-CN"/>
              </w:rPr>
              <w:t>不低于15%</w:t>
            </w:r>
          </w:p>
        </w:tc>
        <w:tc>
          <w:tcPr>
            <w:tcW w:w="1604" w:type="dxa"/>
            <w:vAlign w:val="center"/>
          </w:tcPr>
          <w:p>
            <w:pPr>
              <w:widowControl w:val="0"/>
              <w:adjustRightInd w:val="0"/>
              <w:snapToGrid w:val="0"/>
              <w:jc w:val="center"/>
              <w:rPr>
                <w:rFonts w:ascii="仿宋_GB2312" w:hAnsi="仿宋_GB2312" w:eastAsia="仿宋_GB2312" w:cs="仿宋_GB2312"/>
                <w:spacing w:val="6"/>
                <w:lang w:eastAsia="zh-CN"/>
              </w:rPr>
            </w:pPr>
            <w:r>
              <w:rPr>
                <w:rFonts w:hint="eastAsia" w:ascii="仿宋_GB2312" w:hAnsi="仿宋_GB2312" w:eastAsia="仿宋_GB2312" w:cs="仿宋_GB2312"/>
                <w:spacing w:val="6"/>
                <w:lang w:eastAsia="zh-CN"/>
              </w:rPr>
              <w:t>不低于20%</w:t>
            </w:r>
          </w:p>
        </w:tc>
        <w:tc>
          <w:tcPr>
            <w:tcW w:w="1842" w:type="dxa"/>
            <w:vAlign w:val="center"/>
          </w:tcPr>
          <w:p>
            <w:pPr>
              <w:widowControl w:val="0"/>
              <w:adjustRightInd w:val="0"/>
              <w:snapToGrid w:val="0"/>
              <w:jc w:val="center"/>
              <w:rPr>
                <w:rFonts w:ascii="仿宋_GB2312" w:hAnsi="仿宋_GB2312" w:eastAsia="仿宋_GB2312" w:cs="仿宋_GB2312"/>
                <w:spacing w:val="6"/>
                <w:lang w:eastAsia="zh-CN"/>
              </w:rPr>
            </w:pPr>
            <w:r>
              <w:rPr>
                <w:rFonts w:hint="eastAsia" w:ascii="仿宋_GB2312" w:hAnsi="仿宋_GB2312" w:eastAsia="仿宋_GB2312" w:cs="仿宋_GB2312"/>
                <w:spacing w:val="6"/>
                <w:lang w:eastAsia="zh-CN"/>
              </w:rPr>
              <w:t>总体三年60%</w:t>
            </w:r>
          </w:p>
        </w:tc>
        <w:tc>
          <w:tcPr>
            <w:tcW w:w="1560" w:type="dxa"/>
            <w:vAlign w:val="center"/>
          </w:tcPr>
          <w:p>
            <w:pPr>
              <w:widowControl w:val="0"/>
              <w:adjustRightInd w:val="0"/>
              <w:snapToGrid w:val="0"/>
              <w:jc w:val="center"/>
              <w:rPr>
                <w:rFonts w:ascii="仿宋_GB2312" w:hAnsi="仿宋_GB2312" w:eastAsia="仿宋_GB2312" w:cs="仿宋_GB2312"/>
                <w:spacing w:val="6"/>
                <w:lang w:eastAsia="zh-CN"/>
              </w:rPr>
            </w:pPr>
            <w:r>
              <w:rPr>
                <w:rFonts w:hint="eastAsia" w:ascii="仿宋_GB2312" w:hAnsi="仿宋_GB2312" w:eastAsia="仿宋_GB2312" w:cs="仿宋_GB2312"/>
                <w:spacing w:val="6"/>
                <w:lang w:eastAsia="zh-CN"/>
              </w:rPr>
              <w:t>每年不超过100万元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1798" w:type="dxa"/>
            <w:vAlign w:val="center"/>
          </w:tcPr>
          <w:p>
            <w:pPr>
              <w:widowControl w:val="0"/>
              <w:adjustRightInd w:val="0"/>
              <w:snapToGrid w:val="0"/>
              <w:jc w:val="center"/>
              <w:rPr>
                <w:rFonts w:ascii="仿宋_GB2312" w:hAnsi="仿宋_GB2312" w:eastAsia="仿宋_GB2312" w:cs="仿宋_GB2312"/>
                <w:spacing w:val="6"/>
                <w:lang w:eastAsia="zh-CN"/>
              </w:rPr>
            </w:pPr>
            <w:r>
              <w:rPr>
                <w:rFonts w:hint="eastAsia" w:ascii="仿宋_GB2312" w:hAnsi="仿宋_GB2312" w:eastAsia="仿宋_GB2312" w:cs="仿宋_GB2312"/>
                <w:spacing w:val="6"/>
                <w:lang w:eastAsia="zh-CN"/>
              </w:rPr>
              <w:t>3亿元（含）至5亿元</w:t>
            </w:r>
          </w:p>
        </w:tc>
        <w:tc>
          <w:tcPr>
            <w:tcW w:w="1668" w:type="dxa"/>
            <w:vAlign w:val="center"/>
          </w:tcPr>
          <w:p>
            <w:pPr>
              <w:widowControl w:val="0"/>
              <w:adjustRightInd w:val="0"/>
              <w:snapToGrid w:val="0"/>
              <w:jc w:val="center"/>
              <w:rPr>
                <w:rFonts w:ascii="仿宋_GB2312" w:hAnsi="仿宋_GB2312" w:eastAsia="仿宋_GB2312" w:cs="仿宋_GB2312"/>
                <w:spacing w:val="6"/>
                <w:lang w:eastAsia="zh-CN"/>
              </w:rPr>
            </w:pPr>
            <w:r>
              <w:rPr>
                <w:rFonts w:hint="eastAsia" w:ascii="仿宋_GB2312" w:hAnsi="仿宋_GB2312" w:eastAsia="仿宋_GB2312" w:cs="仿宋_GB2312"/>
                <w:spacing w:val="6"/>
                <w:lang w:eastAsia="zh-CN"/>
              </w:rPr>
              <w:t>不低于10%</w:t>
            </w:r>
          </w:p>
        </w:tc>
        <w:tc>
          <w:tcPr>
            <w:tcW w:w="1604" w:type="dxa"/>
            <w:vAlign w:val="center"/>
          </w:tcPr>
          <w:p>
            <w:pPr>
              <w:widowControl w:val="0"/>
              <w:adjustRightInd w:val="0"/>
              <w:snapToGrid w:val="0"/>
              <w:jc w:val="center"/>
              <w:rPr>
                <w:rFonts w:ascii="仿宋_GB2312" w:hAnsi="仿宋_GB2312" w:eastAsia="仿宋_GB2312" w:cs="仿宋_GB2312"/>
                <w:spacing w:val="6"/>
                <w:lang w:eastAsia="zh-CN"/>
              </w:rPr>
            </w:pPr>
            <w:r>
              <w:rPr>
                <w:rFonts w:hint="eastAsia" w:ascii="仿宋_GB2312" w:hAnsi="仿宋_GB2312" w:eastAsia="仿宋_GB2312" w:cs="仿宋_GB2312"/>
                <w:spacing w:val="6"/>
                <w:lang w:eastAsia="zh-CN"/>
              </w:rPr>
              <w:t>不低于18%</w:t>
            </w:r>
          </w:p>
        </w:tc>
        <w:tc>
          <w:tcPr>
            <w:tcW w:w="1842" w:type="dxa"/>
            <w:vAlign w:val="center"/>
          </w:tcPr>
          <w:p>
            <w:pPr>
              <w:widowControl w:val="0"/>
              <w:adjustRightInd w:val="0"/>
              <w:snapToGrid w:val="0"/>
              <w:jc w:val="center"/>
              <w:rPr>
                <w:rFonts w:ascii="仿宋_GB2312" w:hAnsi="仿宋_GB2312" w:eastAsia="仿宋_GB2312" w:cs="仿宋_GB2312"/>
                <w:spacing w:val="6"/>
                <w:lang w:eastAsia="zh-CN"/>
              </w:rPr>
            </w:pPr>
            <w:r>
              <w:rPr>
                <w:rFonts w:hint="eastAsia" w:ascii="仿宋_GB2312" w:hAnsi="仿宋_GB2312" w:eastAsia="仿宋_GB2312" w:cs="仿宋_GB2312"/>
                <w:spacing w:val="6"/>
                <w:lang w:eastAsia="zh-CN"/>
              </w:rPr>
              <w:t>总体三年50%</w:t>
            </w:r>
          </w:p>
        </w:tc>
        <w:tc>
          <w:tcPr>
            <w:tcW w:w="1560" w:type="dxa"/>
            <w:vAlign w:val="center"/>
          </w:tcPr>
          <w:p>
            <w:pPr>
              <w:widowControl w:val="0"/>
              <w:adjustRightInd w:val="0"/>
              <w:snapToGrid w:val="0"/>
              <w:jc w:val="center"/>
              <w:rPr>
                <w:rFonts w:ascii="仿宋_GB2312" w:hAnsi="仿宋_GB2312" w:eastAsia="仿宋_GB2312" w:cs="仿宋_GB2312"/>
                <w:spacing w:val="6"/>
                <w:lang w:eastAsia="zh-CN"/>
              </w:rPr>
            </w:pPr>
            <w:r>
              <w:rPr>
                <w:rFonts w:hint="eastAsia" w:ascii="仿宋_GB2312" w:hAnsi="仿宋_GB2312" w:eastAsia="仿宋_GB2312" w:cs="仿宋_GB2312"/>
                <w:spacing w:val="6"/>
                <w:lang w:eastAsia="zh-CN"/>
              </w:rPr>
              <w:t>每年不超过150万元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6" w:hRule="atLeast"/>
        </w:trPr>
        <w:tc>
          <w:tcPr>
            <w:tcW w:w="1798" w:type="dxa"/>
            <w:vAlign w:val="center"/>
          </w:tcPr>
          <w:p>
            <w:pPr>
              <w:widowControl w:val="0"/>
              <w:adjustRightInd w:val="0"/>
              <w:snapToGrid w:val="0"/>
              <w:jc w:val="center"/>
              <w:rPr>
                <w:rFonts w:ascii="仿宋_GB2312" w:hAnsi="仿宋_GB2312" w:eastAsia="仿宋_GB2312" w:cs="仿宋_GB2312"/>
                <w:spacing w:val="6"/>
                <w:lang w:eastAsia="zh-CN"/>
              </w:rPr>
            </w:pPr>
            <w:r>
              <w:rPr>
                <w:rFonts w:hint="eastAsia" w:ascii="仿宋_GB2312" w:hAnsi="仿宋_GB2312" w:eastAsia="仿宋_GB2312" w:cs="仿宋_GB2312"/>
                <w:spacing w:val="6"/>
                <w:lang w:eastAsia="zh-CN"/>
              </w:rPr>
              <w:t>5亿元（含）至10亿元</w:t>
            </w:r>
          </w:p>
        </w:tc>
        <w:tc>
          <w:tcPr>
            <w:tcW w:w="1668" w:type="dxa"/>
            <w:vAlign w:val="center"/>
          </w:tcPr>
          <w:p>
            <w:pPr>
              <w:widowControl w:val="0"/>
              <w:adjustRightInd w:val="0"/>
              <w:snapToGrid w:val="0"/>
              <w:jc w:val="center"/>
              <w:rPr>
                <w:rFonts w:ascii="仿宋_GB2312" w:hAnsi="仿宋_GB2312" w:eastAsia="仿宋_GB2312" w:cs="仿宋_GB2312"/>
                <w:spacing w:val="6"/>
                <w:lang w:eastAsia="zh-CN"/>
              </w:rPr>
            </w:pPr>
            <w:r>
              <w:rPr>
                <w:rFonts w:hint="eastAsia" w:ascii="仿宋_GB2312" w:hAnsi="仿宋_GB2312" w:eastAsia="仿宋_GB2312" w:cs="仿宋_GB2312"/>
                <w:spacing w:val="6"/>
                <w:lang w:eastAsia="zh-CN"/>
              </w:rPr>
              <w:t>不低于7%</w:t>
            </w:r>
          </w:p>
        </w:tc>
        <w:tc>
          <w:tcPr>
            <w:tcW w:w="1604" w:type="dxa"/>
            <w:vAlign w:val="center"/>
          </w:tcPr>
          <w:p>
            <w:pPr>
              <w:widowControl w:val="0"/>
              <w:adjustRightInd w:val="0"/>
              <w:snapToGrid w:val="0"/>
              <w:jc w:val="center"/>
              <w:rPr>
                <w:rFonts w:ascii="仿宋_GB2312" w:hAnsi="仿宋_GB2312" w:eastAsia="仿宋_GB2312" w:cs="仿宋_GB2312"/>
                <w:spacing w:val="6"/>
                <w:lang w:eastAsia="zh-CN"/>
              </w:rPr>
            </w:pPr>
            <w:r>
              <w:rPr>
                <w:rFonts w:hint="eastAsia" w:ascii="仿宋_GB2312" w:hAnsi="仿宋_GB2312" w:eastAsia="仿宋_GB2312" w:cs="仿宋_GB2312"/>
                <w:spacing w:val="6"/>
                <w:lang w:eastAsia="zh-CN"/>
              </w:rPr>
              <w:t>不低于16%</w:t>
            </w:r>
          </w:p>
        </w:tc>
        <w:tc>
          <w:tcPr>
            <w:tcW w:w="1842" w:type="dxa"/>
            <w:vAlign w:val="center"/>
          </w:tcPr>
          <w:p>
            <w:pPr>
              <w:widowControl w:val="0"/>
              <w:adjustRightInd w:val="0"/>
              <w:snapToGrid w:val="0"/>
              <w:jc w:val="center"/>
              <w:rPr>
                <w:rFonts w:ascii="仿宋_GB2312" w:hAnsi="仿宋_GB2312" w:eastAsia="仿宋_GB2312" w:cs="仿宋_GB2312"/>
                <w:spacing w:val="6"/>
                <w:lang w:eastAsia="zh-CN"/>
              </w:rPr>
            </w:pPr>
            <w:r>
              <w:rPr>
                <w:rFonts w:hint="eastAsia" w:ascii="仿宋_GB2312" w:hAnsi="仿宋_GB2312" w:eastAsia="仿宋_GB2312" w:cs="仿宋_GB2312"/>
                <w:spacing w:val="6"/>
                <w:lang w:eastAsia="zh-CN"/>
              </w:rPr>
              <w:t>总体三年40%</w:t>
            </w:r>
          </w:p>
        </w:tc>
        <w:tc>
          <w:tcPr>
            <w:tcW w:w="1560" w:type="dxa"/>
            <w:vAlign w:val="center"/>
          </w:tcPr>
          <w:p>
            <w:pPr>
              <w:widowControl w:val="0"/>
              <w:adjustRightInd w:val="0"/>
              <w:snapToGrid w:val="0"/>
              <w:jc w:val="center"/>
              <w:rPr>
                <w:rFonts w:ascii="仿宋_GB2312" w:hAnsi="仿宋_GB2312" w:eastAsia="仿宋_GB2312" w:cs="仿宋_GB2312"/>
                <w:spacing w:val="6"/>
                <w:lang w:eastAsia="zh-CN"/>
              </w:rPr>
            </w:pPr>
            <w:r>
              <w:rPr>
                <w:rFonts w:hint="eastAsia" w:ascii="仿宋_GB2312" w:hAnsi="仿宋_GB2312" w:eastAsia="仿宋_GB2312" w:cs="仿宋_GB2312"/>
                <w:spacing w:val="6"/>
                <w:lang w:eastAsia="zh-CN"/>
              </w:rPr>
              <w:t>每年不超过200万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1" w:hRule="atLeast"/>
        </w:trPr>
        <w:tc>
          <w:tcPr>
            <w:tcW w:w="1798" w:type="dxa"/>
            <w:vAlign w:val="center"/>
          </w:tcPr>
          <w:p>
            <w:pPr>
              <w:widowControl w:val="0"/>
              <w:adjustRightInd w:val="0"/>
              <w:snapToGrid w:val="0"/>
              <w:jc w:val="center"/>
              <w:rPr>
                <w:rFonts w:ascii="仿宋_GB2312" w:hAnsi="仿宋_GB2312" w:eastAsia="仿宋_GB2312" w:cs="仿宋_GB2312"/>
                <w:spacing w:val="6"/>
                <w:lang w:eastAsia="zh-CN"/>
              </w:rPr>
            </w:pPr>
            <w:r>
              <w:rPr>
                <w:rFonts w:hint="eastAsia" w:ascii="仿宋_GB2312" w:hAnsi="仿宋_GB2312" w:eastAsia="仿宋_GB2312" w:cs="仿宋_GB2312"/>
                <w:spacing w:val="6"/>
                <w:lang w:eastAsia="zh-CN"/>
              </w:rPr>
              <w:t>10亿元（含）及以上</w:t>
            </w:r>
          </w:p>
        </w:tc>
        <w:tc>
          <w:tcPr>
            <w:tcW w:w="1668" w:type="dxa"/>
            <w:vAlign w:val="center"/>
          </w:tcPr>
          <w:p>
            <w:pPr>
              <w:widowControl w:val="0"/>
              <w:adjustRightInd w:val="0"/>
              <w:snapToGrid w:val="0"/>
              <w:jc w:val="center"/>
              <w:rPr>
                <w:rFonts w:ascii="仿宋_GB2312" w:hAnsi="仿宋_GB2312" w:eastAsia="仿宋_GB2312" w:cs="仿宋_GB2312"/>
                <w:spacing w:val="6"/>
                <w:lang w:eastAsia="zh-CN"/>
              </w:rPr>
            </w:pPr>
            <w:r>
              <w:rPr>
                <w:rFonts w:hint="eastAsia" w:ascii="仿宋_GB2312" w:hAnsi="仿宋_GB2312" w:eastAsia="仿宋_GB2312" w:cs="仿宋_GB2312"/>
                <w:spacing w:val="6"/>
                <w:lang w:eastAsia="zh-CN"/>
              </w:rPr>
              <w:t>不低于5%</w:t>
            </w:r>
          </w:p>
        </w:tc>
        <w:tc>
          <w:tcPr>
            <w:tcW w:w="1604" w:type="dxa"/>
            <w:vAlign w:val="center"/>
          </w:tcPr>
          <w:p>
            <w:pPr>
              <w:widowControl w:val="0"/>
              <w:adjustRightInd w:val="0"/>
              <w:snapToGrid w:val="0"/>
              <w:jc w:val="center"/>
              <w:rPr>
                <w:rFonts w:ascii="仿宋_GB2312" w:hAnsi="仿宋_GB2312" w:eastAsia="仿宋_GB2312" w:cs="仿宋_GB2312"/>
                <w:spacing w:val="6"/>
                <w:lang w:eastAsia="zh-CN"/>
              </w:rPr>
            </w:pPr>
            <w:r>
              <w:rPr>
                <w:rFonts w:hint="eastAsia" w:ascii="仿宋_GB2312" w:hAnsi="仿宋_GB2312" w:eastAsia="仿宋_GB2312" w:cs="仿宋_GB2312"/>
                <w:spacing w:val="6"/>
                <w:lang w:eastAsia="zh-CN"/>
              </w:rPr>
              <w:t>不低于12%</w:t>
            </w:r>
          </w:p>
        </w:tc>
        <w:tc>
          <w:tcPr>
            <w:tcW w:w="1842" w:type="dxa"/>
            <w:vAlign w:val="center"/>
          </w:tcPr>
          <w:p>
            <w:pPr>
              <w:widowControl w:val="0"/>
              <w:adjustRightInd w:val="0"/>
              <w:snapToGrid w:val="0"/>
              <w:jc w:val="center"/>
              <w:rPr>
                <w:rFonts w:ascii="仿宋_GB2312" w:hAnsi="仿宋_GB2312" w:eastAsia="仿宋_GB2312" w:cs="仿宋_GB2312"/>
                <w:spacing w:val="6"/>
                <w:lang w:eastAsia="zh-CN"/>
              </w:rPr>
            </w:pPr>
            <w:r>
              <w:rPr>
                <w:rFonts w:hint="eastAsia" w:ascii="仿宋_GB2312" w:hAnsi="仿宋_GB2312" w:eastAsia="仿宋_GB2312" w:cs="仿宋_GB2312"/>
                <w:spacing w:val="6"/>
                <w:lang w:eastAsia="zh-CN"/>
              </w:rPr>
              <w:t>总体三年30%</w:t>
            </w:r>
          </w:p>
        </w:tc>
        <w:tc>
          <w:tcPr>
            <w:tcW w:w="1560" w:type="dxa"/>
            <w:vAlign w:val="center"/>
          </w:tcPr>
          <w:p>
            <w:pPr>
              <w:widowControl w:val="0"/>
              <w:adjustRightInd w:val="0"/>
              <w:snapToGrid w:val="0"/>
              <w:jc w:val="center"/>
              <w:rPr>
                <w:rFonts w:ascii="仿宋_GB2312" w:hAnsi="仿宋_GB2312" w:eastAsia="仿宋_GB2312" w:cs="仿宋_GB2312"/>
                <w:spacing w:val="6"/>
                <w:lang w:eastAsia="zh-CN"/>
              </w:rPr>
            </w:pPr>
            <w:r>
              <w:rPr>
                <w:rFonts w:hint="eastAsia" w:ascii="仿宋_GB2312" w:hAnsi="仿宋_GB2312" w:eastAsia="仿宋_GB2312" w:cs="仿宋_GB2312"/>
                <w:spacing w:val="6"/>
                <w:lang w:eastAsia="zh-CN"/>
              </w:rPr>
              <w:t>每年不超过300万</w:t>
            </w:r>
          </w:p>
        </w:tc>
      </w:tr>
    </w:tbl>
    <w:p>
      <w:pPr>
        <w:pStyle w:val="2"/>
        <w:spacing w:line="336" w:lineRule="auto"/>
        <w:ind w:firstLine="0"/>
        <w:jc w:val="center"/>
        <w:rPr>
          <w:rFonts w:ascii="微软简标宋" w:hAnsi="微软简标宋" w:eastAsia="微软简标宋" w:cs="微软简标宋"/>
          <w:sz w:val="36"/>
          <w:szCs w:val="36"/>
        </w:rPr>
      </w:pPr>
    </w:p>
    <w:sectPr>
      <w:headerReference r:id="rId5" w:type="default"/>
      <w:footerReference r:id="rId6" w:type="default"/>
      <w:pgSz w:w="11906" w:h="16838"/>
      <w:pgMar w:top="2211" w:right="1531" w:bottom="1871" w:left="1531" w:header="0" w:footer="1474" w:gutter="0"/>
      <w:cols w:space="0" w:num="1"/>
      <w:docGrid w:type="lines" w:linePitch="33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微软简标宋">
    <w:panose1 w:val="00000000000000000000"/>
    <w:charset w:val="86"/>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微软简标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创艺简宋体">
    <w:panose1 w:val="00000000000000000000"/>
    <w:charset w:val="00"/>
    <w:family w:val="auto"/>
    <w:pitch w:val="default"/>
    <w:sig w:usb0="00000000" w:usb1="00000000" w:usb2="00000000" w:usb3="00000000" w:csb0="00000000" w:csb1="00000000"/>
  </w:font>
  <w:font w:name="华文新魏">
    <w:panose1 w:val="02010800040101010101"/>
    <w:charset w:val="86"/>
    <w:family w:val="auto"/>
    <w:pitch w:val="default"/>
    <w:sig w:usb0="00000001" w:usb1="080F0000" w:usb2="00000000" w:usb3="00000000" w:csb0="00040000" w:csb1="00000000"/>
  </w:font>
  <w:font w:name="微软雅黑">
    <w:panose1 w:val="020B0503020204020204"/>
    <w:charset w:val="86"/>
    <w:family w:val="auto"/>
    <w:pitch w:val="default"/>
    <w:sig w:usb0="80000287" w:usb1="28CF3C52" w:usb2="00000016" w:usb3="00000000" w:csb0="0004001F" w:csb1="00000000"/>
  </w:font>
  <w:font w:name="方正仿宋简体">
    <w:panose1 w:val="02010601030101010101"/>
    <w:charset w:val="86"/>
    <w:family w:val="auto"/>
    <w:pitch w:val="default"/>
    <w:sig w:usb0="00000001" w:usb1="080E0000" w:usb2="00000000" w:usb3="00000000" w:csb0="00040000" w:csb1="00000000"/>
  </w:font>
  <w:font w:name="方正大标宋简体">
    <w:panose1 w:val="02010601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粗黑宋简体">
    <w:panose1 w:val="02000000000000000000"/>
    <w:charset w:val="86"/>
    <w:family w:val="auto"/>
    <w:pitch w:val="default"/>
    <w:sig w:usb0="A00002BF" w:usb1="184F6CFA" w:usb2="00000012" w:usb3="00000000" w:csb0="00040001" w:csb1="00000000"/>
  </w:font>
  <w:font w:name="方正美黑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rPr>
                              <w:lang w:eastAsia="zh-CN"/>
                            </w:rPr>
                          </w:pPr>
                          <w:r>
                            <w:rPr>
                              <w:rFonts w:hint="eastAsia"/>
                              <w:sz w:val="30"/>
                              <w:szCs w:val="30"/>
                              <w:lang w:eastAsia="zh-CN"/>
                            </w:rPr>
                            <w:fldChar w:fldCharType="begin"/>
                          </w:r>
                          <w:r>
                            <w:rPr>
                              <w:rFonts w:hint="eastAsia"/>
                              <w:sz w:val="30"/>
                              <w:szCs w:val="30"/>
                              <w:lang w:eastAsia="zh-CN"/>
                            </w:rPr>
                            <w:instrText xml:space="preserve"> PAGE  \* MERGEFORMAT </w:instrText>
                          </w:r>
                          <w:r>
                            <w:rPr>
                              <w:rFonts w:hint="eastAsia"/>
                              <w:sz w:val="30"/>
                              <w:szCs w:val="30"/>
                              <w:lang w:eastAsia="zh-CN"/>
                            </w:rPr>
                            <w:fldChar w:fldCharType="separate"/>
                          </w:r>
                          <w:r>
                            <w:rPr>
                              <w:sz w:val="30"/>
                              <w:szCs w:val="30"/>
                              <w:lang w:eastAsia="zh-CN"/>
                            </w:rPr>
                            <w:t>1</w:t>
                          </w:r>
                          <w:r>
                            <w:rPr>
                              <w:rFonts w:hint="eastAsia"/>
                              <w:sz w:val="30"/>
                              <w:szCs w:val="30"/>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fill on="f" focussize="0,0"/>
              <v:stroke on="f" weight="0.5pt"/>
              <v:imagedata o:title=""/>
              <o:lock v:ext="edit" aspectratio="f"/>
              <v:textbox inset="0mm,0mm,0mm,0mm" style="mso-fit-shape-to-text:t;">
                <w:txbxContent>
                  <w:p>
                    <w:pPr>
                      <w:pStyle w:val="3"/>
                      <w:rPr>
                        <w:lang w:eastAsia="zh-CN"/>
                      </w:rPr>
                    </w:pPr>
                    <w:r>
                      <w:rPr>
                        <w:rFonts w:hint="eastAsia"/>
                        <w:sz w:val="30"/>
                        <w:szCs w:val="30"/>
                        <w:lang w:eastAsia="zh-CN"/>
                      </w:rPr>
                      <w:fldChar w:fldCharType="begin"/>
                    </w:r>
                    <w:r>
                      <w:rPr>
                        <w:rFonts w:hint="eastAsia"/>
                        <w:sz w:val="30"/>
                        <w:szCs w:val="30"/>
                        <w:lang w:eastAsia="zh-CN"/>
                      </w:rPr>
                      <w:instrText xml:space="preserve"> PAGE  \* MERGEFORMAT </w:instrText>
                    </w:r>
                    <w:r>
                      <w:rPr>
                        <w:rFonts w:hint="eastAsia"/>
                        <w:sz w:val="30"/>
                        <w:szCs w:val="30"/>
                        <w:lang w:eastAsia="zh-CN"/>
                      </w:rPr>
                      <w:fldChar w:fldCharType="separate"/>
                    </w:r>
                    <w:r>
                      <w:rPr>
                        <w:sz w:val="30"/>
                        <w:szCs w:val="30"/>
                        <w:lang w:eastAsia="zh-CN"/>
                      </w:rPr>
                      <w:t>1</w:t>
                    </w:r>
                    <w:r>
                      <w:rPr>
                        <w:rFonts w:hint="eastAsia"/>
                        <w:sz w:val="30"/>
                        <w:szCs w:val="30"/>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BE8184"/>
    <w:multiLevelType w:val="singleLevel"/>
    <w:tmpl w:val="5EBE8184"/>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66"/>
  <w:noPunctuationKerning w:val="1"/>
  <w:characterSpacingControl w:val="compressPunctuation"/>
  <w:hdr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0367D4"/>
    <w:rsid w:val="000A3E71"/>
    <w:rsid w:val="000F3DD5"/>
    <w:rsid w:val="00104B8C"/>
    <w:rsid w:val="00157BE9"/>
    <w:rsid w:val="00174521"/>
    <w:rsid w:val="001873BB"/>
    <w:rsid w:val="001B4B6E"/>
    <w:rsid w:val="00222634"/>
    <w:rsid w:val="0022279D"/>
    <w:rsid w:val="00253D72"/>
    <w:rsid w:val="00291BCE"/>
    <w:rsid w:val="002D1DA1"/>
    <w:rsid w:val="002D3D13"/>
    <w:rsid w:val="003D5A22"/>
    <w:rsid w:val="003E0544"/>
    <w:rsid w:val="00414C20"/>
    <w:rsid w:val="00414CE6"/>
    <w:rsid w:val="00421F40"/>
    <w:rsid w:val="00441DF5"/>
    <w:rsid w:val="00476378"/>
    <w:rsid w:val="00494AF9"/>
    <w:rsid w:val="004D2959"/>
    <w:rsid w:val="00524C94"/>
    <w:rsid w:val="00562FED"/>
    <w:rsid w:val="00582872"/>
    <w:rsid w:val="00587439"/>
    <w:rsid w:val="005D50AC"/>
    <w:rsid w:val="005D76DD"/>
    <w:rsid w:val="005F2501"/>
    <w:rsid w:val="00600D96"/>
    <w:rsid w:val="00602FF5"/>
    <w:rsid w:val="00651176"/>
    <w:rsid w:val="00715ACA"/>
    <w:rsid w:val="007164DC"/>
    <w:rsid w:val="00721C2E"/>
    <w:rsid w:val="007474B4"/>
    <w:rsid w:val="00792911"/>
    <w:rsid w:val="007D7781"/>
    <w:rsid w:val="00804B75"/>
    <w:rsid w:val="00830FEE"/>
    <w:rsid w:val="00846C7C"/>
    <w:rsid w:val="008C52DD"/>
    <w:rsid w:val="008F29DE"/>
    <w:rsid w:val="008F6DC4"/>
    <w:rsid w:val="009042A9"/>
    <w:rsid w:val="009176FF"/>
    <w:rsid w:val="0093657A"/>
    <w:rsid w:val="00954F15"/>
    <w:rsid w:val="00973482"/>
    <w:rsid w:val="009B7068"/>
    <w:rsid w:val="009D3E52"/>
    <w:rsid w:val="009F1AEE"/>
    <w:rsid w:val="009F207E"/>
    <w:rsid w:val="00A45A67"/>
    <w:rsid w:val="00A5505C"/>
    <w:rsid w:val="00AD5819"/>
    <w:rsid w:val="00AD751A"/>
    <w:rsid w:val="00B16966"/>
    <w:rsid w:val="00B27116"/>
    <w:rsid w:val="00B35E8D"/>
    <w:rsid w:val="00B46ADC"/>
    <w:rsid w:val="00B72C1B"/>
    <w:rsid w:val="00B744B7"/>
    <w:rsid w:val="00C111E9"/>
    <w:rsid w:val="00C12F15"/>
    <w:rsid w:val="00C16FB2"/>
    <w:rsid w:val="00C243A1"/>
    <w:rsid w:val="00C36A52"/>
    <w:rsid w:val="00C7522B"/>
    <w:rsid w:val="00C778D6"/>
    <w:rsid w:val="00C838C5"/>
    <w:rsid w:val="00C91D5A"/>
    <w:rsid w:val="00D14B29"/>
    <w:rsid w:val="00DE52C1"/>
    <w:rsid w:val="00ED278A"/>
    <w:rsid w:val="00F90179"/>
    <w:rsid w:val="00FE4C70"/>
    <w:rsid w:val="0204586B"/>
    <w:rsid w:val="02175B47"/>
    <w:rsid w:val="02B916EE"/>
    <w:rsid w:val="03264C51"/>
    <w:rsid w:val="03BE43FF"/>
    <w:rsid w:val="04006DB7"/>
    <w:rsid w:val="04675C09"/>
    <w:rsid w:val="07A9646F"/>
    <w:rsid w:val="0AA36DBF"/>
    <w:rsid w:val="0C8F50C0"/>
    <w:rsid w:val="0CF00D50"/>
    <w:rsid w:val="0D853FCC"/>
    <w:rsid w:val="0DEC3291"/>
    <w:rsid w:val="0F0022E1"/>
    <w:rsid w:val="0FAF6B89"/>
    <w:rsid w:val="0FF14E09"/>
    <w:rsid w:val="158F2BB4"/>
    <w:rsid w:val="16D4363C"/>
    <w:rsid w:val="1776474F"/>
    <w:rsid w:val="1779793D"/>
    <w:rsid w:val="180D1BDF"/>
    <w:rsid w:val="1A7B18BB"/>
    <w:rsid w:val="1B0D5AB1"/>
    <w:rsid w:val="1B240FDB"/>
    <w:rsid w:val="1CDE523A"/>
    <w:rsid w:val="203557A9"/>
    <w:rsid w:val="20BA257D"/>
    <w:rsid w:val="217A285B"/>
    <w:rsid w:val="21D12F06"/>
    <w:rsid w:val="21FF5922"/>
    <w:rsid w:val="22784F3A"/>
    <w:rsid w:val="23363C5D"/>
    <w:rsid w:val="23BE7C19"/>
    <w:rsid w:val="23E92CFD"/>
    <w:rsid w:val="246E33B5"/>
    <w:rsid w:val="25CF1EE1"/>
    <w:rsid w:val="276030D1"/>
    <w:rsid w:val="29186268"/>
    <w:rsid w:val="299638C9"/>
    <w:rsid w:val="29DA54BD"/>
    <w:rsid w:val="2ADB3BC6"/>
    <w:rsid w:val="318A5B6C"/>
    <w:rsid w:val="32634D5A"/>
    <w:rsid w:val="3408295E"/>
    <w:rsid w:val="344967FD"/>
    <w:rsid w:val="348000AA"/>
    <w:rsid w:val="36CB543A"/>
    <w:rsid w:val="392A68BF"/>
    <w:rsid w:val="3B9043F9"/>
    <w:rsid w:val="3C6821CA"/>
    <w:rsid w:val="3CD73050"/>
    <w:rsid w:val="3D8B4269"/>
    <w:rsid w:val="3DA71D1D"/>
    <w:rsid w:val="3DC06AD0"/>
    <w:rsid w:val="3EAC49C6"/>
    <w:rsid w:val="3FC217CF"/>
    <w:rsid w:val="42034777"/>
    <w:rsid w:val="42FD7BE2"/>
    <w:rsid w:val="43A90B4C"/>
    <w:rsid w:val="43B36E38"/>
    <w:rsid w:val="446C23F9"/>
    <w:rsid w:val="44942100"/>
    <w:rsid w:val="460A4D16"/>
    <w:rsid w:val="46781326"/>
    <w:rsid w:val="486E0E79"/>
    <w:rsid w:val="488E2822"/>
    <w:rsid w:val="49017392"/>
    <w:rsid w:val="4A397330"/>
    <w:rsid w:val="4B746879"/>
    <w:rsid w:val="4C0367D4"/>
    <w:rsid w:val="4CE25DC6"/>
    <w:rsid w:val="4D7050DD"/>
    <w:rsid w:val="4EF2322A"/>
    <w:rsid w:val="4F3474BE"/>
    <w:rsid w:val="4F4700ED"/>
    <w:rsid w:val="545677AF"/>
    <w:rsid w:val="55DA1F82"/>
    <w:rsid w:val="57851A27"/>
    <w:rsid w:val="58C511EA"/>
    <w:rsid w:val="59D20FAE"/>
    <w:rsid w:val="5BC311EB"/>
    <w:rsid w:val="6065540A"/>
    <w:rsid w:val="6499409D"/>
    <w:rsid w:val="67DA7D94"/>
    <w:rsid w:val="67F31933"/>
    <w:rsid w:val="692D36CA"/>
    <w:rsid w:val="6AA6406E"/>
    <w:rsid w:val="6B193116"/>
    <w:rsid w:val="6BC62467"/>
    <w:rsid w:val="6C3B67E0"/>
    <w:rsid w:val="6D244E1C"/>
    <w:rsid w:val="6EDF76B9"/>
    <w:rsid w:val="72CC6ECC"/>
    <w:rsid w:val="74537F99"/>
    <w:rsid w:val="7476272A"/>
    <w:rsid w:val="74B05CC1"/>
    <w:rsid w:val="75386776"/>
    <w:rsid w:val="770419AC"/>
    <w:rsid w:val="77C42E79"/>
    <w:rsid w:val="7851628A"/>
    <w:rsid w:val="7AD37DA0"/>
    <w:rsid w:val="7AD4745A"/>
    <w:rsid w:val="7CF4549C"/>
    <w:rsid w:val="7F6C70D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4"/>
      <w:szCs w:val="24"/>
      <w:lang w:val="en-US" w:eastAsia="en-US" w:bidi="ar-SA"/>
    </w:rPr>
  </w:style>
  <w:style w:type="character" w:default="1" w:styleId="6">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ody Text Indent"/>
    <w:basedOn w:val="1"/>
    <w:qFormat/>
    <w:uiPriority w:val="0"/>
    <w:pPr>
      <w:widowControl w:val="0"/>
      <w:ind w:firstLine="425"/>
      <w:jc w:val="both"/>
    </w:pPr>
    <w:rPr>
      <w:rFonts w:eastAsia="楷体_GB2312"/>
      <w:kern w:val="2"/>
      <w:sz w:val="21"/>
      <w:szCs w:val="21"/>
      <w:lang w:eastAsia="zh-CN"/>
    </w:rPr>
  </w:style>
  <w:style w:type="paragraph" w:styleId="3">
    <w:name w:val="footer"/>
    <w:basedOn w:val="1"/>
    <w:qFormat/>
    <w:uiPriority w:val="0"/>
    <w:pPr>
      <w:tabs>
        <w:tab w:val="center" w:pos="4153"/>
        <w:tab w:val="right" w:pos="8306"/>
      </w:tabs>
      <w:snapToGrid w:val="0"/>
    </w:pPr>
    <w:rPr>
      <w:sz w:val="18"/>
    </w:rPr>
  </w:style>
  <w:style w:type="paragraph" w:styleId="4">
    <w:name w:val="header"/>
    <w:basedOn w:val="1"/>
    <w:unhideWhenUsed/>
    <w:qFormat/>
    <w:uiPriority w:val="99"/>
    <w:pPr>
      <w:widowControl w:val="0"/>
      <w:pBdr>
        <w:bottom w:val="single" w:color="auto" w:sz="6" w:space="1"/>
      </w:pBdr>
      <w:tabs>
        <w:tab w:val="center" w:pos="4153"/>
        <w:tab w:val="right" w:pos="8306"/>
      </w:tabs>
      <w:snapToGrid w:val="0"/>
      <w:jc w:val="center"/>
    </w:pPr>
    <w:rPr>
      <w:rFonts w:asciiTheme="minorHAnsi" w:hAnsiTheme="minorHAnsi" w:eastAsiaTheme="minorEastAsia" w:cstheme="minorBidi"/>
      <w:kern w:val="2"/>
      <w:sz w:val="18"/>
      <w:szCs w:val="18"/>
      <w:lang w:eastAsia="zh-CN"/>
    </w:rPr>
  </w:style>
  <w:style w:type="paragraph" w:styleId="5">
    <w:name w:val="Normal (Web)"/>
    <w:basedOn w:val="1"/>
    <w:unhideWhenUsed/>
    <w:qFormat/>
    <w:uiPriority w:val="99"/>
    <w:pPr>
      <w:spacing w:before="100" w:beforeAutospacing="1" w:after="100" w:afterAutospacing="1"/>
    </w:pPr>
    <w:rPr>
      <w:rFonts w:ascii="宋体" w:hAnsi="宋体" w:cs="宋体"/>
      <w:lang w:eastAsia="zh-CN"/>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9">
    <w:name w:val="合同前言"/>
    <w:basedOn w:val="1"/>
    <w:qFormat/>
    <w:uiPriority w:val="0"/>
    <w:pPr>
      <w:widowControl w:val="0"/>
      <w:spacing w:line="280" w:lineRule="exact"/>
      <w:ind w:firstLine="420" w:firstLineChars="200"/>
      <w:jc w:val="both"/>
    </w:pPr>
    <w:rPr>
      <w:kern w:val="2"/>
      <w:sz w:val="21"/>
      <w:szCs w:val="21"/>
      <w:lang w:eastAsia="zh-CN"/>
    </w:rPr>
  </w:style>
  <w:style w:type="paragraph" w:customStyle="1" w:styleId="10">
    <w:name w:val="列出段落1"/>
    <w:basedOn w:val="1"/>
    <w:qFormat/>
    <w:uiPriority w:val="34"/>
    <w:pPr>
      <w:ind w:firstLine="420" w:firstLineChars="200"/>
    </w:pPr>
  </w:style>
  <w:style w:type="character" w:customStyle="1" w:styleId="11">
    <w:name w:val="font01"/>
    <w:basedOn w:val="6"/>
    <w:qFormat/>
    <w:uiPriority w:val="0"/>
    <w:rPr>
      <w:rFonts w:hint="eastAsia" w:ascii="宋体" w:hAnsi="宋体" w:eastAsia="宋体" w:cs="宋体"/>
      <w:b/>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434</Words>
  <Characters>2477</Characters>
  <Lines>20</Lines>
  <Paragraphs>5</Paragraphs>
  <TotalTime>7</TotalTime>
  <ScaleCrop>false</ScaleCrop>
  <LinksUpToDate>false</LinksUpToDate>
  <CharactersWithSpaces>2906</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2020-06-10T10:46:00Z</dcterms:created>
  <dc:creator>李小松</dc:creator>
  <cp:lastModifiedBy>Admin</cp:lastModifiedBy>
  <cp:lastPrinted>2020-06-11T01:35:00Z</cp:lastPrinted>
  <dcterms:modified xsi:type="dcterms:W3CDTF">2020-06-11T02:41:07Z</dcterms:modified>
  <dc:title>关于支持服务业复工复产和平稳运行的</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