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中山市</w:t>
      </w:r>
      <w:r>
        <w:rPr>
          <w:rFonts w:hint="eastAsia" w:ascii="方正小标宋简体" w:hAnsi="方正小标宋简体" w:eastAsia="方正小标宋简体" w:cs="方正小标宋简体"/>
          <w:color w:val="auto"/>
          <w:sz w:val="44"/>
          <w:szCs w:val="44"/>
          <w:lang w:eastAsia="zh-CN"/>
        </w:rPr>
        <w:t>公共资源交易中心</w:t>
      </w:r>
      <w:r>
        <w:rPr>
          <w:rFonts w:hint="eastAsia" w:ascii="方正小标宋简体" w:hAnsi="方正小标宋简体" w:eastAsia="方正小标宋简体" w:cs="方正小标宋简体"/>
          <w:color w:val="auto"/>
          <w:sz w:val="44"/>
          <w:szCs w:val="44"/>
        </w:rPr>
        <w:t>建设用地使用权与</w:t>
      </w:r>
    </w:p>
    <w:p>
      <w:pPr>
        <w:spacing w:line="600" w:lineRule="exact"/>
        <w:jc w:val="center"/>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rPr>
        <w:t>矿业权公开上网竞价</w:t>
      </w:r>
      <w:r>
        <w:rPr>
          <w:rFonts w:hint="eastAsia" w:ascii="方正小标宋简体" w:hAnsi="方正小标宋简体" w:eastAsia="方正小标宋简体" w:cs="方正小标宋简体"/>
          <w:color w:val="auto"/>
          <w:sz w:val="44"/>
          <w:szCs w:val="44"/>
          <w:lang w:eastAsia="zh-CN"/>
        </w:rPr>
        <w:t>（不设最高限价）</w:t>
      </w:r>
    </w:p>
    <w:p>
      <w:pPr>
        <w:spacing w:line="600" w:lineRule="exact"/>
        <w:jc w:val="center"/>
        <w:rPr>
          <w:rFonts w:hint="eastAsia" w:ascii="仿宋_GB2312" w:hAnsi="仿宋_GB2312" w:eastAsia="方正小标宋简体" w:cs="仿宋_GB2312"/>
          <w:color w:val="auto"/>
          <w:sz w:val="32"/>
          <w:szCs w:val="32"/>
          <w:lang w:eastAsia="zh-CN"/>
        </w:rPr>
      </w:pPr>
      <w:r>
        <w:rPr>
          <w:rFonts w:hint="eastAsia" w:ascii="方正小标宋简体" w:hAnsi="方正小标宋简体" w:eastAsia="方正小标宋简体" w:cs="方正小标宋简体"/>
          <w:color w:val="auto"/>
          <w:sz w:val="44"/>
          <w:szCs w:val="44"/>
          <w:lang w:eastAsia="zh-CN"/>
        </w:rPr>
        <w:t>实施</w:t>
      </w:r>
      <w:r>
        <w:rPr>
          <w:rFonts w:hint="eastAsia" w:ascii="方正小标宋简体" w:hAnsi="方正小标宋简体" w:eastAsia="方正小标宋简体" w:cs="方正小标宋简体"/>
          <w:color w:val="auto"/>
          <w:sz w:val="44"/>
          <w:szCs w:val="44"/>
        </w:rPr>
        <w:t>细则</w:t>
      </w:r>
      <w:r>
        <w:rPr>
          <w:rFonts w:hint="eastAsia" w:ascii="方正小标宋简体" w:hAnsi="方正小标宋简体" w:eastAsia="方正小标宋简体" w:cs="方正小标宋简体"/>
          <w:color w:val="auto"/>
          <w:sz w:val="44"/>
          <w:szCs w:val="44"/>
          <w:lang w:eastAsia="zh-CN"/>
        </w:rPr>
        <w:t>（</w:t>
      </w:r>
      <w:r>
        <w:rPr>
          <w:rFonts w:hint="eastAsia" w:ascii="方正小标宋简体" w:hAnsi="方正小标宋简体" w:eastAsia="方正小标宋简体" w:cs="方正小标宋简体"/>
          <w:color w:val="auto"/>
          <w:sz w:val="44"/>
          <w:szCs w:val="44"/>
          <w:lang w:val="en-US" w:eastAsia="zh-CN"/>
        </w:rPr>
        <w:t>征求意见稿</w:t>
      </w:r>
      <w:r>
        <w:rPr>
          <w:rFonts w:hint="eastAsia" w:ascii="方正小标宋简体" w:hAnsi="方正小标宋简体" w:eastAsia="方正小标宋简体" w:cs="方正小标宋简体"/>
          <w:color w:val="auto"/>
          <w:sz w:val="44"/>
          <w:szCs w:val="44"/>
          <w:lang w:eastAsia="zh-CN"/>
        </w:rPr>
        <w:t>）</w:t>
      </w:r>
    </w:p>
    <w:p>
      <w:pPr>
        <w:pStyle w:val="5"/>
        <w:widowControl w:val="0"/>
        <w:topLinePunct/>
        <w:snapToGrid w:val="0"/>
        <w:spacing w:before="0" w:beforeAutospacing="0" w:after="0" w:afterAutospacing="0" w:line="574" w:lineRule="exact"/>
        <w:jc w:val="center"/>
        <w:textAlignment w:val="center"/>
        <w:rPr>
          <w:rFonts w:hint="eastAsia" w:ascii="黑体" w:eastAsia="黑体"/>
          <w:color w:val="auto"/>
          <w:sz w:val="32"/>
        </w:rPr>
      </w:pPr>
    </w:p>
    <w:p>
      <w:pPr>
        <w:pStyle w:val="5"/>
        <w:widowControl w:val="0"/>
        <w:topLinePunct/>
        <w:snapToGrid w:val="0"/>
        <w:spacing w:before="0" w:beforeAutospacing="0" w:after="0" w:afterAutospacing="0" w:line="574" w:lineRule="exact"/>
        <w:jc w:val="center"/>
        <w:textAlignment w:val="center"/>
        <w:rPr>
          <w:rFonts w:hint="eastAsia" w:ascii="仿宋_GB2312" w:hAnsi="Times New Roman" w:eastAsia="仿宋_GB2312"/>
          <w:color w:val="auto"/>
          <w:kern w:val="2"/>
          <w:sz w:val="32"/>
        </w:rPr>
      </w:pPr>
      <w:r>
        <w:rPr>
          <w:rFonts w:hint="eastAsia" w:ascii="黑体" w:eastAsia="黑体"/>
          <w:color w:val="auto"/>
          <w:sz w:val="32"/>
        </w:rPr>
        <w:t>第一章    总  则</w:t>
      </w:r>
    </w:p>
    <w:p>
      <w:pPr>
        <w:pStyle w:val="5"/>
        <w:widowControl w:val="0"/>
        <w:topLinePunct/>
        <w:snapToGrid w:val="0"/>
        <w:spacing w:before="0" w:beforeAutospacing="0" w:after="0" w:afterAutospacing="0" w:line="574" w:lineRule="exact"/>
        <w:ind w:firstLine="640" w:firstLineChars="200"/>
        <w:jc w:val="both"/>
        <w:textAlignment w:val="center"/>
        <w:rPr>
          <w:rFonts w:hint="eastAsia" w:ascii="仿宋_GB2312" w:eastAsia="仿宋_GB2312"/>
          <w:color w:val="auto"/>
          <w:sz w:val="32"/>
        </w:rPr>
      </w:pPr>
      <w:r>
        <w:rPr>
          <w:rFonts w:hint="eastAsia" w:ascii="黑体" w:eastAsia="黑体"/>
          <w:color w:val="auto"/>
          <w:sz w:val="32"/>
        </w:rPr>
        <w:t>第一条</w:t>
      </w:r>
      <w:r>
        <w:rPr>
          <w:rFonts w:hint="eastAsia" w:ascii="仿宋_GB2312" w:eastAsia="仿宋_GB2312"/>
          <w:color w:val="auto"/>
          <w:sz w:val="32"/>
        </w:rPr>
        <w:t>　为规范中山市建设用地使用权</w:t>
      </w:r>
      <w:bookmarkStart w:id="0" w:name="_GoBack"/>
      <w:bookmarkEnd w:id="0"/>
      <w:r>
        <w:rPr>
          <w:rFonts w:hint="eastAsia" w:ascii="仿宋_GB2312" w:eastAsia="仿宋_GB2312"/>
          <w:color w:val="auto"/>
          <w:sz w:val="32"/>
        </w:rPr>
        <w:t>与矿业权公开上网竞价行为，维护公开、公平、公正的建设用地使用权与矿业权交易秩序，根据《中华人民共和国土地管理法》《中华人民共和国电子签名法》《公共资源交易平台管理暂行办法》《招标拍卖挂牌出让国有建设用地使用权规定》《广东省土地使用权交易市场管理规定》《中山市土地使用权公开交易管理办法》《中山市公共资源交易监督管理暂行办法》《中山市公共资源交易项目目录（第一批）》</w:t>
      </w:r>
      <w:r>
        <w:rPr>
          <w:rFonts w:hint="eastAsia" w:ascii="仿宋_GB2312" w:hAnsi="宋体" w:eastAsia="仿宋_GB2312"/>
          <w:color w:val="auto"/>
          <w:sz w:val="32"/>
          <w:szCs w:val="32"/>
        </w:rPr>
        <w:t>等有关法律、法规、规章及规范性文件的规定，</w:t>
      </w:r>
      <w:r>
        <w:rPr>
          <w:rFonts w:hint="eastAsia" w:ascii="仿宋_GB2312" w:eastAsia="仿宋_GB2312"/>
          <w:color w:val="auto"/>
          <w:sz w:val="32"/>
        </w:rPr>
        <w:t>结合我市实际，制定本</w:t>
      </w:r>
      <w:r>
        <w:rPr>
          <w:rFonts w:hint="eastAsia" w:ascii="仿宋_GB2312" w:eastAsia="仿宋_GB2312"/>
          <w:color w:val="auto"/>
          <w:sz w:val="32"/>
          <w:lang w:eastAsia="zh-CN"/>
        </w:rPr>
        <w:t>实施</w:t>
      </w:r>
      <w:r>
        <w:rPr>
          <w:rFonts w:hint="eastAsia" w:ascii="仿宋_GB2312" w:eastAsia="仿宋_GB2312"/>
          <w:color w:val="auto"/>
          <w:sz w:val="32"/>
        </w:rPr>
        <w:t>细则。</w:t>
      </w:r>
    </w:p>
    <w:p>
      <w:pPr>
        <w:pStyle w:val="5"/>
        <w:widowControl w:val="0"/>
        <w:topLinePunct/>
        <w:snapToGrid w:val="0"/>
        <w:spacing w:before="0" w:beforeAutospacing="0" w:after="0" w:afterAutospacing="0" w:line="574" w:lineRule="exact"/>
        <w:ind w:firstLine="640" w:firstLineChars="200"/>
        <w:jc w:val="both"/>
        <w:textAlignment w:val="center"/>
        <w:rPr>
          <w:rFonts w:hint="eastAsia" w:ascii="仿宋_GB2312" w:eastAsia="仿宋_GB2312"/>
          <w:color w:val="auto"/>
          <w:sz w:val="32"/>
        </w:rPr>
      </w:pPr>
      <w:r>
        <w:rPr>
          <w:rFonts w:hint="eastAsia" w:ascii="黑体" w:eastAsia="黑体"/>
          <w:color w:val="auto"/>
          <w:sz w:val="32"/>
        </w:rPr>
        <w:t>第二条</w:t>
      </w:r>
      <w:r>
        <w:rPr>
          <w:rFonts w:hint="eastAsia" w:ascii="仿宋_GB2312" w:eastAsia="仿宋_GB2312"/>
          <w:color w:val="auto"/>
          <w:sz w:val="32"/>
        </w:rPr>
        <w:t xml:space="preserve">  </w:t>
      </w:r>
      <w:r>
        <w:rPr>
          <w:rFonts w:hint="eastAsia" w:ascii="仿宋_GB2312" w:eastAsia="仿宋_GB2312"/>
          <w:color w:val="auto"/>
          <w:sz w:val="32"/>
          <w:lang w:eastAsia="zh-CN"/>
        </w:rPr>
        <w:t>在中山市</w:t>
      </w:r>
      <w:r>
        <w:rPr>
          <w:rFonts w:hint="eastAsia" w:ascii="仿宋_GB2312" w:eastAsia="仿宋_GB2312"/>
          <w:color w:val="auto"/>
          <w:sz w:val="32"/>
        </w:rPr>
        <w:t>以公开上网竞价</w:t>
      </w:r>
      <w:r>
        <w:rPr>
          <w:rFonts w:hint="eastAsia" w:ascii="仿宋_GB2312" w:eastAsia="仿宋_GB2312"/>
          <w:color w:val="auto"/>
          <w:sz w:val="32"/>
          <w:lang w:eastAsia="zh-CN"/>
        </w:rPr>
        <w:t>方式</w:t>
      </w:r>
      <w:r>
        <w:rPr>
          <w:rFonts w:hint="eastAsia" w:ascii="仿宋_GB2312" w:eastAsia="仿宋_GB2312"/>
          <w:color w:val="auto"/>
          <w:sz w:val="32"/>
        </w:rPr>
        <w:t>出让或转让</w:t>
      </w:r>
      <w:r>
        <w:rPr>
          <w:rFonts w:hint="eastAsia" w:ascii="仿宋_GB2312" w:eastAsia="仿宋_GB2312"/>
          <w:color w:val="auto"/>
          <w:sz w:val="32"/>
          <w:lang w:eastAsia="zh-CN"/>
        </w:rPr>
        <w:t>不设最高限价的</w:t>
      </w:r>
      <w:r>
        <w:rPr>
          <w:rFonts w:hint="eastAsia" w:ascii="仿宋_GB2312" w:eastAsia="仿宋_GB2312"/>
          <w:color w:val="auto"/>
          <w:sz w:val="32"/>
        </w:rPr>
        <w:t>建设用地使用权与矿业权的，适用本</w:t>
      </w:r>
      <w:r>
        <w:rPr>
          <w:rFonts w:hint="eastAsia" w:ascii="仿宋_GB2312" w:eastAsia="仿宋_GB2312"/>
          <w:color w:val="auto"/>
          <w:sz w:val="32"/>
          <w:lang w:eastAsia="zh-CN"/>
        </w:rPr>
        <w:t>实施</w:t>
      </w:r>
      <w:r>
        <w:rPr>
          <w:rFonts w:hint="eastAsia" w:ascii="仿宋_GB2312" w:eastAsia="仿宋_GB2312"/>
          <w:color w:val="auto"/>
          <w:sz w:val="32"/>
        </w:rPr>
        <w:t>细则。</w:t>
      </w:r>
    </w:p>
    <w:p>
      <w:pPr>
        <w:pStyle w:val="5"/>
        <w:widowControl w:val="0"/>
        <w:topLinePunct/>
        <w:snapToGrid w:val="0"/>
        <w:spacing w:before="0" w:beforeAutospacing="0" w:after="0" w:afterAutospacing="0" w:line="574" w:lineRule="exact"/>
        <w:ind w:firstLine="640" w:firstLineChars="200"/>
        <w:jc w:val="both"/>
        <w:textAlignment w:val="center"/>
        <w:rPr>
          <w:rFonts w:hint="eastAsia" w:ascii="仿宋_GB2312" w:eastAsia="仿宋_GB2312"/>
          <w:color w:val="auto"/>
          <w:sz w:val="32"/>
        </w:rPr>
      </w:pPr>
      <w:r>
        <w:rPr>
          <w:rFonts w:hint="eastAsia" w:ascii="黑体" w:eastAsia="黑体"/>
          <w:color w:val="auto"/>
          <w:sz w:val="32"/>
        </w:rPr>
        <w:t>第三条</w:t>
      </w:r>
      <w:r>
        <w:rPr>
          <w:rFonts w:hint="eastAsia" w:ascii="仿宋_GB2312" w:eastAsia="仿宋_GB2312"/>
          <w:color w:val="auto"/>
          <w:sz w:val="32"/>
        </w:rPr>
        <w:t>　本</w:t>
      </w:r>
      <w:r>
        <w:rPr>
          <w:rFonts w:hint="eastAsia" w:ascii="仿宋_GB2312" w:eastAsia="仿宋_GB2312"/>
          <w:color w:val="auto"/>
          <w:sz w:val="32"/>
          <w:lang w:eastAsia="zh-CN"/>
        </w:rPr>
        <w:t>实施</w:t>
      </w:r>
      <w:r>
        <w:rPr>
          <w:rFonts w:hint="eastAsia" w:ascii="仿宋_GB2312" w:eastAsia="仿宋_GB2312"/>
          <w:color w:val="auto"/>
          <w:sz w:val="32"/>
        </w:rPr>
        <w:t>细则所称建设用地使用权与矿业权公开上网竞价</w:t>
      </w:r>
      <w:r>
        <w:rPr>
          <w:rFonts w:hint="eastAsia" w:ascii="仿宋_GB2312" w:eastAsia="仿宋_GB2312"/>
          <w:color w:val="auto"/>
          <w:sz w:val="32"/>
          <w:lang w:eastAsia="zh-CN"/>
        </w:rPr>
        <w:t>（不设最高限价）</w:t>
      </w:r>
      <w:r>
        <w:rPr>
          <w:rFonts w:hint="eastAsia" w:ascii="仿宋_GB2312" w:eastAsia="仿宋_GB2312"/>
          <w:color w:val="auto"/>
          <w:sz w:val="32"/>
        </w:rPr>
        <w:t>（以下简称“上网竞价”），是指中山市公共资源交易中心（以下简称“交易中心”）通过中山市公共资源交易网中的土地与矿业权交易系统（以下简称“交易系统”），发布建设用地使用权与矿业权上网竞价公告信息，通过网</w:t>
      </w:r>
      <w:r>
        <w:rPr>
          <w:rFonts w:hint="eastAsia" w:ascii="仿宋_GB2312" w:eastAsia="仿宋_GB2312"/>
          <w:color w:val="auto"/>
          <w:sz w:val="32"/>
          <w:lang w:eastAsia="zh-CN"/>
        </w:rPr>
        <w:t>络</w:t>
      </w:r>
      <w:r>
        <w:rPr>
          <w:rFonts w:hint="eastAsia" w:ascii="仿宋_GB2312" w:eastAsia="仿宋_GB2312"/>
          <w:color w:val="auto"/>
          <w:sz w:val="32"/>
        </w:rPr>
        <w:t>利用交易系统接受竞买人的竞买报价并更新价格，根据网上报价及竞价结果确定竞得人的行为。</w:t>
      </w:r>
    </w:p>
    <w:p>
      <w:pPr>
        <w:pStyle w:val="5"/>
        <w:widowControl w:val="0"/>
        <w:topLinePunct/>
        <w:snapToGrid w:val="0"/>
        <w:spacing w:before="0" w:beforeAutospacing="0" w:after="0" w:afterAutospacing="0" w:line="574" w:lineRule="exact"/>
        <w:ind w:firstLine="627" w:firstLineChars="196"/>
        <w:jc w:val="both"/>
        <w:textAlignment w:val="center"/>
        <w:rPr>
          <w:rFonts w:hint="eastAsia" w:ascii="仿宋_GB2312" w:eastAsia="仿宋_GB2312"/>
          <w:color w:val="auto"/>
          <w:sz w:val="32"/>
          <w:szCs w:val="32"/>
        </w:rPr>
      </w:pPr>
      <w:r>
        <w:rPr>
          <w:rFonts w:hint="eastAsia" w:ascii="黑体" w:eastAsia="黑体"/>
          <w:color w:val="auto"/>
          <w:sz w:val="32"/>
        </w:rPr>
        <w:t>第四条</w:t>
      </w:r>
      <w:r>
        <w:rPr>
          <w:rFonts w:hint="eastAsia" w:ascii="黑体" w:eastAsia="黑体"/>
          <w:b/>
          <w:color w:val="auto"/>
          <w:sz w:val="32"/>
        </w:rPr>
        <w:t xml:space="preserve">  </w:t>
      </w:r>
      <w:r>
        <w:rPr>
          <w:rFonts w:hint="eastAsia" w:ascii="仿宋_GB2312" w:eastAsia="仿宋_GB2312"/>
          <w:color w:val="auto"/>
          <w:sz w:val="32"/>
        </w:rPr>
        <w:t>交易中心</w:t>
      </w:r>
      <w:r>
        <w:rPr>
          <w:rFonts w:hint="eastAsia" w:ascii="仿宋_GB2312" w:eastAsia="仿宋_GB2312"/>
          <w:color w:val="auto"/>
          <w:sz w:val="32"/>
          <w:lang w:eastAsia="zh-CN"/>
        </w:rPr>
        <w:t>是中山市</w:t>
      </w:r>
      <w:r>
        <w:rPr>
          <w:rFonts w:hint="eastAsia" w:ascii="仿宋_GB2312" w:eastAsia="仿宋_GB2312"/>
          <w:color w:val="auto"/>
          <w:sz w:val="32"/>
        </w:rPr>
        <w:t>公共资源交易平台</w:t>
      </w:r>
      <w:r>
        <w:rPr>
          <w:rFonts w:hint="eastAsia" w:ascii="仿宋_GB2312" w:eastAsia="仿宋_GB2312"/>
          <w:color w:val="auto"/>
          <w:sz w:val="32"/>
          <w:lang w:eastAsia="zh-CN"/>
        </w:rPr>
        <w:t>的</w:t>
      </w:r>
      <w:r>
        <w:rPr>
          <w:rFonts w:hint="eastAsia" w:ascii="仿宋_GB2312" w:eastAsia="仿宋_GB2312"/>
          <w:color w:val="auto"/>
          <w:sz w:val="32"/>
        </w:rPr>
        <w:t>运行服务机构</w:t>
      </w:r>
      <w:r>
        <w:rPr>
          <w:rFonts w:hint="eastAsia" w:ascii="仿宋_GB2312" w:eastAsia="仿宋_GB2312"/>
          <w:color w:val="auto"/>
          <w:sz w:val="32"/>
          <w:lang w:eastAsia="zh-CN"/>
        </w:rPr>
        <w:t>，</w:t>
      </w:r>
      <w:r>
        <w:rPr>
          <w:rFonts w:hint="eastAsia" w:ascii="仿宋_GB2312" w:eastAsia="仿宋_GB2312"/>
          <w:color w:val="auto"/>
          <w:sz w:val="32"/>
        </w:rPr>
        <w:t>上网竞价</w:t>
      </w:r>
      <w:r>
        <w:rPr>
          <w:rFonts w:hint="eastAsia" w:ascii="仿宋_GB2312" w:eastAsia="仿宋_GB2312"/>
          <w:strike w:val="0"/>
          <w:dstrike w:val="0"/>
          <w:color w:val="auto"/>
          <w:sz w:val="32"/>
        </w:rPr>
        <w:t>由交易中心</w:t>
      </w:r>
      <w:r>
        <w:rPr>
          <w:rFonts w:hint="eastAsia" w:ascii="仿宋_GB2312" w:eastAsia="仿宋_GB2312"/>
          <w:color w:val="auto"/>
          <w:sz w:val="32"/>
        </w:rPr>
        <w:t>组织实施，并</w:t>
      </w:r>
      <w:r>
        <w:rPr>
          <w:rFonts w:hint="eastAsia" w:ascii="仿宋_GB2312" w:eastAsia="仿宋_GB2312"/>
          <w:color w:val="auto"/>
          <w:sz w:val="32"/>
          <w:szCs w:val="32"/>
        </w:rPr>
        <w:t>负责维护交易系统的正常运行和日常管理。中山市</w:t>
      </w:r>
      <w:r>
        <w:rPr>
          <w:rFonts w:hint="eastAsia" w:ascii="仿宋_GB2312" w:hAnsi="仿宋_GB2312" w:eastAsia="仿宋_GB2312" w:cs="仿宋_GB2312"/>
          <w:strike w:val="0"/>
          <w:dstrike w:val="0"/>
          <w:color w:val="auto"/>
          <w:sz w:val="32"/>
          <w:szCs w:val="32"/>
          <w:lang w:eastAsia="zh-CN"/>
        </w:rPr>
        <w:t>自然资源局</w:t>
      </w:r>
      <w:r>
        <w:rPr>
          <w:rFonts w:hint="eastAsia" w:ascii="仿宋_GB2312" w:eastAsia="仿宋_GB2312"/>
          <w:color w:val="auto"/>
          <w:sz w:val="32"/>
          <w:szCs w:val="32"/>
        </w:rPr>
        <w:t>对上网竞价活动进行业务指导及监督管理。</w:t>
      </w:r>
    </w:p>
    <w:p>
      <w:pPr>
        <w:pStyle w:val="5"/>
        <w:widowControl w:val="0"/>
        <w:topLinePunct/>
        <w:snapToGrid w:val="0"/>
        <w:spacing w:before="0" w:beforeLines="0" w:beforeAutospacing="0" w:after="0" w:afterLines="0" w:afterAutospacing="0" w:line="574" w:lineRule="exact"/>
        <w:ind w:firstLine="640" w:firstLineChars="200"/>
        <w:jc w:val="both"/>
        <w:textAlignment w:val="center"/>
        <w:rPr>
          <w:rFonts w:hint="eastAsia" w:ascii="仿宋_GB2312" w:eastAsia="仿宋_GB2312"/>
          <w:color w:val="auto"/>
          <w:sz w:val="32"/>
        </w:rPr>
      </w:pPr>
      <w:r>
        <w:rPr>
          <w:rFonts w:hint="eastAsia" w:ascii="黑体" w:eastAsia="黑体"/>
          <w:color w:val="auto"/>
          <w:sz w:val="32"/>
        </w:rPr>
        <w:t xml:space="preserve">第五条  </w:t>
      </w:r>
      <w:r>
        <w:rPr>
          <w:rFonts w:hint="eastAsia" w:ascii="仿宋_GB2312" w:eastAsia="仿宋_GB2312"/>
          <w:color w:val="auto"/>
          <w:sz w:val="32"/>
        </w:rPr>
        <w:t>中华人民共和国境内外的法人、自然人和其他组织，除法律、法规另有规定外，可通过交易系统参加建设用地使用权与矿业权公开上网竞价交易活动，具体资格要求以每宗标的的上网竞价</w:t>
      </w:r>
      <w:r>
        <w:rPr>
          <w:rFonts w:hint="eastAsia" w:ascii="仿宋_GB2312" w:eastAsia="仿宋_GB2312"/>
          <w:color w:val="auto"/>
          <w:sz w:val="32"/>
          <w:lang w:eastAsia="zh-CN"/>
        </w:rPr>
        <w:t>交易</w:t>
      </w:r>
      <w:r>
        <w:rPr>
          <w:rFonts w:hint="eastAsia" w:ascii="仿宋_GB2312" w:eastAsia="仿宋_GB2312"/>
          <w:color w:val="auto"/>
          <w:sz w:val="32"/>
        </w:rPr>
        <w:t>文件规定为准。</w:t>
      </w:r>
    </w:p>
    <w:p>
      <w:pPr>
        <w:spacing w:beforeLines="0" w:afterLines="0" w:line="574" w:lineRule="exact"/>
        <w:ind w:firstLine="640" w:firstLineChars="200"/>
        <w:rPr>
          <w:rFonts w:hint="eastAsia"/>
          <w:color w:val="auto"/>
        </w:rPr>
      </w:pPr>
      <w:r>
        <w:rPr>
          <w:rFonts w:hint="eastAsia"/>
          <w:color w:val="auto"/>
        </w:rPr>
        <w:t>符合参加交易活动条件的</w:t>
      </w:r>
      <w:r>
        <w:rPr>
          <w:rFonts w:hint="eastAsia" w:ascii="仿宋_GB2312"/>
          <w:color w:val="auto"/>
        </w:rPr>
        <w:t>法人、自然人和其他组织</w:t>
      </w:r>
      <w:r>
        <w:rPr>
          <w:rFonts w:hint="eastAsia"/>
          <w:color w:val="auto"/>
        </w:rPr>
        <w:t>，以下统一简称“申请人”，申请人获得竞买资格后称为“竞买人”。</w:t>
      </w:r>
    </w:p>
    <w:p>
      <w:pPr>
        <w:pStyle w:val="5"/>
        <w:widowControl w:val="0"/>
        <w:topLinePunct/>
        <w:snapToGrid w:val="0"/>
        <w:spacing w:before="0" w:beforeAutospacing="0" w:after="0" w:afterAutospacing="0" w:line="574" w:lineRule="exact"/>
        <w:ind w:firstLine="640" w:firstLineChars="200"/>
        <w:jc w:val="both"/>
        <w:textAlignment w:val="center"/>
        <w:rPr>
          <w:rFonts w:hint="eastAsia" w:ascii="仿宋_GB2312" w:eastAsia="仿宋_GB2312"/>
          <w:color w:val="auto"/>
          <w:sz w:val="32"/>
        </w:rPr>
      </w:pPr>
      <w:r>
        <w:rPr>
          <w:rFonts w:hint="eastAsia" w:ascii="黑体" w:eastAsia="黑体"/>
          <w:color w:val="auto"/>
          <w:sz w:val="32"/>
        </w:rPr>
        <w:t>第六条</w:t>
      </w:r>
      <w:r>
        <w:rPr>
          <w:rFonts w:hint="eastAsia" w:ascii="仿宋_GB2312" w:eastAsia="仿宋_GB2312"/>
          <w:color w:val="auto"/>
          <w:sz w:val="32"/>
        </w:rPr>
        <w:t xml:space="preserve">  交易系统由软硬件、网上交易CA认证系统、代理银行保证金交纳系统等部分组成，主要实现</w:t>
      </w:r>
      <w:r>
        <w:rPr>
          <w:rFonts w:hint="eastAsia" w:ascii="仿宋_GB2312" w:eastAsia="仿宋_GB2312"/>
          <w:color w:val="auto"/>
          <w:sz w:val="32"/>
          <w:lang w:eastAsia="zh-CN"/>
        </w:rPr>
        <w:t>公告</w:t>
      </w:r>
      <w:r>
        <w:rPr>
          <w:rFonts w:hint="eastAsia" w:ascii="仿宋_GB2312" w:eastAsia="仿宋_GB2312"/>
          <w:color w:val="auto"/>
          <w:sz w:val="32"/>
        </w:rPr>
        <w:t>信息发布、</w:t>
      </w:r>
      <w:r>
        <w:rPr>
          <w:rFonts w:hint="eastAsia" w:ascii="仿宋_GB2312" w:eastAsia="仿宋_GB2312"/>
          <w:color w:val="auto"/>
          <w:sz w:val="32"/>
          <w:lang w:eastAsia="zh-CN"/>
        </w:rPr>
        <w:t>用户登记、</w:t>
      </w:r>
      <w:r>
        <w:rPr>
          <w:rFonts w:hint="eastAsia" w:ascii="仿宋_GB2312" w:eastAsia="仿宋_GB2312"/>
          <w:color w:val="auto"/>
          <w:sz w:val="32"/>
        </w:rPr>
        <w:t>竞买申请、获取保证金账号、网上报价、网上限时竞价、结果公布等功能。</w:t>
      </w:r>
    </w:p>
    <w:p>
      <w:pPr>
        <w:pStyle w:val="5"/>
        <w:widowControl w:val="0"/>
        <w:topLinePunct/>
        <w:snapToGrid w:val="0"/>
        <w:spacing w:before="0" w:beforeAutospacing="0" w:after="0" w:afterAutospacing="0" w:line="574" w:lineRule="exact"/>
        <w:ind w:firstLine="640" w:firstLineChars="200"/>
        <w:jc w:val="both"/>
        <w:textAlignment w:val="center"/>
        <w:rPr>
          <w:rFonts w:hint="eastAsia" w:ascii="仿宋_GB2312" w:eastAsia="仿宋_GB2312"/>
          <w:color w:val="auto"/>
          <w:sz w:val="32"/>
        </w:rPr>
      </w:pPr>
      <w:r>
        <w:rPr>
          <w:rFonts w:hint="eastAsia" w:ascii="黑体" w:eastAsia="黑体"/>
          <w:color w:val="auto"/>
          <w:sz w:val="32"/>
        </w:rPr>
        <w:t>第七条</w:t>
      </w:r>
      <w:r>
        <w:rPr>
          <w:rFonts w:hint="eastAsia" w:ascii="仿宋_GB2312" w:eastAsia="仿宋_GB2312"/>
          <w:color w:val="auto"/>
          <w:sz w:val="32"/>
        </w:rPr>
        <w:t xml:space="preserve">  上网竞价交易</w:t>
      </w:r>
      <w:r>
        <w:rPr>
          <w:rFonts w:hint="eastAsia" w:ascii="仿宋_GB2312" w:eastAsia="仿宋_GB2312"/>
          <w:color w:val="auto"/>
          <w:sz w:val="32"/>
          <w:lang w:eastAsia="zh-CN"/>
        </w:rPr>
        <w:t>活动</w:t>
      </w:r>
      <w:r>
        <w:rPr>
          <w:rFonts w:hint="eastAsia" w:ascii="仿宋_GB2312" w:eastAsia="仿宋_GB2312"/>
          <w:color w:val="auto"/>
          <w:sz w:val="32"/>
        </w:rPr>
        <w:t>应遵循如下程序：</w:t>
      </w:r>
    </w:p>
    <w:p>
      <w:pPr>
        <w:pStyle w:val="5"/>
        <w:widowControl w:val="0"/>
        <w:numPr>
          <w:ilvl w:val="0"/>
          <w:numId w:val="1"/>
        </w:numPr>
        <w:topLinePunct/>
        <w:snapToGrid w:val="0"/>
        <w:spacing w:before="0" w:beforeAutospacing="0" w:after="0" w:afterAutospacing="0" w:line="574" w:lineRule="exact"/>
        <w:jc w:val="both"/>
        <w:textAlignment w:val="center"/>
        <w:rPr>
          <w:rFonts w:hint="eastAsia" w:ascii="仿宋_GB2312" w:eastAsia="仿宋_GB2312"/>
          <w:color w:val="auto"/>
          <w:sz w:val="32"/>
        </w:rPr>
      </w:pPr>
      <w:r>
        <w:rPr>
          <w:rFonts w:hint="eastAsia" w:ascii="仿宋_GB2312" w:eastAsia="仿宋_GB2312"/>
          <w:color w:val="auto"/>
          <w:sz w:val="32"/>
        </w:rPr>
        <w:t>交易中心发布网上交易公告；</w:t>
      </w:r>
    </w:p>
    <w:p>
      <w:pPr>
        <w:pStyle w:val="5"/>
        <w:widowControl w:val="0"/>
        <w:numPr>
          <w:ilvl w:val="0"/>
          <w:numId w:val="1"/>
        </w:numPr>
        <w:topLinePunct/>
        <w:snapToGrid w:val="0"/>
        <w:spacing w:before="0" w:beforeAutospacing="0" w:after="0" w:afterAutospacing="0" w:line="574" w:lineRule="exact"/>
        <w:jc w:val="both"/>
        <w:textAlignment w:val="center"/>
        <w:rPr>
          <w:rFonts w:hint="eastAsia" w:ascii="仿宋_GB2312" w:eastAsia="仿宋_GB2312"/>
          <w:color w:val="auto"/>
          <w:sz w:val="32"/>
        </w:rPr>
      </w:pPr>
      <w:r>
        <w:rPr>
          <w:rFonts w:hint="eastAsia" w:ascii="仿宋_GB2312" w:hAnsi="仿宋_GB2312" w:eastAsia="仿宋_GB2312" w:cs="仿宋_GB2312"/>
          <w:color w:val="auto"/>
          <w:sz w:val="32"/>
          <w:szCs w:val="32"/>
        </w:rPr>
        <w:t>申请人提出竞买申请，并交纳竞买保证金；</w:t>
      </w:r>
    </w:p>
    <w:p>
      <w:pPr>
        <w:pStyle w:val="5"/>
        <w:widowControl w:val="0"/>
        <w:numPr>
          <w:ilvl w:val="0"/>
          <w:numId w:val="1"/>
        </w:numPr>
        <w:topLinePunct/>
        <w:snapToGrid w:val="0"/>
        <w:spacing w:before="0" w:beforeAutospacing="0" w:after="0" w:afterAutospacing="0" w:line="574" w:lineRule="exact"/>
        <w:jc w:val="both"/>
        <w:textAlignment w:val="center"/>
        <w:rPr>
          <w:rFonts w:hint="eastAsia" w:ascii="仿宋_GB2312" w:eastAsia="仿宋_GB2312"/>
          <w:color w:val="auto"/>
          <w:sz w:val="32"/>
        </w:rPr>
      </w:pPr>
      <w:r>
        <w:rPr>
          <w:rFonts w:hint="eastAsia" w:ascii="仿宋_GB2312" w:eastAsia="仿宋_GB2312"/>
          <w:color w:val="auto"/>
          <w:sz w:val="32"/>
        </w:rPr>
        <w:t>竞买资格确认；</w:t>
      </w:r>
    </w:p>
    <w:p>
      <w:pPr>
        <w:pStyle w:val="5"/>
        <w:widowControl w:val="0"/>
        <w:numPr>
          <w:ilvl w:val="0"/>
          <w:numId w:val="1"/>
        </w:numPr>
        <w:topLinePunct/>
        <w:snapToGrid w:val="0"/>
        <w:spacing w:before="0" w:beforeAutospacing="0" w:after="0" w:afterAutospacing="0" w:line="574" w:lineRule="exact"/>
        <w:jc w:val="both"/>
        <w:textAlignment w:val="center"/>
        <w:rPr>
          <w:rFonts w:hint="eastAsia" w:ascii="仿宋_GB2312" w:eastAsia="仿宋_GB2312"/>
          <w:color w:val="auto"/>
          <w:sz w:val="32"/>
        </w:rPr>
      </w:pPr>
      <w:r>
        <w:rPr>
          <w:rFonts w:hint="eastAsia" w:ascii="仿宋_GB2312" w:eastAsia="仿宋_GB2312"/>
          <w:color w:val="auto"/>
          <w:sz w:val="32"/>
        </w:rPr>
        <w:t>竞买人参与网上报价及网上限时竞价</w:t>
      </w:r>
      <w:r>
        <w:rPr>
          <w:rFonts w:hint="eastAsia" w:ascii="仿宋_GB2312" w:eastAsia="仿宋_GB2312"/>
          <w:color w:val="auto"/>
          <w:sz w:val="32"/>
          <w:lang w:eastAsia="zh-CN"/>
        </w:rPr>
        <w:t>；</w:t>
      </w:r>
    </w:p>
    <w:p>
      <w:pPr>
        <w:pStyle w:val="5"/>
        <w:widowControl w:val="0"/>
        <w:numPr>
          <w:ilvl w:val="0"/>
          <w:numId w:val="1"/>
        </w:numPr>
        <w:topLinePunct/>
        <w:snapToGrid w:val="0"/>
        <w:spacing w:before="0" w:beforeAutospacing="0" w:after="0" w:afterAutospacing="0" w:line="574" w:lineRule="exact"/>
        <w:jc w:val="both"/>
        <w:textAlignment w:val="center"/>
        <w:rPr>
          <w:rFonts w:hint="eastAsia" w:ascii="仿宋_GB2312" w:eastAsia="仿宋_GB2312"/>
          <w:color w:val="auto"/>
          <w:sz w:val="32"/>
        </w:rPr>
      </w:pPr>
      <w:r>
        <w:rPr>
          <w:rFonts w:hint="eastAsia" w:ascii="仿宋_GB2312" w:eastAsia="仿宋_GB2312"/>
          <w:color w:val="auto"/>
          <w:sz w:val="32"/>
        </w:rPr>
        <w:t>成交确认。</w:t>
      </w:r>
    </w:p>
    <w:p>
      <w:pPr>
        <w:spacing w:line="574" w:lineRule="exact"/>
        <w:ind w:firstLine="640" w:firstLineChars="200"/>
        <w:rPr>
          <w:rFonts w:hint="eastAsia" w:ascii="仿宋_GB2312"/>
          <w:color w:val="auto"/>
        </w:rPr>
      </w:pPr>
      <w:r>
        <w:rPr>
          <w:rFonts w:hint="eastAsia" w:hAnsi="Verdana" w:eastAsia="黑体"/>
          <w:color w:val="auto"/>
          <w:kern w:val="0"/>
        </w:rPr>
        <w:t>第八条</w:t>
      </w:r>
      <w:r>
        <w:rPr>
          <w:rFonts w:hint="eastAsia"/>
          <w:color w:val="auto"/>
        </w:rPr>
        <w:t xml:space="preserve">  </w:t>
      </w:r>
      <w:r>
        <w:rPr>
          <w:rFonts w:hint="eastAsia"/>
          <w:color w:val="auto"/>
          <w:lang w:eastAsia="zh-CN"/>
        </w:rPr>
        <w:t>获悉</w:t>
      </w:r>
      <w:r>
        <w:rPr>
          <w:rFonts w:hint="eastAsia" w:ascii="仿宋_GB2312"/>
          <w:color w:val="auto"/>
        </w:rPr>
        <w:t>竞买人信息并根据有关规定和协议负有保密义务的单位和个人，不得泄露与竞买人身份和交易系统报价、竞价等有关的保密信息。</w:t>
      </w:r>
    </w:p>
    <w:p>
      <w:pPr>
        <w:spacing w:line="574" w:lineRule="exact"/>
        <w:ind w:firstLine="640" w:firstLineChars="200"/>
        <w:rPr>
          <w:rFonts w:hint="eastAsia" w:ascii="仿宋_GB2312"/>
          <w:color w:val="auto"/>
          <w:szCs w:val="32"/>
        </w:rPr>
      </w:pPr>
    </w:p>
    <w:p>
      <w:pPr>
        <w:pStyle w:val="5"/>
        <w:widowControl w:val="0"/>
        <w:topLinePunct/>
        <w:snapToGrid w:val="0"/>
        <w:spacing w:before="0" w:beforeAutospacing="0" w:after="0" w:afterAutospacing="0" w:line="574" w:lineRule="exact"/>
        <w:jc w:val="center"/>
        <w:textAlignment w:val="center"/>
        <w:rPr>
          <w:rFonts w:hint="eastAsia" w:ascii="黑体" w:eastAsia="黑体"/>
          <w:color w:val="auto"/>
          <w:sz w:val="32"/>
        </w:rPr>
      </w:pPr>
      <w:r>
        <w:rPr>
          <w:rFonts w:hint="eastAsia" w:ascii="黑体" w:eastAsia="黑体"/>
          <w:color w:val="auto"/>
          <w:sz w:val="32"/>
        </w:rPr>
        <w:t>第二章    公告信息发布</w:t>
      </w:r>
    </w:p>
    <w:p>
      <w:pPr>
        <w:pStyle w:val="5"/>
        <w:widowControl w:val="0"/>
        <w:topLinePunct/>
        <w:autoSpaceDN w:val="0"/>
        <w:snapToGrid w:val="0"/>
        <w:spacing w:before="0" w:beforeAutospacing="0" w:after="0" w:afterAutospacing="0" w:line="574" w:lineRule="exact"/>
        <w:ind w:firstLine="640" w:firstLineChars="200"/>
        <w:jc w:val="both"/>
        <w:textAlignment w:val="center"/>
        <w:rPr>
          <w:rFonts w:hint="eastAsia" w:ascii="仿宋_GB2312" w:eastAsia="仿宋_GB2312"/>
          <w:color w:val="auto"/>
          <w:sz w:val="32"/>
        </w:rPr>
      </w:pPr>
      <w:r>
        <w:rPr>
          <w:rFonts w:hint="eastAsia" w:ascii="黑体" w:eastAsia="黑体"/>
          <w:color w:val="auto"/>
          <w:sz w:val="32"/>
        </w:rPr>
        <w:t>第九条</w:t>
      </w:r>
      <w:r>
        <w:rPr>
          <w:rFonts w:hint="eastAsia" w:ascii="仿宋_GB2312" w:eastAsia="仿宋_GB2312"/>
          <w:color w:val="auto"/>
          <w:sz w:val="32"/>
        </w:rPr>
        <w:t>　上网竞价公告信息、建设用地使用权或矿业权的交易条件及相关信息应通过交易中心门户网站和报刊等媒体公开发布。</w:t>
      </w:r>
    </w:p>
    <w:p>
      <w:pPr>
        <w:pStyle w:val="5"/>
        <w:widowControl w:val="0"/>
        <w:topLinePunct/>
        <w:autoSpaceDN w:val="0"/>
        <w:snapToGrid w:val="0"/>
        <w:spacing w:before="0" w:beforeAutospacing="0" w:after="0" w:afterAutospacing="0" w:line="574" w:lineRule="exact"/>
        <w:ind w:firstLine="640" w:firstLineChars="200"/>
        <w:jc w:val="both"/>
        <w:textAlignment w:val="center"/>
        <w:rPr>
          <w:rFonts w:hint="eastAsia" w:ascii="仿宋_GB2312" w:eastAsia="仿宋_GB2312"/>
          <w:color w:val="auto"/>
          <w:sz w:val="32"/>
        </w:rPr>
      </w:pPr>
      <w:r>
        <w:rPr>
          <w:rFonts w:hint="eastAsia" w:ascii="黑体" w:eastAsia="黑体"/>
          <w:color w:val="auto"/>
          <w:sz w:val="32"/>
        </w:rPr>
        <w:t>第十条</w:t>
      </w:r>
      <w:r>
        <w:rPr>
          <w:rFonts w:hint="eastAsia" w:ascii="仿宋_GB2312" w:eastAsia="仿宋_GB2312"/>
          <w:color w:val="auto"/>
          <w:sz w:val="32"/>
        </w:rPr>
        <w:t>　</w:t>
      </w:r>
      <w:r>
        <w:rPr>
          <w:rFonts w:hint="eastAsia" w:ascii="仿宋_GB2312" w:hAnsi="仿宋_GB2312" w:eastAsia="仿宋_GB2312" w:cs="仿宋_GB2312"/>
          <w:color w:val="auto"/>
          <w:sz w:val="32"/>
          <w:szCs w:val="32"/>
        </w:rPr>
        <w:t>建设用地使用权公开出让的，上网竞价公告时间不得少于</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日</w:t>
      </w:r>
      <w:r>
        <w:rPr>
          <w:rFonts w:hint="eastAsia" w:ascii="仿宋_GB2312" w:hAnsi="仿宋_GB2312" w:eastAsia="仿宋_GB2312" w:cs="仿宋_GB2312"/>
          <w:color w:val="auto"/>
          <w:sz w:val="32"/>
          <w:szCs w:val="32"/>
          <w:lang w:eastAsia="zh-CN"/>
        </w:rPr>
        <w:t>，挂牌、上网竞价时间不少于10个工作日</w:t>
      </w:r>
      <w:r>
        <w:rPr>
          <w:rFonts w:hint="eastAsia" w:ascii="仿宋_GB2312" w:eastAsia="仿宋_GB2312"/>
          <w:color w:val="auto"/>
          <w:sz w:val="32"/>
        </w:rPr>
        <w:t>；建设用地使用权公开转让的，上网竞价公告时间不得少于15日，矿业权公开转让的，上网竞价公告时间不得少于20日；法律法规另有规定的，从其规定。</w:t>
      </w:r>
    </w:p>
    <w:p>
      <w:pPr>
        <w:pStyle w:val="5"/>
        <w:widowControl w:val="0"/>
        <w:topLinePunct/>
        <w:autoSpaceDN w:val="0"/>
        <w:snapToGrid w:val="0"/>
        <w:spacing w:before="0" w:beforeAutospacing="0" w:after="0" w:afterAutospacing="0" w:line="574" w:lineRule="exact"/>
        <w:ind w:firstLine="640" w:firstLineChars="200"/>
        <w:jc w:val="both"/>
        <w:textAlignment w:val="center"/>
        <w:rPr>
          <w:rFonts w:hint="eastAsia" w:ascii="仿宋_GB2312" w:eastAsia="仿宋_GB2312"/>
          <w:color w:val="auto"/>
          <w:sz w:val="32"/>
        </w:rPr>
      </w:pPr>
      <w:r>
        <w:rPr>
          <w:rFonts w:hint="eastAsia" w:ascii="黑体" w:eastAsia="黑体"/>
          <w:color w:val="auto"/>
          <w:sz w:val="32"/>
        </w:rPr>
        <w:t>第十一条</w:t>
      </w:r>
      <w:r>
        <w:rPr>
          <w:rFonts w:hint="eastAsia" w:ascii="仿宋_GB2312" w:eastAsia="仿宋_GB2312"/>
          <w:color w:val="auto"/>
          <w:sz w:val="32"/>
        </w:rPr>
        <w:t>　上网竞价公告期间，公告内容发生变化的，应在原公告发布渠道及时发布补充公告。</w:t>
      </w:r>
    </w:p>
    <w:p>
      <w:pPr>
        <w:pStyle w:val="5"/>
        <w:widowControl w:val="0"/>
        <w:topLinePunct/>
        <w:autoSpaceDN w:val="0"/>
        <w:snapToGrid w:val="0"/>
        <w:spacing w:before="0" w:beforeAutospacing="0" w:after="0" w:afterAutospacing="0" w:line="574" w:lineRule="exact"/>
        <w:ind w:firstLine="640" w:firstLineChars="200"/>
        <w:jc w:val="both"/>
        <w:textAlignment w:val="center"/>
        <w:rPr>
          <w:rFonts w:hint="eastAsia" w:ascii="仿宋_GB2312" w:eastAsia="仿宋_GB2312"/>
          <w:color w:val="auto"/>
          <w:sz w:val="32"/>
        </w:rPr>
      </w:pPr>
      <w:r>
        <w:rPr>
          <w:rFonts w:hint="eastAsia" w:ascii="黑体" w:eastAsia="黑体"/>
          <w:color w:val="auto"/>
          <w:sz w:val="32"/>
        </w:rPr>
        <w:t>第十二条</w:t>
      </w:r>
      <w:r>
        <w:rPr>
          <w:rFonts w:hint="eastAsia" w:ascii="仿宋_GB2312" w:eastAsia="仿宋_GB2312"/>
          <w:color w:val="auto"/>
          <w:sz w:val="32"/>
        </w:rPr>
        <w:t xml:space="preserve">  法人、自然人和其他组织均可在网上浏览公开交易建设用地使用权或矿业权相关信息并下载其上网竞价</w:t>
      </w:r>
      <w:r>
        <w:rPr>
          <w:rFonts w:hint="eastAsia" w:ascii="仿宋_GB2312" w:eastAsia="仿宋_GB2312"/>
          <w:color w:val="auto"/>
          <w:sz w:val="32"/>
          <w:lang w:eastAsia="zh-CN"/>
        </w:rPr>
        <w:t>交易</w:t>
      </w:r>
      <w:r>
        <w:rPr>
          <w:rFonts w:hint="eastAsia" w:ascii="仿宋_GB2312" w:eastAsia="仿宋_GB2312"/>
          <w:color w:val="auto"/>
          <w:sz w:val="32"/>
        </w:rPr>
        <w:t>文件，亦可现场踏勘公开交易标的。</w:t>
      </w:r>
    </w:p>
    <w:p>
      <w:pPr>
        <w:pStyle w:val="5"/>
        <w:widowControl w:val="0"/>
        <w:topLinePunct/>
        <w:autoSpaceDN w:val="0"/>
        <w:snapToGrid w:val="0"/>
        <w:spacing w:before="0" w:beforeAutospacing="0" w:after="0" w:afterAutospacing="0" w:line="574" w:lineRule="exact"/>
        <w:ind w:firstLine="640" w:firstLineChars="200"/>
        <w:jc w:val="both"/>
        <w:textAlignment w:val="center"/>
        <w:rPr>
          <w:rFonts w:hint="eastAsia" w:ascii="仿宋_GB2312" w:eastAsia="仿宋_GB2312"/>
          <w:color w:val="auto"/>
          <w:sz w:val="32"/>
          <w:vertAlign w:val="subscript"/>
        </w:rPr>
      </w:pPr>
    </w:p>
    <w:p>
      <w:pPr>
        <w:pStyle w:val="5"/>
        <w:widowControl w:val="0"/>
        <w:topLinePunct/>
        <w:autoSpaceDN w:val="0"/>
        <w:snapToGrid w:val="0"/>
        <w:spacing w:before="0" w:beforeAutospacing="0" w:after="0" w:afterAutospacing="0" w:line="574" w:lineRule="exact"/>
        <w:jc w:val="center"/>
        <w:textAlignment w:val="center"/>
        <w:rPr>
          <w:rFonts w:hint="eastAsia" w:ascii="黑体" w:eastAsia="黑体"/>
          <w:color w:val="auto"/>
          <w:sz w:val="32"/>
        </w:rPr>
      </w:pPr>
      <w:r>
        <w:rPr>
          <w:rFonts w:hint="eastAsia" w:ascii="黑体" w:eastAsia="黑体"/>
          <w:color w:val="auto"/>
          <w:sz w:val="32"/>
        </w:rPr>
        <w:t>第三章    竞买申请及竞买资格</w:t>
      </w:r>
    </w:p>
    <w:p>
      <w:pPr>
        <w:pStyle w:val="5"/>
        <w:widowControl w:val="0"/>
        <w:topLinePunct/>
        <w:autoSpaceDN w:val="0"/>
        <w:snapToGrid w:val="0"/>
        <w:spacing w:before="0" w:beforeAutospacing="0" w:after="0" w:afterAutospacing="0" w:line="574" w:lineRule="exact"/>
        <w:ind w:firstLine="645"/>
        <w:textAlignment w:val="center"/>
        <w:rPr>
          <w:rFonts w:hint="eastAsia" w:ascii="仿宋_GB2312" w:hAnsi="仿宋_GB2312" w:eastAsia="仿宋_GB2312" w:cs="仿宋_GB2312"/>
          <w:color w:val="auto"/>
          <w:sz w:val="32"/>
          <w:szCs w:val="32"/>
        </w:rPr>
      </w:pPr>
      <w:r>
        <w:rPr>
          <w:rFonts w:hint="eastAsia" w:ascii="黑体" w:eastAsia="黑体"/>
          <w:color w:val="auto"/>
          <w:sz w:val="32"/>
        </w:rPr>
        <w:t xml:space="preserve">第十三条  </w:t>
      </w:r>
      <w:r>
        <w:rPr>
          <w:rFonts w:hint="eastAsia" w:ascii="仿宋_GB2312" w:hAnsi="仿宋_GB2312" w:eastAsia="仿宋_GB2312" w:cs="仿宋_GB2312"/>
          <w:color w:val="auto"/>
          <w:sz w:val="32"/>
          <w:szCs w:val="32"/>
        </w:rPr>
        <w:t>数字证书是一种在互联网上进行身份验证的权威性电子文档。</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申请人（或主竞买申请人）应以真实有效的信息资料到合法第三方数字证书认证服务机构申请办理数字证书（CA认证）</w:t>
      </w:r>
      <w:r>
        <w:rPr>
          <w:rFonts w:hint="eastAsia" w:ascii="仿宋_GB2312" w:hAnsi="仿宋_GB2312" w:cs="仿宋_GB2312"/>
          <w:color w:val="auto"/>
          <w:sz w:val="32"/>
          <w:szCs w:val="32"/>
          <w:lang w:eastAsia="zh-CN"/>
        </w:rPr>
        <w:t>。</w:t>
      </w:r>
      <w:r>
        <w:rPr>
          <w:rFonts w:hint="eastAsia" w:ascii="仿宋_GB2312" w:hAnsi="仿宋_GB2312" w:eastAsia="仿宋_GB2312" w:cs="仿宋_GB2312"/>
          <w:color w:val="auto"/>
          <w:sz w:val="32"/>
          <w:szCs w:val="32"/>
        </w:rPr>
        <w:t>成功办理数字证书，即可获得数字证书密码，首次使用数字证书参加上网竞价交易的，竞买人须自行登录中山市公共资源交易网办理</w:t>
      </w:r>
      <w:r>
        <w:rPr>
          <w:rFonts w:hint="eastAsia" w:ascii="仿宋_GB2312" w:hAnsi="仿宋_GB2312" w:cs="仿宋_GB2312"/>
          <w:color w:val="auto"/>
          <w:sz w:val="32"/>
          <w:szCs w:val="32"/>
          <w:lang w:eastAsia="zh-CN"/>
        </w:rPr>
        <w:t>用户</w:t>
      </w:r>
      <w:r>
        <w:rPr>
          <w:rFonts w:hint="eastAsia" w:ascii="仿宋_GB2312" w:hAnsi="仿宋_GB2312" w:eastAsia="仿宋_GB2312" w:cs="仿宋_GB2312"/>
          <w:color w:val="auto"/>
          <w:sz w:val="32"/>
          <w:szCs w:val="32"/>
        </w:rPr>
        <w:t>登记。申请人凭数字证书及其密码登录交易系统提出竞买申请</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参与网上报价、网上限时竞价。申请人丢失数字证书或遗忘数字证书密码，应当及时到原办理机构挂失并重新申领或重置密码。</w:t>
      </w:r>
    </w:p>
    <w:p>
      <w:pPr>
        <w:pStyle w:val="5"/>
        <w:widowControl w:val="0"/>
        <w:topLinePunct/>
        <w:autoSpaceDN w:val="0"/>
        <w:snapToGrid w:val="0"/>
        <w:spacing w:before="0" w:beforeAutospacing="0" w:after="0" w:afterAutospacing="0" w:line="574" w:lineRule="exact"/>
        <w:ind w:firstLine="645"/>
        <w:textAlignment w:val="center"/>
        <w:rPr>
          <w:rFonts w:hint="eastAsia" w:ascii="仿宋_GB2312" w:eastAsia="仿宋_GB2312"/>
          <w:color w:val="auto"/>
          <w:sz w:val="32"/>
        </w:rPr>
      </w:pPr>
      <w:r>
        <w:rPr>
          <w:rFonts w:hint="eastAsia" w:ascii="黑体" w:eastAsia="黑体"/>
          <w:color w:val="auto"/>
          <w:sz w:val="32"/>
        </w:rPr>
        <w:t xml:space="preserve">第十四条 </w:t>
      </w:r>
      <w:r>
        <w:rPr>
          <w:rFonts w:hint="eastAsia" w:ascii="仿宋_GB2312" w:eastAsia="仿宋_GB2312"/>
          <w:color w:val="auto"/>
          <w:sz w:val="32"/>
        </w:rPr>
        <w:t xml:space="preserve"> 联合竞买的，联合体各成员单位须约定其中一方为主竞买申请人，并向交易中心提供授权委托书，代表竞买联合体各成员单位参与上网竞价竞买活动，以主竞买申请人的身份自行登录中山市公共资源交易网填写真实有效的相关信息办理</w:t>
      </w:r>
      <w:r>
        <w:rPr>
          <w:rFonts w:hint="eastAsia" w:ascii="仿宋_GB2312" w:eastAsia="仿宋_GB2312"/>
          <w:color w:val="auto"/>
          <w:sz w:val="32"/>
          <w:lang w:eastAsia="zh-CN"/>
        </w:rPr>
        <w:t>用户</w:t>
      </w:r>
      <w:r>
        <w:rPr>
          <w:rFonts w:hint="eastAsia" w:ascii="仿宋_GB2312" w:eastAsia="仿宋_GB2312"/>
          <w:color w:val="auto"/>
          <w:sz w:val="32"/>
        </w:rPr>
        <w:t>登记，</w:t>
      </w:r>
      <w:r>
        <w:rPr>
          <w:rFonts w:hint="eastAsia" w:ascii="仿宋_GB2312" w:eastAsia="仿宋_GB2312"/>
          <w:color w:val="auto"/>
          <w:sz w:val="32"/>
          <w:lang w:val="en-US" w:eastAsia="zh-CN"/>
        </w:rPr>
        <w:t>登记</w:t>
      </w:r>
      <w:r>
        <w:rPr>
          <w:rFonts w:hint="eastAsia" w:ascii="仿宋_GB2312" w:eastAsia="仿宋_GB2312"/>
          <w:color w:val="auto"/>
          <w:sz w:val="32"/>
        </w:rPr>
        <w:t>完成后登录交易系统进行建设用地使用权或矿业权竞买申请时，应增加登记联合体其他成员单位的相关真实有效信息资料。由主竞买申请人代表竞买联合体各成员单位参与上网竞价交易活动。</w:t>
      </w:r>
    </w:p>
    <w:p>
      <w:pPr>
        <w:pStyle w:val="5"/>
        <w:widowControl w:val="0"/>
        <w:topLinePunct/>
        <w:autoSpaceDN w:val="0"/>
        <w:snapToGrid w:val="0"/>
        <w:spacing w:before="0" w:beforeAutospacing="0" w:after="0" w:afterAutospacing="0" w:line="574" w:lineRule="exact"/>
        <w:ind w:firstLine="640" w:firstLineChars="200"/>
        <w:jc w:val="both"/>
        <w:textAlignment w:val="center"/>
        <w:rPr>
          <w:rFonts w:hint="eastAsia" w:ascii="仿宋_GB2312" w:eastAsia="仿宋_GB2312"/>
          <w:color w:val="auto"/>
          <w:sz w:val="32"/>
        </w:rPr>
      </w:pPr>
      <w:r>
        <w:rPr>
          <w:rFonts w:hint="eastAsia" w:ascii="仿宋_GB2312" w:eastAsia="仿宋_GB2312"/>
          <w:color w:val="auto"/>
          <w:sz w:val="32"/>
        </w:rPr>
        <w:t>主竞买申请人使用数字证书在交易系统中有关本宗建设用地使用权或矿业权的一切操作，均代表竞买联合体各成员单位的真实意思表达，具备法律效力，提交竞买申请即视为竞买联合体各成员单位对此无异议，并将无条件共同承担由此产生的一切后果和经济、法律责任。</w:t>
      </w:r>
    </w:p>
    <w:p>
      <w:pPr>
        <w:pStyle w:val="5"/>
        <w:widowControl w:val="0"/>
        <w:topLinePunct/>
        <w:snapToGrid w:val="0"/>
        <w:spacing w:before="0" w:beforeAutospacing="0" w:after="0" w:afterAutospacing="0" w:line="574" w:lineRule="exact"/>
        <w:ind w:firstLine="640" w:firstLineChars="200"/>
        <w:jc w:val="both"/>
        <w:textAlignment w:val="center"/>
        <w:rPr>
          <w:rFonts w:hint="eastAsia" w:ascii="仿宋_GB2312" w:eastAsia="仿宋_GB2312"/>
          <w:color w:val="auto"/>
          <w:sz w:val="32"/>
        </w:rPr>
      </w:pPr>
      <w:r>
        <w:rPr>
          <w:rFonts w:hint="eastAsia" w:ascii="黑体" w:eastAsia="黑体"/>
          <w:color w:val="auto"/>
          <w:sz w:val="32"/>
        </w:rPr>
        <w:t>第十五条</w:t>
      </w:r>
      <w:r>
        <w:rPr>
          <w:rFonts w:hint="eastAsia" w:ascii="仿宋_GB2312" w:eastAsia="仿宋_GB2312"/>
          <w:color w:val="auto"/>
          <w:sz w:val="32"/>
        </w:rPr>
        <w:t xml:space="preserve">  在提交建设用地使用权或矿业权竞买申请之前，申请人应当详细阅读上网竞价出让或转让公告、</w:t>
      </w:r>
      <w:r>
        <w:rPr>
          <w:rFonts w:hint="eastAsia" w:ascii="仿宋_GB2312" w:eastAsia="仿宋_GB2312"/>
          <w:color w:val="auto"/>
          <w:sz w:val="32"/>
          <w:lang w:eastAsia="zh-CN"/>
        </w:rPr>
        <w:t>竞买</w:t>
      </w:r>
      <w:r>
        <w:rPr>
          <w:rFonts w:hint="eastAsia" w:ascii="仿宋_GB2312" w:eastAsia="仿宋_GB2312"/>
          <w:color w:val="auto"/>
          <w:sz w:val="32"/>
        </w:rPr>
        <w:t>须知、建设用地使用权或矿业权相关信息及交易条件。</w:t>
      </w:r>
    </w:p>
    <w:p>
      <w:pPr>
        <w:pStyle w:val="5"/>
        <w:widowControl w:val="0"/>
        <w:topLinePunct/>
        <w:snapToGrid w:val="0"/>
        <w:spacing w:before="0" w:beforeAutospacing="0" w:after="0" w:afterAutospacing="0" w:line="574" w:lineRule="exact"/>
        <w:ind w:firstLine="640" w:firstLineChars="200"/>
        <w:jc w:val="both"/>
        <w:textAlignment w:val="center"/>
        <w:rPr>
          <w:rFonts w:hint="eastAsia" w:ascii="仿宋_GB2312" w:eastAsia="仿宋_GB2312"/>
          <w:color w:val="auto"/>
          <w:sz w:val="32"/>
        </w:rPr>
      </w:pPr>
      <w:r>
        <w:rPr>
          <w:rFonts w:hint="eastAsia" w:ascii="仿宋_GB2312" w:eastAsia="仿宋_GB2312"/>
          <w:color w:val="auto"/>
          <w:sz w:val="32"/>
        </w:rPr>
        <w:t>竞买申请一经提交，即视为对上网竞价文件的相关规定、交易条件及标的现状已作清晰了解，表示无异议并全部同意接受。</w:t>
      </w:r>
    </w:p>
    <w:p>
      <w:pPr>
        <w:pStyle w:val="5"/>
        <w:widowControl w:val="0"/>
        <w:topLinePunct/>
        <w:snapToGrid w:val="0"/>
        <w:spacing w:before="0" w:beforeAutospacing="0" w:after="0" w:afterAutospacing="0" w:line="574" w:lineRule="exact"/>
        <w:ind w:firstLine="640" w:firstLineChars="200"/>
        <w:jc w:val="both"/>
        <w:textAlignment w:val="center"/>
        <w:rPr>
          <w:rFonts w:hint="eastAsia" w:ascii="仿宋_GB2312" w:eastAsia="仿宋_GB2312"/>
          <w:color w:val="auto"/>
          <w:sz w:val="32"/>
          <w:szCs w:val="32"/>
        </w:rPr>
      </w:pPr>
      <w:r>
        <w:rPr>
          <w:rFonts w:hint="eastAsia" w:ascii="黑体" w:eastAsia="黑体"/>
          <w:color w:val="auto"/>
          <w:sz w:val="32"/>
        </w:rPr>
        <w:t>第十六条</w:t>
      </w:r>
      <w:r>
        <w:rPr>
          <w:rFonts w:hint="eastAsia" w:ascii="仿宋_GB2312" w:eastAsia="仿宋_GB2312"/>
          <w:color w:val="auto"/>
          <w:sz w:val="32"/>
        </w:rPr>
        <w:t xml:space="preserve">  上网竞价只接受</w:t>
      </w:r>
      <w:r>
        <w:rPr>
          <w:rFonts w:hint="eastAsia" w:ascii="仿宋_GB2312" w:eastAsia="仿宋_GB2312"/>
          <w:color w:val="auto"/>
          <w:sz w:val="32"/>
          <w:szCs w:val="32"/>
        </w:rPr>
        <w:t>网上竞买申请和报价，不接受邮寄、电子邮件、电话、传真、口头等其他形式的申请和竞投。</w:t>
      </w:r>
    </w:p>
    <w:p>
      <w:pPr>
        <w:pStyle w:val="5"/>
        <w:widowControl w:val="0"/>
        <w:topLinePunct/>
        <w:snapToGrid w:val="0"/>
        <w:spacing w:before="0" w:beforeAutospacing="0" w:after="0" w:afterAutospacing="0" w:line="574" w:lineRule="exact"/>
        <w:ind w:firstLine="640" w:firstLineChars="200"/>
        <w:jc w:val="both"/>
        <w:textAlignment w:val="center"/>
        <w:rPr>
          <w:rFonts w:hint="eastAsia" w:ascii="仿宋_GB2312" w:eastAsia="仿宋_GB2312"/>
          <w:color w:val="auto"/>
          <w:sz w:val="32"/>
        </w:rPr>
      </w:pPr>
      <w:r>
        <w:rPr>
          <w:rFonts w:hint="eastAsia" w:ascii="黑体" w:eastAsia="黑体"/>
          <w:color w:val="auto"/>
          <w:sz w:val="32"/>
        </w:rPr>
        <w:t xml:space="preserve">第十七条  </w:t>
      </w:r>
      <w:r>
        <w:rPr>
          <w:rFonts w:hint="eastAsia" w:ascii="仿宋_GB2312" w:eastAsia="仿宋_GB2312"/>
          <w:color w:val="auto"/>
          <w:sz w:val="32"/>
          <w:szCs w:val="32"/>
        </w:rPr>
        <w:t>竞买申请提交后，交易系统将自动赋予申请人一个交纳竞买保证金子账号。申请人须按有关规定向此账号足额交纳竞买保证金，不得由他人代缴且不接受现金方式缴存。申</w:t>
      </w:r>
      <w:r>
        <w:rPr>
          <w:rFonts w:hint="eastAsia" w:ascii="仿宋_GB2312" w:eastAsia="仿宋_GB2312"/>
          <w:color w:val="auto"/>
          <w:sz w:val="32"/>
        </w:rPr>
        <w:t>请人没有按时交纳竞买保证金，或未足额交纳竞买保证金的，均不得参与上网竞价。</w:t>
      </w:r>
    </w:p>
    <w:p>
      <w:pPr>
        <w:pStyle w:val="5"/>
        <w:widowControl w:val="0"/>
        <w:topLinePunct/>
        <w:snapToGrid w:val="0"/>
        <w:spacing w:before="0" w:beforeAutospacing="0" w:after="0" w:afterAutospacing="0" w:line="574" w:lineRule="exact"/>
        <w:ind w:firstLine="640" w:firstLineChars="200"/>
        <w:jc w:val="both"/>
        <w:textAlignment w:val="center"/>
        <w:rPr>
          <w:rFonts w:hint="eastAsia" w:ascii="仿宋_GB2312" w:eastAsia="仿宋_GB2312"/>
          <w:color w:val="auto"/>
          <w:sz w:val="32"/>
          <w:szCs w:val="32"/>
        </w:rPr>
      </w:pPr>
      <w:r>
        <w:rPr>
          <w:rFonts w:hint="eastAsia" w:ascii="仿宋_GB2312" w:eastAsia="仿宋_GB2312"/>
          <w:color w:val="auto"/>
          <w:sz w:val="32"/>
          <w:szCs w:val="32"/>
        </w:rPr>
        <w:t>每笔竞买保证金只对应一个标的竞买，如需竞买多个标的，则须分别按要求交纳相应标的的竞买保证金。</w:t>
      </w:r>
    </w:p>
    <w:p>
      <w:pPr>
        <w:pStyle w:val="5"/>
        <w:widowControl w:val="0"/>
        <w:topLinePunct/>
        <w:snapToGrid w:val="0"/>
        <w:spacing w:before="0" w:beforeAutospacing="0" w:after="0" w:afterAutospacing="0" w:line="574" w:lineRule="exact"/>
        <w:ind w:firstLine="640" w:firstLineChars="200"/>
        <w:jc w:val="both"/>
        <w:textAlignment w:val="center"/>
        <w:rPr>
          <w:rFonts w:hint="eastAsia" w:ascii="仿宋_GB2312" w:eastAsia="仿宋_GB2312"/>
          <w:color w:val="auto"/>
          <w:sz w:val="32"/>
          <w:szCs w:val="32"/>
        </w:rPr>
      </w:pPr>
      <w:r>
        <w:rPr>
          <w:rFonts w:hint="eastAsia" w:ascii="仿宋_GB2312" w:eastAsia="仿宋_GB2312"/>
          <w:color w:val="auto"/>
          <w:sz w:val="32"/>
          <w:szCs w:val="32"/>
        </w:rPr>
        <w:t>涉及外币竞买保证金缴存的，需按外汇管理有关规定处理。</w:t>
      </w:r>
    </w:p>
    <w:p>
      <w:pPr>
        <w:ind w:firstLine="640" w:firstLineChars="200"/>
        <w:rPr>
          <w:rFonts w:hint="eastAsia" w:ascii="仿宋_GB2312" w:hAnsi="仿宋_GB2312" w:eastAsia="仿宋_GB2312" w:cs="仿宋_GB2312"/>
          <w:color w:val="auto"/>
          <w:sz w:val="32"/>
          <w:szCs w:val="32"/>
        </w:rPr>
      </w:pPr>
      <w:r>
        <w:rPr>
          <w:rFonts w:hint="eastAsia" w:ascii="仿宋_GB2312" w:hAnsi="宋体" w:cs="宋体"/>
          <w:vanish/>
          <w:color w:val="auto"/>
        </w:rPr>
        <w:cr/>
      </w:r>
      <w:r>
        <w:rPr>
          <w:rFonts w:hint="eastAsia" w:ascii="仿宋_GB2312" w:hAnsi="宋体" w:cs="宋体"/>
          <w:vanish/>
          <w:color w:val="auto"/>
        </w:rPr>
        <w:t>日确认书》后，发出务费，经</w:t>
      </w:r>
      <w:r>
        <w:rPr>
          <w:rFonts w:hint="eastAsia" w:ascii="仿宋_GB2312" w:hAnsi="宋体" w:cs="宋体"/>
          <w:vanish/>
          <w:color w:val="auto"/>
        </w:rPr>
        <w:pgNum/>
      </w:r>
      <w:r>
        <w:rPr>
          <w:rFonts w:hint="eastAsia" w:ascii="仿宋_GB2312" w:hAnsi="宋体" w:cs="宋体"/>
          <w:vanish/>
          <w:color w:val="auto"/>
        </w:rPr>
        <w:pgNum/>
      </w:r>
      <w:r>
        <w:rPr>
          <w:rFonts w:hint="eastAsia" w:ascii="仿宋_GB2312" w:hAnsi="宋体" w:cs="宋体"/>
          <w:vanish/>
          <w:color w:val="auto"/>
        </w:rPr>
        <w:pgNum/>
      </w:r>
      <w:r>
        <w:rPr>
          <w:rFonts w:hint="eastAsia" w:ascii="仿宋_GB2312" w:hAnsi="宋体" w:cs="宋体"/>
          <w:vanish/>
          <w:color w:val="auto"/>
        </w:rPr>
        <w:pgNum/>
      </w:r>
      <w:r>
        <w:rPr>
          <w:rFonts w:hint="eastAsia" w:ascii="仿宋_GB2312" w:hAnsi="宋体" w:cs="宋体"/>
          <w:vanish/>
          <w:color w:val="auto"/>
        </w:rPr>
        <w:pgNum/>
      </w:r>
      <w:r>
        <w:rPr>
          <w:rFonts w:hint="eastAsia" w:ascii="仿宋_GB2312" w:hAnsi="宋体" w:cs="宋体"/>
          <w:vanish/>
          <w:color w:val="auto"/>
        </w:rPr>
        <w:pgNum/>
      </w:r>
      <w:r>
        <w:rPr>
          <w:rFonts w:hint="eastAsia" w:ascii="仿宋_GB2312" w:hAnsi="宋体" w:cs="宋体"/>
          <w:vanish/>
          <w:color w:val="auto"/>
        </w:rPr>
        <w:pgNum/>
      </w:r>
      <w:r>
        <w:rPr>
          <w:rFonts w:hint="eastAsia" w:ascii="仿宋_GB2312" w:hAnsi="宋体" w:cs="宋体"/>
          <w:vanish/>
          <w:color w:val="auto"/>
        </w:rPr>
        <w:pgNum/>
      </w:r>
      <w:r>
        <w:rPr>
          <w:rFonts w:hint="eastAsia" w:ascii="仿宋_GB2312" w:hAnsi="宋体" w:cs="宋体"/>
          <w:vanish/>
          <w:color w:val="auto"/>
        </w:rPr>
        <w:pgNum/>
      </w:r>
      <w:r>
        <w:rPr>
          <w:rFonts w:hint="eastAsia" w:ascii="仿宋_GB2312" w:hAnsi="宋体" w:cs="宋体"/>
          <w:vanish/>
          <w:color w:val="auto"/>
        </w:rPr>
        <w:pgNum/>
      </w:r>
      <w:r>
        <w:rPr>
          <w:rFonts w:hint="eastAsia" w:ascii="仿宋_GB2312" w:hAnsi="宋体" w:cs="宋体"/>
          <w:vanish/>
          <w:color w:val="auto"/>
        </w:rPr>
        <w:pgNum/>
      </w:r>
      <w:r>
        <w:rPr>
          <w:rFonts w:hint="eastAsia" w:ascii="仿宋_GB2312" w:hAnsi="宋体" w:cs="宋体"/>
          <w:vanish/>
          <w:color w:val="auto"/>
        </w:rPr>
        <w:pgNum/>
      </w:r>
      <w:r>
        <w:rPr>
          <w:rFonts w:hint="eastAsia" w:ascii="仿宋_GB2312" w:hAnsi="宋体" w:cs="宋体"/>
          <w:vanish/>
          <w:color w:val="auto"/>
        </w:rPr>
        <w:pgNum/>
      </w:r>
      <w:r>
        <w:rPr>
          <w:rFonts w:hint="eastAsia" w:ascii="仿宋_GB2312" w:hAnsi="宋体" w:cs="宋体"/>
          <w:vanish/>
          <w:color w:val="auto"/>
        </w:rPr>
        <w:pgNum/>
      </w:r>
      <w:r>
        <w:rPr>
          <w:rFonts w:hint="eastAsia" w:ascii="仿宋_GB2312" w:hAnsi="宋体" w:cs="宋体"/>
          <w:vanish/>
          <w:color w:val="auto"/>
        </w:rPr>
        <w:pgNum/>
      </w:r>
      <w:r>
        <w:rPr>
          <w:rFonts w:hint="eastAsia" w:ascii="仿宋_GB2312" w:hAnsi="宋体" w:cs="宋体"/>
          <w:vanish/>
          <w:color w:val="auto"/>
        </w:rPr>
        <w:pgNum/>
      </w:r>
      <w:r>
        <w:rPr>
          <w:rFonts w:hint="eastAsia" w:ascii="仿宋_GB2312" w:hAnsi="宋体" w:cs="宋体"/>
          <w:vanish/>
          <w:color w:val="auto"/>
        </w:rPr>
        <w:pgNum/>
      </w:r>
      <w:r>
        <w:rPr>
          <w:rFonts w:hint="eastAsia" w:ascii="仿宋_GB2312" w:hAnsi="宋体" w:cs="宋体"/>
          <w:vanish/>
          <w:color w:val="auto"/>
        </w:rPr>
        <w:pgNum/>
      </w:r>
      <w:r>
        <w:rPr>
          <w:rFonts w:hint="eastAsia" w:ascii="仿宋_GB2312" w:hAnsi="宋体" w:cs="宋体"/>
          <w:vanish/>
          <w:color w:val="auto"/>
        </w:rPr>
        <w:pgNum/>
      </w:r>
      <w:r>
        <w:rPr>
          <w:rFonts w:hint="eastAsia" w:ascii="仿宋_GB2312" w:hAnsi="宋体" w:cs="宋体"/>
          <w:vanish/>
          <w:color w:val="auto"/>
        </w:rPr>
        <w:pgNum/>
      </w:r>
      <w:r>
        <w:rPr>
          <w:rFonts w:hint="eastAsia" w:ascii="仿宋_GB2312" w:hAnsi="宋体" w:cs="宋体"/>
          <w:vanish/>
          <w:color w:val="auto"/>
        </w:rPr>
        <w:pgNum/>
      </w:r>
      <w:r>
        <w:rPr>
          <w:rFonts w:hint="eastAsia" w:ascii="仿宋_GB2312" w:hAnsi="宋体" w:cs="宋体"/>
          <w:vanish/>
          <w:color w:val="auto"/>
        </w:rPr>
        <w:pgNum/>
      </w:r>
      <w:r>
        <w:rPr>
          <w:rFonts w:hint="eastAsia" w:ascii="仿宋_GB2312" w:hAnsi="宋体" w:cs="宋体"/>
          <w:vanish/>
          <w:color w:val="auto"/>
        </w:rPr>
        <w:pgNum/>
      </w:r>
      <w:r>
        <w:rPr>
          <w:rFonts w:hint="eastAsia" w:ascii="仿宋_GB2312" w:hAnsi="宋体" w:cs="宋体"/>
          <w:vanish/>
          <w:color w:val="auto"/>
        </w:rPr>
        <w:pgNum/>
      </w:r>
      <w:r>
        <w:rPr>
          <w:rFonts w:hint="eastAsia" w:ascii="仿宋_GB2312" w:hAnsi="宋体" w:cs="宋体"/>
          <w:vanish/>
          <w:color w:val="auto"/>
        </w:rPr>
        <w:pgNum/>
      </w:r>
      <w:r>
        <w:rPr>
          <w:rFonts w:hint="eastAsia" w:ascii="仿宋_GB2312" w:hAnsi="宋体" w:cs="宋体"/>
          <w:vanish/>
          <w:color w:val="auto"/>
        </w:rPr>
        <w:pgNum/>
      </w:r>
      <w:r>
        <w:rPr>
          <w:rFonts w:hint="eastAsia" w:ascii="仿宋_GB2312" w:hAnsi="宋体" w:cs="宋体"/>
          <w:vanish/>
          <w:color w:val="auto"/>
        </w:rPr>
        <w:pgNum/>
      </w:r>
      <w:r>
        <w:rPr>
          <w:rFonts w:hint="eastAsia" w:ascii="仿宋_GB2312" w:hAnsi="宋体" w:cs="宋体"/>
          <w:vanish/>
          <w:color w:val="auto"/>
        </w:rPr>
        <w:pgNum/>
      </w:r>
      <w:r>
        <w:rPr>
          <w:rFonts w:hint="eastAsia" w:ascii="仿宋_GB2312" w:hAnsi="宋体" w:cs="宋体"/>
          <w:vanish/>
          <w:color w:val="auto"/>
        </w:rPr>
        <w:pgNum/>
      </w:r>
      <w:r>
        <w:rPr>
          <w:rFonts w:hint="eastAsia" w:ascii="仿宋_GB2312" w:hAnsi="宋体" w:cs="宋体"/>
          <w:vanish/>
          <w:color w:val="auto"/>
        </w:rPr>
        <w:pgNum/>
      </w:r>
      <w:r>
        <w:rPr>
          <w:rFonts w:hint="eastAsia" w:ascii="仿宋_GB2312" w:hAnsi="宋体" w:cs="宋体"/>
          <w:vanish/>
          <w:color w:val="auto"/>
        </w:rPr>
        <w:pgNum/>
      </w:r>
      <w:r>
        <w:rPr>
          <w:rFonts w:hint="eastAsia" w:ascii="仿宋_GB2312" w:hAnsi="宋体" w:cs="宋体"/>
          <w:vanish/>
          <w:color w:val="auto"/>
        </w:rPr>
        <w:pgNum/>
      </w:r>
      <w:r>
        <w:rPr>
          <w:rFonts w:hint="eastAsia" w:ascii="仿宋_GB2312" w:hAnsi="宋体" w:cs="宋体"/>
          <w:vanish/>
          <w:color w:val="auto"/>
        </w:rPr>
        <w:pgNum/>
      </w:r>
      <w:r>
        <w:rPr>
          <w:rFonts w:hint="eastAsia" w:ascii="仿宋_GB2312" w:hAnsi="宋体" w:cs="宋体"/>
          <w:vanish/>
          <w:color w:val="auto"/>
        </w:rPr>
        <w:pgNum/>
      </w:r>
      <w:r>
        <w:rPr>
          <w:rFonts w:hint="eastAsia" w:ascii="仿宋_GB2312" w:hAnsi="宋体" w:cs="宋体"/>
          <w:vanish/>
          <w:color w:val="auto"/>
        </w:rPr>
        <w:pgNum/>
      </w:r>
      <w:r>
        <w:rPr>
          <w:rFonts w:hint="eastAsia" w:ascii="仿宋_GB2312" w:hAnsi="宋体" w:cs="宋体"/>
          <w:vanish/>
          <w:color w:val="auto"/>
        </w:rPr>
        <w:pgNum/>
      </w:r>
      <w:r>
        <w:rPr>
          <w:rFonts w:hint="eastAsia" w:ascii="仿宋_GB2312" w:hAnsi="宋体" w:cs="宋体"/>
          <w:vanish/>
          <w:color w:val="auto"/>
        </w:rPr>
        <w:pgNum/>
      </w:r>
      <w:r>
        <w:rPr>
          <w:rFonts w:hint="eastAsia" w:ascii="仿宋_GB2312" w:hAnsi="宋体" w:cs="宋体"/>
          <w:vanish/>
          <w:color w:val="auto"/>
        </w:rPr>
        <w:pgNum/>
      </w:r>
      <w:r>
        <w:rPr>
          <w:rFonts w:hint="eastAsia" w:ascii="仿宋_GB2312" w:hAnsi="宋体" w:cs="宋体"/>
          <w:vanish/>
          <w:color w:val="auto"/>
        </w:rPr>
        <w:pgNum/>
      </w:r>
      <w:r>
        <w:rPr>
          <w:rFonts w:hint="eastAsia" w:ascii="仿宋_GB2312" w:hAnsi="宋体" w:cs="宋体"/>
          <w:vanish/>
          <w:color w:val="auto"/>
        </w:rPr>
        <w:pgNum/>
      </w:r>
      <w:r>
        <w:rPr>
          <w:rFonts w:hint="eastAsia" w:ascii="仿宋_GB2312" w:hAnsi="宋体" w:cs="宋体"/>
          <w:vanish/>
          <w:color w:val="auto"/>
        </w:rPr>
        <w:pgNum/>
      </w:r>
      <w:r>
        <w:rPr>
          <w:rFonts w:hint="eastAsia" w:ascii="仿宋_GB2312" w:hAnsi="宋体" w:cs="宋体"/>
          <w:vanish/>
          <w:color w:val="auto"/>
        </w:rPr>
        <w:pgNum/>
      </w:r>
      <w:r>
        <w:rPr>
          <w:rFonts w:hint="eastAsia" w:ascii="仿宋_GB2312" w:hAnsi="宋体" w:cs="宋体"/>
          <w:vanish/>
          <w:color w:val="auto"/>
        </w:rPr>
        <w:pgNum/>
      </w:r>
      <w:r>
        <w:rPr>
          <w:rFonts w:hint="eastAsia" w:ascii="仿宋_GB2312" w:hAnsi="宋体" w:cs="宋体"/>
          <w:vanish/>
          <w:color w:val="auto"/>
        </w:rPr>
        <w:pgNum/>
      </w:r>
      <w:r>
        <w:rPr>
          <w:rFonts w:hint="eastAsia" w:ascii="仿宋_GB2312" w:hAnsi="宋体" w:cs="宋体"/>
          <w:vanish/>
          <w:color w:val="auto"/>
        </w:rPr>
        <w:pgNum/>
      </w:r>
      <w:r>
        <w:rPr>
          <w:rFonts w:hint="eastAsia" w:ascii="仿宋_GB2312" w:hAnsi="宋体" w:cs="宋体"/>
          <w:vanish/>
          <w:color w:val="auto"/>
        </w:rPr>
        <w:pgNum/>
      </w:r>
      <w:r>
        <w:rPr>
          <w:rFonts w:hint="eastAsia" w:ascii="仿宋_GB2312" w:hAnsi="宋体" w:cs="宋体"/>
          <w:vanish/>
          <w:color w:val="auto"/>
        </w:rPr>
        <w:pgNum/>
      </w:r>
      <w:r>
        <w:rPr>
          <w:rFonts w:hint="eastAsia" w:ascii="仿宋_GB2312" w:hAnsi="宋体" w:cs="宋体"/>
          <w:vanish/>
          <w:color w:val="auto"/>
        </w:rPr>
        <w:pgNum/>
      </w:r>
      <w:r>
        <w:rPr>
          <w:rFonts w:hint="eastAsia" w:ascii="仿宋_GB2312" w:hAnsi="宋体" w:cs="宋体"/>
          <w:vanish/>
          <w:color w:val="auto"/>
        </w:rPr>
        <w:pgNum/>
      </w:r>
      <w:r>
        <w:rPr>
          <w:rFonts w:hint="eastAsia" w:ascii="仿宋_GB2312" w:hAnsi="宋体" w:cs="宋体"/>
          <w:vanish/>
          <w:color w:val="auto"/>
        </w:rPr>
        <w:pgNum/>
      </w:r>
      <w:r>
        <w:rPr>
          <w:rFonts w:hint="eastAsia" w:ascii="仿宋_GB2312" w:hAnsi="宋体" w:cs="宋体"/>
          <w:vanish/>
          <w:color w:val="auto"/>
        </w:rPr>
        <w:pgNum/>
      </w:r>
      <w:r>
        <w:rPr>
          <w:rFonts w:hint="eastAsia" w:ascii="仿宋_GB2312" w:hAnsi="宋体" w:cs="宋体"/>
          <w:vanish/>
          <w:color w:val="auto"/>
        </w:rPr>
        <w:pgNum/>
      </w:r>
      <w:r>
        <w:rPr>
          <w:rFonts w:hint="eastAsia" w:ascii="仿宋_GB2312" w:hAnsi="宋体" w:cs="宋体"/>
          <w:vanish/>
          <w:color w:val="auto"/>
        </w:rPr>
        <w:pgNum/>
      </w:r>
      <w:r>
        <w:rPr>
          <w:rFonts w:hint="eastAsia" w:ascii="仿宋_GB2312" w:hAnsi="宋体" w:cs="宋体"/>
          <w:vanish/>
          <w:color w:val="auto"/>
        </w:rPr>
        <w:pgNum/>
      </w:r>
      <w:r>
        <w:rPr>
          <w:rFonts w:hint="eastAsia" w:ascii="仿宋_GB2312" w:hAnsi="宋体" w:cs="宋体"/>
          <w:vanish/>
          <w:color w:val="auto"/>
        </w:rPr>
        <w:pgNum/>
      </w:r>
      <w:r>
        <w:rPr>
          <w:rFonts w:hint="eastAsia" w:ascii="仿宋_GB2312" w:hAnsi="宋体" w:cs="宋体"/>
          <w:vanish/>
          <w:color w:val="auto"/>
        </w:rPr>
        <w:pgNum/>
      </w:r>
      <w:r>
        <w:rPr>
          <w:rFonts w:hint="eastAsia" w:ascii="仿宋_GB2312" w:hAnsi="宋体" w:cs="宋体"/>
          <w:vanish/>
          <w:color w:val="auto"/>
        </w:rPr>
        <w:pgNum/>
      </w:r>
      <w:r>
        <w:rPr>
          <w:rFonts w:hint="eastAsia" w:ascii="仿宋_GB2312" w:hAnsi="宋体" w:cs="宋体"/>
          <w:vanish/>
          <w:color w:val="auto"/>
        </w:rPr>
        <w:pgNum/>
      </w:r>
      <w:r>
        <w:rPr>
          <w:rFonts w:hint="eastAsia" w:ascii="仿宋_GB2312" w:hAnsi="宋体" w:cs="宋体"/>
          <w:vanish/>
          <w:color w:val="auto"/>
        </w:rPr>
        <w:pgNum/>
      </w:r>
      <w:r>
        <w:rPr>
          <w:rFonts w:hint="eastAsia" w:ascii="仿宋_GB2312" w:hAnsi="宋体" w:cs="宋体"/>
          <w:vanish/>
          <w:color w:val="auto"/>
        </w:rPr>
        <w:pgNum/>
      </w:r>
      <w:r>
        <w:rPr>
          <w:rFonts w:hint="eastAsia" w:ascii="仿宋_GB2312" w:hAnsi="宋体" w:cs="宋体"/>
          <w:vanish/>
          <w:color w:val="auto"/>
        </w:rPr>
        <w:pgNum/>
      </w:r>
      <w:r>
        <w:rPr>
          <w:rFonts w:hint="eastAsia" w:ascii="仿宋_GB2312" w:hAnsi="宋体" w:cs="宋体"/>
          <w:vanish/>
          <w:color w:val="auto"/>
        </w:rPr>
        <w:pgNum/>
      </w:r>
      <w:r>
        <w:rPr>
          <w:rFonts w:hint="eastAsia" w:ascii="仿宋_GB2312" w:hAnsi="宋体" w:cs="宋体"/>
          <w:vanish/>
          <w:color w:val="auto"/>
        </w:rPr>
        <w:pgNum/>
      </w:r>
      <w:r>
        <w:rPr>
          <w:rFonts w:hint="eastAsia" w:ascii="仿宋_GB2312" w:hAnsi="宋体" w:cs="宋体"/>
          <w:vanish/>
          <w:color w:val="auto"/>
        </w:rPr>
        <w:pgNum/>
      </w:r>
      <w:r>
        <w:rPr>
          <w:rFonts w:hint="eastAsia" w:ascii="仿宋_GB2312" w:hAnsi="宋体" w:cs="宋体"/>
          <w:vanish/>
          <w:color w:val="auto"/>
        </w:rPr>
        <w:pgNum/>
      </w:r>
      <w:r>
        <w:rPr>
          <w:rFonts w:hint="eastAsia" w:ascii="仿宋_GB2312" w:hAnsi="宋体" w:cs="宋体"/>
          <w:vanish/>
          <w:color w:val="auto"/>
        </w:rPr>
        <w:pgNum/>
      </w:r>
      <w:r>
        <w:rPr>
          <w:rFonts w:hint="eastAsia" w:ascii="仿宋_GB2312" w:hAnsi="宋体" w:cs="宋体"/>
          <w:vanish/>
          <w:color w:val="auto"/>
        </w:rPr>
        <w:pgNum/>
      </w:r>
      <w:r>
        <w:rPr>
          <w:rFonts w:hint="eastAsia" w:ascii="仿宋_GB2312" w:hAnsi="宋体" w:cs="宋体"/>
          <w:vanish/>
          <w:color w:val="auto"/>
        </w:rPr>
        <w:pgNum/>
      </w:r>
      <w:r>
        <w:rPr>
          <w:rFonts w:hint="eastAsia" w:ascii="仿宋_GB2312" w:hAnsi="宋体" w:cs="宋体"/>
          <w:vanish/>
          <w:color w:val="auto"/>
        </w:rPr>
        <w:pgNum/>
      </w:r>
      <w:r>
        <w:rPr>
          <w:rFonts w:hint="eastAsia" w:ascii="仿宋_GB2312" w:hAnsi="宋体" w:cs="宋体"/>
          <w:vanish/>
          <w:color w:val="auto"/>
        </w:rPr>
        <w:pgNum/>
      </w:r>
      <w:r>
        <w:rPr>
          <w:rFonts w:hint="eastAsia" w:ascii="仿宋_GB2312" w:hAnsi="宋体" w:cs="宋体"/>
          <w:vanish/>
          <w:color w:val="auto"/>
        </w:rPr>
        <w:pgNum/>
      </w:r>
      <w:r>
        <w:rPr>
          <w:rFonts w:hint="eastAsia" w:ascii="仿宋_GB2312" w:hAnsi="宋体" w:cs="宋体"/>
          <w:vanish/>
          <w:color w:val="auto"/>
        </w:rPr>
        <w:pgNum/>
      </w:r>
      <w:r>
        <w:rPr>
          <w:rFonts w:hint="eastAsia" w:ascii="仿宋_GB2312" w:hAnsi="宋体" w:cs="宋体"/>
          <w:vanish/>
          <w:color w:val="auto"/>
        </w:rPr>
        <w:pgNum/>
      </w:r>
      <w:r>
        <w:rPr>
          <w:rFonts w:hint="eastAsia" w:ascii="仿宋_GB2312" w:hAnsi="宋体" w:cs="宋体"/>
          <w:vanish/>
          <w:color w:val="auto"/>
        </w:rPr>
        <w:pgNum/>
      </w:r>
      <w:r>
        <w:rPr>
          <w:rFonts w:hint="eastAsia" w:ascii="仿宋_GB2312" w:hAnsi="宋体" w:cs="宋体"/>
          <w:vanish/>
          <w:color w:val="auto"/>
        </w:rPr>
        <w:pgNum/>
      </w:r>
      <w:r>
        <w:rPr>
          <w:rFonts w:hint="eastAsia" w:ascii="仿宋_GB2312" w:hAnsi="宋体" w:cs="宋体"/>
          <w:vanish/>
          <w:color w:val="auto"/>
        </w:rPr>
        <w:pgNum/>
      </w:r>
      <w:r>
        <w:rPr>
          <w:rFonts w:hint="eastAsia" w:ascii="仿宋_GB2312" w:hAnsi="宋体" w:cs="宋体"/>
          <w:vanish/>
          <w:color w:val="auto"/>
        </w:rPr>
        <w:pgNum/>
      </w:r>
      <w:r>
        <w:rPr>
          <w:rFonts w:hint="eastAsia" w:ascii="仿宋_GB2312" w:hAnsi="宋体" w:cs="宋体"/>
          <w:vanish/>
          <w:color w:val="auto"/>
        </w:rPr>
        <w:pgNum/>
      </w:r>
      <w:r>
        <w:rPr>
          <w:rFonts w:hint="eastAsia" w:ascii="仿宋_GB2312" w:hAnsi="宋体" w:cs="宋体"/>
          <w:vanish/>
          <w:color w:val="auto"/>
        </w:rPr>
        <w:pgNum/>
      </w:r>
      <w:r>
        <w:rPr>
          <w:rFonts w:hint="eastAsia" w:ascii="仿宋_GB2312" w:hAnsi="宋体" w:cs="宋体"/>
          <w:vanish/>
          <w:color w:val="auto"/>
        </w:rPr>
        <w:pgNum/>
      </w:r>
      <w:r>
        <w:rPr>
          <w:rFonts w:hint="eastAsia" w:ascii="仿宋_GB2312" w:hAnsi="宋体" w:cs="宋体"/>
          <w:vanish/>
          <w:color w:val="auto"/>
        </w:rPr>
        <w:pgNum/>
      </w:r>
      <w:r>
        <w:rPr>
          <w:rFonts w:hint="eastAsia" w:ascii="仿宋_GB2312" w:hAnsi="宋体" w:cs="宋体"/>
          <w:vanish/>
          <w:color w:val="auto"/>
        </w:rPr>
        <w:pgNum/>
      </w:r>
      <w:r>
        <w:rPr>
          <w:rFonts w:hint="eastAsia" w:ascii="仿宋_GB2312" w:hAnsi="宋体" w:cs="宋体"/>
          <w:vanish/>
          <w:color w:val="auto"/>
        </w:rPr>
        <w:pgNum/>
      </w:r>
      <w:r>
        <w:rPr>
          <w:rFonts w:hint="eastAsia" w:ascii="仿宋_GB2312" w:hAnsi="宋体" w:cs="宋体"/>
          <w:vanish/>
          <w:color w:val="auto"/>
        </w:rPr>
        <w:pgNum/>
      </w:r>
      <w:r>
        <w:rPr>
          <w:rFonts w:hint="eastAsia" w:ascii="仿宋_GB2312" w:hAnsi="宋体" w:cs="宋体"/>
          <w:vanish/>
          <w:color w:val="auto"/>
        </w:rPr>
        <w:pgNum/>
      </w:r>
      <w:r>
        <w:rPr>
          <w:rFonts w:hint="eastAsia" w:ascii="仿宋_GB2312" w:hAnsi="宋体" w:cs="宋体"/>
          <w:vanish/>
          <w:color w:val="auto"/>
        </w:rPr>
        <w:pgNum/>
      </w:r>
      <w:r>
        <w:rPr>
          <w:rFonts w:hint="eastAsia" w:ascii="仿宋_GB2312" w:hAnsi="宋体" w:cs="宋体"/>
          <w:vanish/>
          <w:color w:val="auto"/>
        </w:rPr>
        <w:pgNum/>
      </w:r>
      <w:r>
        <w:rPr>
          <w:rFonts w:hint="eastAsia" w:ascii="仿宋_GB2312" w:hAnsi="宋体" w:cs="宋体"/>
          <w:vanish/>
          <w:color w:val="auto"/>
        </w:rPr>
        <w:pgNum/>
      </w:r>
      <w:r>
        <w:rPr>
          <w:rFonts w:hint="eastAsia" w:ascii="仿宋_GB2312" w:hAnsi="宋体" w:cs="宋体"/>
          <w:vanish/>
          <w:color w:val="auto"/>
        </w:rPr>
        <w:pgNum/>
      </w:r>
      <w:r>
        <w:rPr>
          <w:rFonts w:hint="eastAsia" w:ascii="仿宋_GB2312" w:hAnsi="宋体" w:cs="宋体"/>
          <w:vanish/>
          <w:color w:val="auto"/>
        </w:rPr>
        <w:pgNum/>
      </w:r>
      <w:r>
        <w:rPr>
          <w:rFonts w:hint="eastAsia" w:ascii="仿宋_GB2312" w:hAnsi="宋体" w:cs="宋体"/>
          <w:vanish/>
          <w:color w:val="auto"/>
        </w:rPr>
        <w:pgNum/>
      </w:r>
      <w:r>
        <w:rPr>
          <w:rFonts w:hint="eastAsia" w:ascii="仿宋_GB2312" w:hAnsi="宋体" w:cs="宋体"/>
          <w:vanish/>
          <w:color w:val="auto"/>
        </w:rPr>
        <w:pgNum/>
      </w:r>
      <w:r>
        <w:rPr>
          <w:rFonts w:hint="eastAsia" w:ascii="仿宋_GB2312" w:hAnsi="宋体" w:cs="宋体"/>
          <w:vanish/>
          <w:color w:val="auto"/>
        </w:rPr>
        <w:pgNum/>
      </w:r>
      <w:r>
        <w:rPr>
          <w:rFonts w:hint="eastAsia" w:ascii="仿宋_GB2312" w:hAnsi="宋体" w:cs="宋体"/>
          <w:vanish/>
          <w:color w:val="auto"/>
        </w:rPr>
        <w:pgNum/>
      </w:r>
      <w:r>
        <w:rPr>
          <w:rFonts w:hint="eastAsia" w:ascii="仿宋_GB2312" w:hAnsi="宋体" w:cs="宋体"/>
          <w:vanish/>
          <w:color w:val="auto"/>
        </w:rPr>
        <w:pgNum/>
      </w:r>
      <w:r>
        <w:rPr>
          <w:rFonts w:hint="eastAsia" w:ascii="仿宋_GB2312" w:hAnsi="宋体" w:cs="宋体"/>
          <w:vanish/>
          <w:color w:val="auto"/>
        </w:rPr>
        <w:pgNum/>
      </w:r>
      <w:r>
        <w:rPr>
          <w:rFonts w:hint="eastAsia" w:ascii="仿宋_GB2312" w:hAnsi="宋体" w:cs="宋体"/>
          <w:vanish/>
          <w:color w:val="auto"/>
        </w:rPr>
        <w:pgNum/>
      </w:r>
      <w:r>
        <w:rPr>
          <w:rFonts w:hint="eastAsia" w:ascii="仿宋_GB2312" w:hAnsi="宋体" w:cs="宋体"/>
          <w:vanish/>
          <w:color w:val="auto"/>
        </w:rPr>
        <w:pgNum/>
      </w:r>
      <w:r>
        <w:rPr>
          <w:rFonts w:hint="eastAsia" w:ascii="仿宋_GB2312" w:hAnsi="宋体" w:cs="宋体"/>
          <w:vanish/>
          <w:color w:val="auto"/>
        </w:rPr>
        <w:pgNum/>
      </w:r>
      <w:r>
        <w:rPr>
          <w:rFonts w:hint="eastAsia" w:ascii="仿宋_GB2312" w:hAnsi="宋体" w:cs="宋体"/>
          <w:vanish/>
          <w:color w:val="auto"/>
        </w:rPr>
        <w:pgNum/>
      </w:r>
      <w:r>
        <w:rPr>
          <w:rFonts w:hint="eastAsia" w:ascii="仿宋_GB2312" w:hAnsi="宋体" w:cs="宋体"/>
          <w:vanish/>
          <w:color w:val="auto"/>
        </w:rPr>
        <w:pgNum/>
      </w:r>
      <w:r>
        <w:rPr>
          <w:rFonts w:hint="eastAsia" w:ascii="仿宋_GB2312" w:hAnsi="宋体" w:cs="宋体"/>
          <w:vanish/>
          <w:color w:val="auto"/>
        </w:rPr>
        <w:pgNum/>
      </w:r>
      <w:r>
        <w:rPr>
          <w:rFonts w:hint="eastAsia" w:ascii="仿宋_GB2312" w:hAnsi="宋体" w:cs="宋体"/>
          <w:vanish/>
          <w:color w:val="auto"/>
        </w:rPr>
        <w:pgNum/>
      </w:r>
      <w:r>
        <w:rPr>
          <w:rFonts w:hint="eastAsia" w:ascii="仿宋_GB2312" w:hAnsi="宋体" w:cs="宋体"/>
          <w:vanish/>
          <w:color w:val="auto"/>
        </w:rPr>
        <w:pgNum/>
      </w:r>
      <w:r>
        <w:rPr>
          <w:rFonts w:hint="eastAsia" w:ascii="仿宋_GB2312" w:hAnsi="宋体" w:cs="宋体"/>
          <w:vanish/>
          <w:color w:val="auto"/>
        </w:rPr>
        <w:pgNum/>
      </w:r>
      <w:r>
        <w:rPr>
          <w:rFonts w:hint="eastAsia" w:ascii="仿宋_GB2312" w:hAnsi="宋体" w:cs="宋体"/>
          <w:vanish/>
          <w:color w:val="auto"/>
        </w:rPr>
        <w:pgNum/>
      </w:r>
      <w:r>
        <w:rPr>
          <w:rFonts w:hint="eastAsia" w:ascii="仿宋_GB2312" w:hAnsi="宋体" w:cs="宋体"/>
          <w:vanish/>
          <w:color w:val="auto"/>
        </w:rPr>
        <w:pgNum/>
      </w:r>
      <w:r>
        <w:rPr>
          <w:rFonts w:hint="eastAsia" w:ascii="仿宋_GB2312" w:hAnsi="宋体" w:cs="宋体"/>
          <w:vanish/>
          <w:color w:val="auto"/>
        </w:rPr>
        <w:pgNum/>
      </w:r>
      <w:r>
        <w:rPr>
          <w:rFonts w:hint="eastAsia" w:ascii="仿宋_GB2312" w:hAnsi="宋体" w:cs="宋体"/>
          <w:vanish/>
          <w:color w:val="auto"/>
        </w:rPr>
        <w:pgNum/>
      </w:r>
      <w:r>
        <w:rPr>
          <w:rFonts w:hint="eastAsia" w:ascii="仿宋_GB2312" w:hAnsi="宋体" w:cs="宋体"/>
          <w:vanish/>
          <w:color w:val="auto"/>
        </w:rPr>
        <w:pgNum/>
      </w:r>
      <w:r>
        <w:rPr>
          <w:rFonts w:hint="eastAsia" w:ascii="仿宋_GB2312" w:hAnsi="宋体" w:cs="宋体"/>
          <w:vanish/>
          <w:color w:val="auto"/>
        </w:rPr>
        <w:pgNum/>
      </w:r>
      <w:r>
        <w:rPr>
          <w:rFonts w:hint="eastAsia" w:ascii="仿宋_GB2312" w:hAnsi="宋体" w:cs="宋体"/>
          <w:vanish/>
          <w:color w:val="auto"/>
        </w:rPr>
        <w:pgNum/>
      </w:r>
      <w:r>
        <w:rPr>
          <w:rFonts w:hint="eastAsia" w:ascii="仿宋_GB2312" w:hAnsi="宋体" w:cs="宋体"/>
          <w:vanish/>
          <w:color w:val="auto"/>
        </w:rPr>
        <w:pgNum/>
      </w:r>
      <w:r>
        <w:rPr>
          <w:rFonts w:hint="eastAsia" w:ascii="仿宋_GB2312" w:hAnsi="宋体" w:cs="宋体"/>
          <w:vanish/>
          <w:color w:val="auto"/>
        </w:rPr>
        <w:pgNum/>
      </w:r>
      <w:r>
        <w:rPr>
          <w:rFonts w:hint="eastAsia" w:ascii="黑体" w:eastAsia="黑体"/>
          <w:color w:val="auto"/>
          <w:sz w:val="32"/>
        </w:rPr>
        <w:t>第</w:t>
      </w:r>
      <w:r>
        <w:rPr>
          <w:rFonts w:hint="eastAsia" w:ascii="黑体" w:hAnsi="黑体" w:eastAsia="黑体" w:cs="黑体"/>
          <w:color w:val="auto"/>
          <w:sz w:val="32"/>
          <w:szCs w:val="32"/>
          <w:lang w:eastAsia="zh-CN"/>
        </w:rPr>
        <w:t>十八</w:t>
      </w:r>
      <w:r>
        <w:rPr>
          <w:rFonts w:hint="eastAsia" w:ascii="黑体" w:eastAsia="黑体"/>
          <w:color w:val="auto"/>
          <w:sz w:val="32"/>
        </w:rPr>
        <w:t xml:space="preserve">条  </w:t>
      </w:r>
      <w:r>
        <w:rPr>
          <w:rFonts w:hint="eastAsia" w:ascii="仿宋_GB2312" w:hAnsi="仿宋_GB2312" w:eastAsia="仿宋_GB2312" w:cs="仿宋_GB2312"/>
          <w:color w:val="auto"/>
          <w:sz w:val="32"/>
          <w:szCs w:val="32"/>
        </w:rPr>
        <w:t xml:space="preserve"> 申请人在办理数字证书并缴纳保证金后，应</w:t>
      </w:r>
      <w:r>
        <w:rPr>
          <w:rFonts w:hint="eastAsia" w:ascii="仿宋_GB2312" w:hAnsi="仿宋_GB2312" w:eastAsia="仿宋_GB2312" w:cs="仿宋_GB2312"/>
          <w:color w:val="auto"/>
          <w:sz w:val="32"/>
          <w:szCs w:val="32"/>
          <w:lang w:eastAsia="zh-CN"/>
        </w:rPr>
        <w:t>按</w:t>
      </w:r>
      <w:r>
        <w:rPr>
          <w:rFonts w:hint="eastAsia" w:ascii="仿宋_GB2312" w:hAnsi="宋体" w:eastAsia="仿宋_GB2312" w:cs="宋体"/>
          <w:color w:val="auto"/>
          <w:sz w:val="32"/>
        </w:rPr>
        <w:t>照</w:t>
      </w:r>
      <w:r>
        <w:rPr>
          <w:rFonts w:hint="eastAsia" w:ascii="仿宋_GB2312" w:hAnsi="仿宋_GB2312" w:eastAsia="仿宋_GB2312" w:cs="仿宋_GB2312"/>
          <w:color w:val="auto"/>
          <w:sz w:val="32"/>
          <w:szCs w:val="32"/>
        </w:rPr>
        <w:t>上网竞价交易文件规定</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竞买所需资料</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strike w:val="0"/>
          <w:dstrike w:val="0"/>
          <w:color w:val="auto"/>
          <w:sz w:val="32"/>
          <w:szCs w:val="32"/>
        </w:rPr>
        <w:t>向交易中心提交真实有效的</w:t>
      </w:r>
      <w:r>
        <w:rPr>
          <w:rFonts w:hint="eastAsia" w:ascii="仿宋_GB2312" w:hAnsi="仿宋_GB2312" w:cs="仿宋_GB2312"/>
          <w:strike w:val="0"/>
          <w:dstrike w:val="0"/>
          <w:color w:val="auto"/>
          <w:sz w:val="32"/>
          <w:szCs w:val="32"/>
          <w:lang w:eastAsia="zh-CN"/>
        </w:rPr>
        <w:t>相关</w:t>
      </w:r>
      <w:r>
        <w:rPr>
          <w:rFonts w:hint="eastAsia" w:ascii="仿宋_GB2312" w:hAnsi="仿宋_GB2312" w:eastAsia="仿宋_GB2312" w:cs="仿宋_GB2312"/>
          <w:strike w:val="0"/>
          <w:dstrike w:val="0"/>
          <w:color w:val="auto"/>
          <w:sz w:val="32"/>
          <w:szCs w:val="32"/>
        </w:rPr>
        <w:t>竞买</w:t>
      </w:r>
      <w:r>
        <w:rPr>
          <w:rFonts w:hint="eastAsia" w:ascii="仿宋_GB2312" w:hAnsi="仿宋_GB2312" w:cs="仿宋_GB2312"/>
          <w:strike w:val="0"/>
          <w:dstrike w:val="0"/>
          <w:color w:val="auto"/>
          <w:sz w:val="32"/>
          <w:szCs w:val="32"/>
          <w:lang w:eastAsia="zh-CN"/>
        </w:rPr>
        <w:t>申请</w:t>
      </w:r>
      <w:r>
        <w:rPr>
          <w:rFonts w:hint="eastAsia" w:ascii="仿宋_GB2312" w:hAnsi="仿宋_GB2312" w:eastAsia="仿宋_GB2312" w:cs="仿宋_GB2312"/>
          <w:strike w:val="0"/>
          <w:dstrike w:val="0"/>
          <w:color w:val="auto"/>
          <w:sz w:val="32"/>
          <w:szCs w:val="32"/>
        </w:rPr>
        <w:t>材料，</w:t>
      </w:r>
      <w:r>
        <w:rPr>
          <w:rFonts w:hint="eastAsia" w:ascii="仿宋_GB2312" w:hAnsi="仿宋_GB2312" w:eastAsia="仿宋_GB2312" w:cs="仿宋_GB2312"/>
          <w:color w:val="auto"/>
          <w:sz w:val="32"/>
          <w:szCs w:val="32"/>
        </w:rPr>
        <w:t>经核查确认符合资格条件的，申请人方可获得竞买资格。</w:t>
      </w:r>
    </w:p>
    <w:p>
      <w:pPr>
        <w:pStyle w:val="5"/>
        <w:topLinePunct/>
        <w:snapToGrid w:val="0"/>
        <w:spacing w:before="0" w:beforeLines="0" w:beforeAutospacing="0" w:after="0" w:afterLines="0" w:afterAutospacing="0" w:line="574" w:lineRule="exact"/>
        <w:ind w:firstLine="0" w:firstLineChars="0"/>
        <w:textAlignment w:val="center"/>
        <w:rPr>
          <w:rFonts w:hint="eastAsia" w:ascii="黑体" w:eastAsia="黑体"/>
          <w:color w:val="auto"/>
          <w:sz w:val="32"/>
          <w:szCs w:val="32"/>
        </w:rPr>
      </w:pPr>
    </w:p>
    <w:p>
      <w:pPr>
        <w:pStyle w:val="5"/>
        <w:widowControl w:val="0"/>
        <w:topLinePunct/>
        <w:autoSpaceDN w:val="0"/>
        <w:snapToGrid w:val="0"/>
        <w:spacing w:before="0" w:beforeAutospacing="0" w:after="0" w:afterAutospacing="0" w:line="574" w:lineRule="exact"/>
        <w:jc w:val="center"/>
        <w:textAlignment w:val="center"/>
        <w:rPr>
          <w:rFonts w:hint="eastAsia" w:ascii="黑体" w:eastAsia="黑体"/>
          <w:color w:val="auto"/>
          <w:sz w:val="32"/>
        </w:rPr>
      </w:pPr>
      <w:r>
        <w:rPr>
          <w:rFonts w:hint="eastAsia" w:ascii="黑体" w:eastAsia="黑体"/>
          <w:color w:val="auto"/>
          <w:sz w:val="32"/>
        </w:rPr>
        <w:t>第四章    网上报价</w:t>
      </w:r>
      <w:r>
        <w:rPr>
          <w:rFonts w:hint="eastAsia" w:ascii="黑体" w:eastAsia="黑体"/>
          <w:color w:val="auto"/>
          <w:sz w:val="32"/>
          <w:lang w:eastAsia="zh-CN"/>
        </w:rPr>
        <w:t>及</w:t>
      </w:r>
      <w:r>
        <w:rPr>
          <w:rFonts w:hint="eastAsia" w:ascii="黑体" w:eastAsia="黑体"/>
          <w:color w:val="auto"/>
          <w:sz w:val="32"/>
        </w:rPr>
        <w:t>网上限时竞价</w:t>
      </w:r>
    </w:p>
    <w:p>
      <w:pPr>
        <w:spacing w:line="574" w:lineRule="exact"/>
        <w:ind w:firstLine="640" w:firstLineChars="200"/>
        <w:rPr>
          <w:rFonts w:hint="eastAsia"/>
          <w:color w:val="auto"/>
          <w:lang w:eastAsia="zh-CN"/>
        </w:rPr>
      </w:pPr>
      <w:r>
        <w:rPr>
          <w:rFonts w:hint="eastAsia" w:ascii="黑体" w:eastAsia="黑体"/>
          <w:color w:val="auto"/>
        </w:rPr>
        <w:t>第</w:t>
      </w:r>
      <w:r>
        <w:rPr>
          <w:rFonts w:hint="eastAsia" w:ascii="黑体" w:hAnsi="黑体" w:eastAsia="黑体" w:cs="黑体"/>
          <w:color w:val="auto"/>
          <w:sz w:val="32"/>
          <w:szCs w:val="32"/>
          <w:lang w:eastAsia="zh-CN"/>
        </w:rPr>
        <w:t>十九</w:t>
      </w:r>
      <w:r>
        <w:rPr>
          <w:rFonts w:hint="eastAsia" w:ascii="黑体" w:eastAsia="黑体"/>
          <w:color w:val="auto"/>
          <w:sz w:val="32"/>
        </w:rPr>
        <w:t>条</w:t>
      </w:r>
      <w:r>
        <w:rPr>
          <w:rFonts w:hint="eastAsia"/>
          <w:color w:val="auto"/>
        </w:rPr>
        <w:t>　</w:t>
      </w:r>
      <w:r>
        <w:rPr>
          <w:rFonts w:hint="eastAsia"/>
          <w:color w:val="auto"/>
          <w:lang w:eastAsia="zh-CN"/>
        </w:rPr>
        <w:t>上网竞价包括网上报价及网上限时竞价两个阶段。</w:t>
      </w:r>
    </w:p>
    <w:p>
      <w:pPr>
        <w:spacing w:line="574" w:lineRule="exact"/>
        <w:ind w:firstLine="640" w:firstLineChars="200"/>
        <w:rPr>
          <w:rFonts w:hint="eastAsia"/>
          <w:color w:val="auto"/>
          <w:lang w:eastAsia="zh-CN"/>
        </w:rPr>
      </w:pPr>
      <w:r>
        <w:rPr>
          <w:rFonts w:hint="eastAsia"/>
          <w:color w:val="auto"/>
          <w:lang w:eastAsia="zh-CN"/>
        </w:rPr>
        <w:t>网上报价，是指竞买人在获取竞买资格后，在网上报价期限内通过交易系统进行报价，交易系统实时更新价格。</w:t>
      </w:r>
    </w:p>
    <w:p>
      <w:pPr>
        <w:spacing w:line="574" w:lineRule="exact"/>
        <w:ind w:firstLine="640" w:firstLineChars="200"/>
        <w:rPr>
          <w:rFonts w:hint="eastAsia" w:ascii="仿宋_GB2312"/>
          <w:color w:val="auto"/>
          <w:sz w:val="32"/>
          <w:lang w:eastAsia="zh-CN"/>
        </w:rPr>
      </w:pPr>
      <w:r>
        <w:rPr>
          <w:rFonts w:hint="eastAsia"/>
          <w:color w:val="auto"/>
          <w:lang w:eastAsia="zh-CN"/>
        </w:rPr>
        <w:t>网上限时竞价，是指</w:t>
      </w:r>
      <w:r>
        <w:rPr>
          <w:rFonts w:hint="eastAsia" w:ascii="仿宋_GB2312" w:eastAsia="仿宋_GB2312"/>
          <w:color w:val="auto"/>
          <w:sz w:val="32"/>
        </w:rPr>
        <w:t>在规定的网上报价期限届满，在网上报价期限内有两个或两个以上竞买人报价的,交易系统</w:t>
      </w:r>
      <w:r>
        <w:rPr>
          <w:rFonts w:hint="eastAsia" w:ascii="仿宋_GB2312"/>
          <w:color w:val="auto"/>
          <w:sz w:val="32"/>
          <w:lang w:eastAsia="zh-CN"/>
        </w:rPr>
        <w:t>将</w:t>
      </w:r>
      <w:r>
        <w:rPr>
          <w:rFonts w:hint="eastAsia" w:ascii="仿宋_GB2312" w:eastAsia="仿宋_GB2312"/>
          <w:color w:val="auto"/>
          <w:sz w:val="32"/>
        </w:rPr>
        <w:t>进入网上限时竞价程序，</w:t>
      </w:r>
      <w:r>
        <w:rPr>
          <w:rFonts w:hint="eastAsia" w:ascii="仿宋_GB2312"/>
          <w:color w:val="auto"/>
          <w:sz w:val="32"/>
          <w:lang w:eastAsia="zh-CN"/>
        </w:rPr>
        <w:t>按本实施细则规定组织限时竞价</w:t>
      </w:r>
      <w:r>
        <w:rPr>
          <w:rFonts w:hint="eastAsia" w:ascii="仿宋_GB2312" w:eastAsia="仿宋_GB2312"/>
          <w:color w:val="auto"/>
          <w:sz w:val="32"/>
        </w:rPr>
        <w:t>，按最高报价且不低于起始价的原则确定</w:t>
      </w:r>
      <w:r>
        <w:rPr>
          <w:rFonts w:hint="eastAsia" w:ascii="仿宋_GB2312"/>
          <w:color w:val="auto"/>
          <w:sz w:val="32"/>
          <w:lang w:eastAsia="zh-CN"/>
        </w:rPr>
        <w:t>最高报价者。</w:t>
      </w:r>
    </w:p>
    <w:p>
      <w:pPr>
        <w:spacing w:line="574" w:lineRule="exact"/>
        <w:ind w:firstLine="640" w:firstLineChars="200"/>
        <w:rPr>
          <w:rFonts w:hint="eastAsia"/>
          <w:color w:val="auto"/>
          <w:lang w:val="en-US" w:eastAsia="zh-CN"/>
        </w:rPr>
      </w:pPr>
      <w:r>
        <w:rPr>
          <w:rFonts w:hint="eastAsia" w:ascii="黑体" w:hAnsi="黑体" w:eastAsia="黑体" w:cs="黑体"/>
          <w:color w:val="auto"/>
          <w:lang w:eastAsia="zh-CN"/>
        </w:rPr>
        <w:t>第二十条</w:t>
      </w:r>
      <w:r>
        <w:rPr>
          <w:rFonts w:hint="eastAsia"/>
          <w:color w:val="auto"/>
          <w:lang w:val="en-US" w:eastAsia="zh-CN"/>
        </w:rPr>
        <w:t xml:space="preserve">  报价、竞价的基本规则：</w:t>
      </w:r>
    </w:p>
    <w:p>
      <w:pPr>
        <w:numPr>
          <w:ilvl w:val="0"/>
          <w:numId w:val="0"/>
        </w:numPr>
        <w:spacing w:line="574" w:lineRule="exact"/>
        <w:ind w:firstLine="0" w:firstLineChars="0"/>
        <w:rPr>
          <w:rFonts w:hint="eastAsia"/>
          <w:color w:val="auto"/>
          <w:lang w:eastAsia="zh-CN"/>
        </w:rPr>
      </w:pPr>
      <w:r>
        <w:rPr>
          <w:rFonts w:hint="eastAsia"/>
          <w:color w:val="auto"/>
          <w:lang w:val="en-US" w:eastAsia="zh-CN"/>
        </w:rPr>
        <w:t xml:space="preserve">    </w:t>
      </w:r>
      <w:r>
        <w:rPr>
          <w:rFonts w:hint="eastAsia"/>
          <w:color w:val="auto"/>
          <w:lang w:eastAsia="zh-CN"/>
        </w:rPr>
        <w:t>（一）</w:t>
      </w:r>
      <w:r>
        <w:rPr>
          <w:rFonts w:hint="eastAsia"/>
          <w:color w:val="auto"/>
        </w:rPr>
        <w:t>竞买人</w:t>
      </w:r>
      <w:r>
        <w:rPr>
          <w:rFonts w:hint="eastAsia"/>
          <w:color w:val="auto"/>
          <w:lang w:eastAsia="zh-CN"/>
        </w:rPr>
        <w:t>应</w:t>
      </w:r>
      <w:r>
        <w:rPr>
          <w:rFonts w:hint="eastAsia"/>
          <w:color w:val="auto"/>
        </w:rPr>
        <w:t>通过交易系统进行报价</w:t>
      </w:r>
      <w:r>
        <w:rPr>
          <w:rFonts w:hint="eastAsia"/>
          <w:color w:val="auto"/>
          <w:lang w:eastAsia="zh-CN"/>
        </w:rPr>
        <w:t>；</w:t>
      </w:r>
    </w:p>
    <w:p>
      <w:pPr>
        <w:numPr>
          <w:ilvl w:val="0"/>
          <w:numId w:val="0"/>
        </w:numPr>
        <w:spacing w:line="574" w:lineRule="exact"/>
        <w:ind w:firstLine="640" w:firstLineChars="0"/>
        <w:rPr>
          <w:rFonts w:hint="eastAsia"/>
          <w:color w:val="auto"/>
          <w:lang w:eastAsia="zh-CN"/>
        </w:rPr>
      </w:pPr>
      <w:r>
        <w:rPr>
          <w:rFonts w:hint="eastAsia"/>
          <w:color w:val="auto"/>
          <w:lang w:eastAsia="zh-CN"/>
        </w:rPr>
        <w:t>（二）</w:t>
      </w:r>
      <w:r>
        <w:rPr>
          <w:rFonts w:hint="eastAsia"/>
          <w:color w:val="auto"/>
        </w:rPr>
        <w:t>初次报价不得低于起始价</w:t>
      </w:r>
      <w:r>
        <w:rPr>
          <w:rFonts w:hint="eastAsia"/>
          <w:color w:val="auto"/>
          <w:lang w:eastAsia="zh-CN"/>
        </w:rPr>
        <w:t>；</w:t>
      </w:r>
    </w:p>
    <w:p>
      <w:pPr>
        <w:numPr>
          <w:ilvl w:val="0"/>
          <w:numId w:val="0"/>
        </w:numPr>
        <w:spacing w:line="574" w:lineRule="exact"/>
        <w:ind w:firstLine="640" w:firstLineChars="0"/>
        <w:rPr>
          <w:rFonts w:hint="eastAsia"/>
          <w:color w:val="auto"/>
          <w:lang w:eastAsia="zh-CN"/>
        </w:rPr>
      </w:pPr>
      <w:r>
        <w:rPr>
          <w:rFonts w:hint="eastAsia"/>
          <w:color w:val="auto"/>
          <w:lang w:eastAsia="zh-CN"/>
        </w:rPr>
        <w:t>（三）</w:t>
      </w:r>
      <w:r>
        <w:rPr>
          <w:rFonts w:hint="eastAsia"/>
          <w:color w:val="auto"/>
        </w:rPr>
        <w:t>报价应以增价方式进行，</w:t>
      </w:r>
      <w:r>
        <w:rPr>
          <w:rFonts w:hint="eastAsia"/>
          <w:color w:val="auto"/>
          <w:lang w:eastAsia="zh-CN"/>
        </w:rPr>
        <w:t>增加幅度不得小于交易文件规定的增价幅度；</w:t>
      </w:r>
    </w:p>
    <w:p>
      <w:pPr>
        <w:numPr>
          <w:ilvl w:val="0"/>
          <w:numId w:val="0"/>
        </w:numPr>
        <w:spacing w:line="574" w:lineRule="exact"/>
        <w:ind w:firstLine="640" w:firstLineChars="0"/>
        <w:rPr>
          <w:rFonts w:hint="eastAsia" w:ascii="仿宋_GB2312"/>
          <w:color w:val="auto"/>
          <w:sz w:val="32"/>
          <w:lang w:eastAsia="zh-CN"/>
        </w:rPr>
      </w:pPr>
      <w:r>
        <w:rPr>
          <w:rFonts w:hint="eastAsia"/>
          <w:color w:val="auto"/>
          <w:lang w:eastAsia="zh-CN"/>
        </w:rPr>
        <w:t>（四）</w:t>
      </w:r>
      <w:r>
        <w:rPr>
          <w:rFonts w:hint="eastAsia" w:ascii="仿宋_GB2312" w:eastAsia="仿宋_GB2312"/>
          <w:color w:val="auto"/>
          <w:sz w:val="32"/>
        </w:rPr>
        <w:t>竞买人应当谨慎报价</w:t>
      </w:r>
      <w:r>
        <w:rPr>
          <w:rFonts w:hint="eastAsia" w:ascii="仿宋_GB2312"/>
          <w:color w:val="auto"/>
          <w:sz w:val="32"/>
          <w:lang w:eastAsia="zh-CN"/>
        </w:rPr>
        <w:t>，报价一经提交并经交易系统记录即视为有效报价，</w:t>
      </w:r>
      <w:r>
        <w:rPr>
          <w:rFonts w:hint="eastAsia" w:ascii="仿宋_GB2312" w:eastAsia="仿宋_GB2312"/>
          <w:color w:val="auto"/>
          <w:sz w:val="32"/>
        </w:rPr>
        <w:t>不得撤回</w:t>
      </w:r>
      <w:r>
        <w:rPr>
          <w:rFonts w:hint="eastAsia" w:ascii="仿宋_GB2312"/>
          <w:color w:val="auto"/>
          <w:sz w:val="32"/>
          <w:lang w:eastAsia="zh-CN"/>
        </w:rPr>
        <w:t>；</w:t>
      </w:r>
    </w:p>
    <w:p>
      <w:pPr>
        <w:numPr>
          <w:ilvl w:val="0"/>
          <w:numId w:val="0"/>
        </w:numPr>
        <w:spacing w:beforeLines="0" w:afterLines="0" w:line="574" w:lineRule="exact"/>
        <w:ind w:firstLine="640" w:firstLineChars="0"/>
        <w:rPr>
          <w:rFonts w:hint="eastAsia" w:ascii="仿宋_GB2312"/>
          <w:color w:val="auto"/>
          <w:sz w:val="32"/>
          <w:lang w:eastAsia="zh-CN"/>
        </w:rPr>
      </w:pPr>
      <w:r>
        <w:rPr>
          <w:rFonts w:hint="eastAsia" w:ascii="仿宋_GB2312"/>
          <w:color w:val="auto"/>
          <w:sz w:val="32"/>
          <w:lang w:eastAsia="zh-CN"/>
        </w:rPr>
        <w:t>（五）竞买人可多次报价；同一竞买人多次报价的，以其最高报价为最终有效竞投价；</w:t>
      </w:r>
    </w:p>
    <w:p>
      <w:pPr>
        <w:pStyle w:val="5"/>
        <w:numPr>
          <w:ilvl w:val="0"/>
          <w:numId w:val="0"/>
        </w:numPr>
        <w:topLinePunct/>
        <w:snapToGrid w:val="0"/>
        <w:spacing w:before="0" w:beforeLines="0" w:beforeAutospacing="0" w:after="0" w:afterLines="0" w:afterAutospacing="0" w:line="574" w:lineRule="exact"/>
        <w:ind w:firstLine="0" w:firstLineChars="0"/>
        <w:textAlignment w:val="center"/>
        <w:rPr>
          <w:rFonts w:hint="eastAsia" w:ascii="仿宋_GB2312" w:hAnsi="Times New Roman" w:eastAsia="仿宋_GB2312"/>
          <w:color w:val="auto"/>
          <w:kern w:val="2"/>
          <w:sz w:val="32"/>
          <w:lang w:eastAsia="zh-CN"/>
        </w:rPr>
      </w:pPr>
      <w:r>
        <w:rPr>
          <w:rFonts w:hint="eastAsia" w:ascii="仿宋_GB2312"/>
          <w:color w:val="auto"/>
          <w:sz w:val="32"/>
          <w:lang w:val="en-US" w:eastAsia="zh-CN"/>
        </w:rPr>
        <w:t xml:space="preserve">    </w:t>
      </w:r>
      <w:r>
        <w:rPr>
          <w:rFonts w:hint="eastAsia" w:ascii="仿宋_GB2312" w:hAnsi="Times New Roman" w:eastAsia="仿宋_GB2312"/>
          <w:color w:val="auto"/>
          <w:kern w:val="2"/>
          <w:sz w:val="32"/>
          <w:lang w:eastAsia="zh-CN"/>
        </w:rPr>
        <w:t>（六）</w:t>
      </w:r>
      <w:r>
        <w:rPr>
          <w:rFonts w:hint="eastAsia" w:ascii="仿宋_GB2312" w:hAnsi="Times New Roman" w:eastAsia="仿宋_GB2312"/>
          <w:color w:val="auto"/>
          <w:kern w:val="2"/>
          <w:sz w:val="32"/>
        </w:rPr>
        <w:t>在网上报价期限截止前，竞买人应当至少进行一次有效报价，方有资格参加该宗建设用地使用权或矿业权的网上限时竞价。</w:t>
      </w:r>
    </w:p>
    <w:p>
      <w:pPr>
        <w:pStyle w:val="5"/>
        <w:widowControl w:val="0"/>
        <w:topLinePunct/>
        <w:snapToGrid w:val="0"/>
        <w:spacing w:before="0" w:beforeLines="0" w:beforeAutospacing="0" w:after="0" w:afterLines="0" w:afterAutospacing="0" w:line="574" w:lineRule="exact"/>
        <w:ind w:firstLine="640" w:firstLineChars="200"/>
        <w:jc w:val="both"/>
        <w:textAlignment w:val="center"/>
        <w:rPr>
          <w:rFonts w:hint="eastAsia" w:ascii="仿宋_GB2312" w:eastAsia="仿宋_GB2312"/>
          <w:color w:val="auto"/>
          <w:sz w:val="32"/>
          <w:lang w:eastAsia="zh-CN"/>
        </w:rPr>
      </w:pPr>
      <w:r>
        <w:rPr>
          <w:rFonts w:hint="eastAsia" w:ascii="黑体" w:eastAsia="黑体"/>
          <w:color w:val="auto"/>
          <w:sz w:val="32"/>
        </w:rPr>
        <w:t>第二十</w:t>
      </w:r>
      <w:r>
        <w:rPr>
          <w:rFonts w:hint="eastAsia" w:ascii="黑体" w:eastAsia="黑体"/>
          <w:color w:val="auto"/>
          <w:sz w:val="32"/>
          <w:lang w:eastAsia="zh-CN"/>
        </w:rPr>
        <w:t>一</w:t>
      </w:r>
      <w:r>
        <w:rPr>
          <w:rFonts w:hint="eastAsia" w:ascii="黑体" w:eastAsia="黑体"/>
          <w:color w:val="auto"/>
          <w:sz w:val="32"/>
        </w:rPr>
        <w:t>条</w:t>
      </w:r>
      <w:r>
        <w:rPr>
          <w:rFonts w:hint="eastAsia" w:ascii="仿宋_GB2312" w:eastAsia="仿宋_GB2312"/>
          <w:color w:val="auto"/>
          <w:sz w:val="32"/>
        </w:rPr>
        <w:t>　</w:t>
      </w:r>
      <w:r>
        <w:rPr>
          <w:rFonts w:hint="eastAsia" w:ascii="仿宋_GB2312" w:eastAsia="仿宋_GB2312"/>
          <w:color w:val="auto"/>
          <w:sz w:val="32"/>
          <w:lang w:eastAsia="zh-CN"/>
        </w:rPr>
        <w:t>报价、竞价基本程序：</w:t>
      </w:r>
    </w:p>
    <w:p>
      <w:pPr>
        <w:pStyle w:val="5"/>
        <w:widowControl w:val="0"/>
        <w:numPr>
          <w:ilvl w:val="0"/>
          <w:numId w:val="0"/>
        </w:numPr>
        <w:topLinePunct/>
        <w:snapToGrid w:val="0"/>
        <w:spacing w:before="0" w:beforeAutospacing="0" w:after="0" w:afterAutospacing="0" w:line="574" w:lineRule="exact"/>
        <w:ind w:firstLine="640" w:firstLineChars="0"/>
        <w:jc w:val="both"/>
        <w:textAlignment w:val="center"/>
        <w:rPr>
          <w:rFonts w:hint="eastAsia" w:ascii="仿宋_GB2312" w:eastAsia="仿宋_GB2312"/>
          <w:color w:val="auto"/>
          <w:sz w:val="32"/>
          <w:lang w:eastAsia="zh-CN"/>
        </w:rPr>
      </w:pPr>
      <w:r>
        <w:rPr>
          <w:rFonts w:hint="eastAsia" w:ascii="仿宋_GB2312" w:eastAsia="仿宋_GB2312"/>
          <w:color w:val="auto"/>
          <w:sz w:val="32"/>
          <w:lang w:eastAsia="zh-CN"/>
        </w:rPr>
        <w:t>（一）在网上报价期限内，竞买人按规定登录交易系统进行报价，符合条件的报价，</w:t>
      </w:r>
      <w:r>
        <w:rPr>
          <w:rFonts w:hint="eastAsia" w:ascii="仿宋_GB2312" w:eastAsia="仿宋_GB2312"/>
          <w:color w:val="auto"/>
          <w:sz w:val="32"/>
        </w:rPr>
        <w:t>交易系统予以接受且自动识别更新价</w:t>
      </w:r>
      <w:r>
        <w:rPr>
          <w:rFonts w:hint="eastAsia" w:ascii="仿宋_GB2312" w:eastAsia="仿宋_GB2312"/>
          <w:color w:val="auto"/>
          <w:sz w:val="32"/>
          <w:lang w:eastAsia="zh-CN"/>
        </w:rPr>
        <w:t>格，并实时公布。</w:t>
      </w:r>
    </w:p>
    <w:p>
      <w:pPr>
        <w:pStyle w:val="5"/>
        <w:widowControl w:val="0"/>
        <w:numPr>
          <w:ilvl w:val="0"/>
          <w:numId w:val="0"/>
        </w:numPr>
        <w:topLinePunct/>
        <w:snapToGrid w:val="0"/>
        <w:spacing w:before="0" w:beforeLines="0" w:beforeAutospacing="0" w:after="0" w:afterLines="0" w:afterAutospacing="0" w:line="574" w:lineRule="exact"/>
        <w:ind w:firstLine="0" w:firstLineChars="0"/>
        <w:jc w:val="both"/>
        <w:textAlignment w:val="center"/>
        <w:rPr>
          <w:rFonts w:hint="eastAsia" w:ascii="仿宋_GB2312" w:eastAsia="仿宋_GB2312"/>
          <w:color w:val="auto"/>
          <w:sz w:val="32"/>
        </w:rPr>
      </w:pPr>
      <w:r>
        <w:rPr>
          <w:rFonts w:hint="eastAsia" w:ascii="仿宋_GB2312" w:eastAsia="仿宋_GB2312"/>
          <w:color w:val="auto"/>
          <w:sz w:val="32"/>
          <w:lang w:val="en-US" w:eastAsia="zh-CN"/>
        </w:rPr>
        <w:t xml:space="preserve">    </w:t>
      </w:r>
      <w:r>
        <w:rPr>
          <w:rFonts w:hint="eastAsia" w:ascii="仿宋_GB2312" w:eastAsia="仿宋_GB2312"/>
          <w:color w:val="auto"/>
          <w:sz w:val="32"/>
          <w:lang w:eastAsia="zh-CN"/>
        </w:rPr>
        <w:t>（二）网上报价期限届满，在网上报价期限内有两个或两个以上竞买人报价的，交易系统将进入网上限时竞价程序</w:t>
      </w:r>
      <w:r>
        <w:rPr>
          <w:rFonts w:hint="eastAsia" w:ascii="仿宋_GB2312" w:eastAsia="仿宋_GB2312"/>
          <w:color w:val="auto"/>
          <w:sz w:val="32"/>
          <w:lang w:val="en-US" w:eastAsia="zh-CN"/>
        </w:rPr>
        <w:t>:</w:t>
      </w:r>
    </w:p>
    <w:p>
      <w:pPr>
        <w:pStyle w:val="5"/>
        <w:widowControl w:val="0"/>
        <w:numPr>
          <w:ilvl w:val="0"/>
          <w:numId w:val="0"/>
        </w:numPr>
        <w:topLinePunct/>
        <w:snapToGrid w:val="0"/>
        <w:spacing w:before="0" w:beforeLines="0" w:beforeAutospacing="0" w:after="0" w:afterLines="0" w:afterAutospacing="0" w:line="574" w:lineRule="exact"/>
        <w:ind w:firstLine="640" w:firstLineChars="0"/>
        <w:jc w:val="both"/>
        <w:textAlignment w:val="center"/>
        <w:rPr>
          <w:rFonts w:hint="eastAsia" w:ascii="仿宋_GB2312" w:eastAsia="仿宋_GB2312"/>
          <w:color w:val="auto"/>
          <w:sz w:val="32"/>
        </w:rPr>
      </w:pPr>
      <w:r>
        <w:rPr>
          <w:rFonts w:hint="eastAsia" w:ascii="仿宋_GB2312" w:eastAsia="仿宋_GB2312"/>
          <w:color w:val="auto"/>
          <w:sz w:val="32"/>
          <w:lang w:val="en-US" w:eastAsia="zh-CN"/>
        </w:rPr>
        <w:t>1、</w:t>
      </w:r>
      <w:r>
        <w:rPr>
          <w:rFonts w:hint="eastAsia" w:ascii="仿宋_GB2312" w:eastAsia="仿宋_GB2312"/>
          <w:color w:val="auto"/>
          <w:sz w:val="32"/>
        </w:rPr>
        <w:t>交易系统一般以</w:t>
      </w:r>
      <w:r>
        <w:rPr>
          <w:rFonts w:hint="eastAsia" w:ascii="仿宋_GB2312" w:eastAsia="仿宋_GB2312"/>
          <w:color w:val="auto"/>
          <w:sz w:val="32"/>
          <w:lang w:val="en-US" w:eastAsia="zh-CN"/>
        </w:rPr>
        <w:t>5</w:t>
      </w:r>
      <w:r>
        <w:rPr>
          <w:rFonts w:hint="eastAsia" w:ascii="仿宋_GB2312" w:eastAsia="仿宋_GB2312"/>
          <w:color w:val="auto"/>
          <w:sz w:val="32"/>
        </w:rPr>
        <w:t>分钟倒计时为竞价时限，如在</w:t>
      </w:r>
      <w:r>
        <w:rPr>
          <w:rFonts w:hint="eastAsia" w:ascii="仿宋_GB2312" w:eastAsia="仿宋_GB2312"/>
          <w:color w:val="auto"/>
          <w:sz w:val="32"/>
          <w:lang w:val="en-US" w:eastAsia="zh-CN"/>
        </w:rPr>
        <w:t>5</w:t>
      </w:r>
      <w:r>
        <w:rPr>
          <w:rFonts w:hint="eastAsia" w:ascii="仿宋_GB2312" w:eastAsia="仿宋_GB2312"/>
          <w:color w:val="auto"/>
          <w:sz w:val="32"/>
        </w:rPr>
        <w:t>分钟倒计时内有新的报价，交易系统即从接受新的报价起再顺延</w:t>
      </w:r>
      <w:r>
        <w:rPr>
          <w:rFonts w:hint="eastAsia" w:ascii="仿宋_GB2312" w:eastAsia="仿宋_GB2312"/>
          <w:color w:val="auto"/>
          <w:sz w:val="32"/>
          <w:lang w:val="en-US" w:eastAsia="zh-CN"/>
        </w:rPr>
        <w:t>5</w:t>
      </w:r>
      <w:r>
        <w:rPr>
          <w:rFonts w:hint="eastAsia" w:ascii="仿宋_GB2312" w:eastAsia="仿宋_GB2312"/>
          <w:color w:val="auto"/>
          <w:sz w:val="32"/>
        </w:rPr>
        <w:t>分钟</w:t>
      </w:r>
      <w:r>
        <w:rPr>
          <w:rFonts w:hint="eastAsia" w:ascii="仿宋_GB2312" w:eastAsia="仿宋_GB2312"/>
          <w:color w:val="auto"/>
          <w:sz w:val="32"/>
          <w:lang w:eastAsia="zh-CN"/>
        </w:rPr>
        <w:t>；</w:t>
      </w:r>
    </w:p>
    <w:p>
      <w:pPr>
        <w:pStyle w:val="5"/>
        <w:widowControl/>
        <w:numPr>
          <w:ilvl w:val="0"/>
          <w:numId w:val="0"/>
        </w:numPr>
        <w:topLinePunct/>
        <w:snapToGrid w:val="0"/>
        <w:spacing w:before="0" w:beforeLines="0" w:beforeAutospacing="0" w:after="0" w:afterLines="0" w:afterAutospacing="0" w:line="574" w:lineRule="exact"/>
        <w:ind w:firstLine="640" w:firstLineChars="0"/>
        <w:jc w:val="left"/>
        <w:textAlignment w:val="center"/>
        <w:rPr>
          <w:rFonts w:hint="eastAsia" w:ascii="仿宋_GB2312" w:eastAsia="仿宋_GB2312"/>
          <w:color w:val="auto"/>
          <w:sz w:val="32"/>
          <w:lang w:eastAsia="zh-CN"/>
        </w:rPr>
      </w:pPr>
      <w:r>
        <w:rPr>
          <w:rFonts w:hint="eastAsia" w:ascii="仿宋_GB2312" w:eastAsia="仿宋_GB2312"/>
          <w:color w:val="auto"/>
          <w:sz w:val="32"/>
          <w:lang w:val="en-US" w:eastAsia="zh-CN"/>
        </w:rPr>
        <w:t>2、5</w:t>
      </w:r>
      <w:r>
        <w:rPr>
          <w:rFonts w:hint="eastAsia" w:ascii="仿宋_GB2312" w:eastAsia="仿宋_GB2312"/>
          <w:color w:val="auto"/>
          <w:sz w:val="32"/>
        </w:rPr>
        <w:t>分钟倒计时截止，</w:t>
      </w:r>
      <w:r>
        <w:rPr>
          <w:rFonts w:hint="eastAsia" w:ascii="仿宋_GB2312" w:eastAsia="仿宋_GB2312"/>
          <w:color w:val="auto"/>
          <w:sz w:val="32"/>
          <w:szCs w:val="32"/>
        </w:rPr>
        <w:t>交易</w:t>
      </w:r>
      <w:r>
        <w:rPr>
          <w:rFonts w:hint="eastAsia" w:ascii="仿宋_GB2312" w:eastAsia="仿宋_GB2312"/>
          <w:color w:val="auto"/>
          <w:sz w:val="32"/>
        </w:rPr>
        <w:t>系统将不再接受新的报价，</w:t>
      </w:r>
      <w:r>
        <w:rPr>
          <w:rFonts w:hint="eastAsia" w:ascii="仿宋_GB2312" w:eastAsia="仿宋_GB2312"/>
          <w:color w:val="auto"/>
          <w:sz w:val="32"/>
          <w:lang w:eastAsia="zh-CN"/>
        </w:rPr>
        <w:t>并</w:t>
      </w:r>
      <w:r>
        <w:rPr>
          <w:rFonts w:hint="eastAsia" w:ascii="仿宋_GB2312" w:eastAsia="仿宋_GB2312"/>
          <w:color w:val="auto"/>
          <w:sz w:val="32"/>
        </w:rPr>
        <w:t>显示</w:t>
      </w:r>
      <w:r>
        <w:rPr>
          <w:rFonts w:hint="eastAsia" w:ascii="仿宋_GB2312" w:eastAsia="仿宋_GB2312"/>
          <w:color w:val="auto"/>
          <w:sz w:val="32"/>
          <w:lang w:eastAsia="zh-CN"/>
        </w:rPr>
        <w:t>最高报价</w:t>
      </w:r>
      <w:r>
        <w:rPr>
          <w:rFonts w:hint="eastAsia" w:ascii="仿宋_GB2312" w:eastAsia="仿宋_GB2312"/>
          <w:color w:val="auto"/>
          <w:sz w:val="32"/>
        </w:rPr>
        <w:t>及</w:t>
      </w:r>
      <w:r>
        <w:rPr>
          <w:rFonts w:hint="eastAsia" w:ascii="仿宋_GB2312" w:eastAsia="仿宋_GB2312"/>
          <w:color w:val="auto"/>
          <w:sz w:val="32"/>
          <w:lang w:eastAsia="zh-CN"/>
        </w:rPr>
        <w:t>最高报价者竞买号。</w:t>
      </w:r>
    </w:p>
    <w:p>
      <w:pPr>
        <w:pStyle w:val="5"/>
        <w:widowControl w:val="0"/>
        <w:numPr>
          <w:ilvl w:val="0"/>
          <w:numId w:val="0"/>
        </w:numPr>
        <w:topLinePunct/>
        <w:snapToGrid w:val="0"/>
        <w:spacing w:before="0" w:beforeLines="0" w:beforeAutospacing="0" w:after="0" w:afterLines="0" w:afterAutospacing="0" w:line="574" w:lineRule="exact"/>
        <w:ind w:firstLine="640" w:firstLineChars="0"/>
        <w:jc w:val="both"/>
        <w:textAlignment w:val="center"/>
        <w:rPr>
          <w:rFonts w:hint="eastAsia" w:ascii="仿宋_GB2312" w:eastAsia="仿宋_GB2312"/>
          <w:color w:val="auto"/>
          <w:sz w:val="32"/>
          <w:lang w:val="en-US" w:eastAsia="zh-CN"/>
        </w:rPr>
      </w:pPr>
      <w:r>
        <w:rPr>
          <w:rFonts w:hint="eastAsia" w:ascii="黑体" w:hAnsi="黑体" w:eastAsia="黑体" w:cs="黑体"/>
          <w:color w:val="auto"/>
          <w:sz w:val="32"/>
          <w:lang w:val="en-US" w:eastAsia="zh-CN"/>
        </w:rPr>
        <w:t>第二十二条</w:t>
      </w:r>
      <w:r>
        <w:rPr>
          <w:rFonts w:hint="eastAsia" w:ascii="仿宋_GB2312" w:eastAsia="仿宋_GB2312"/>
          <w:color w:val="auto"/>
          <w:sz w:val="32"/>
          <w:lang w:val="en-US" w:eastAsia="zh-CN"/>
        </w:rPr>
        <w:t xml:space="preserve">  上网竞价交易的最高报价者应按下列规定进行确认：</w:t>
      </w:r>
    </w:p>
    <w:p>
      <w:pPr>
        <w:pStyle w:val="5"/>
        <w:widowControl w:val="0"/>
        <w:numPr>
          <w:ilvl w:val="0"/>
          <w:numId w:val="0"/>
        </w:numPr>
        <w:topLinePunct/>
        <w:snapToGrid w:val="0"/>
        <w:spacing w:before="0" w:beforeAutospacing="0" w:after="0" w:afterAutospacing="0" w:line="574" w:lineRule="exact"/>
        <w:ind w:firstLine="640" w:firstLineChars="200"/>
        <w:jc w:val="both"/>
        <w:textAlignment w:val="center"/>
        <w:rPr>
          <w:rFonts w:hint="eastAsia" w:ascii="仿宋_GB2312" w:eastAsia="仿宋_GB2312"/>
          <w:color w:val="auto"/>
          <w:sz w:val="32"/>
        </w:rPr>
      </w:pPr>
      <w:r>
        <w:rPr>
          <w:rFonts w:hint="eastAsia" w:ascii="仿宋_GB2312" w:eastAsia="仿宋_GB2312" w:cs="Times New Roman"/>
          <w:color w:val="auto"/>
          <w:sz w:val="32"/>
          <w:lang w:val="en-US" w:eastAsia="zh-CN"/>
        </w:rPr>
        <w:t>（一）</w:t>
      </w:r>
      <w:r>
        <w:rPr>
          <w:rFonts w:hint="eastAsia" w:ascii="仿宋_GB2312" w:hAnsi="Verdana" w:eastAsia="仿宋_GB2312" w:cs="Times New Roman"/>
          <w:color w:val="auto"/>
          <w:sz w:val="32"/>
          <w:lang w:val="en-US" w:eastAsia="zh-CN"/>
        </w:rPr>
        <w:t>在</w:t>
      </w:r>
      <w:r>
        <w:rPr>
          <w:rFonts w:hint="eastAsia" w:ascii="仿宋_GB2312" w:eastAsia="仿宋_GB2312"/>
          <w:color w:val="auto"/>
          <w:sz w:val="32"/>
          <w:lang w:val="en-US" w:eastAsia="zh-CN"/>
        </w:rPr>
        <w:t>网上报价期限</w:t>
      </w:r>
      <w:r>
        <w:rPr>
          <w:rFonts w:hint="eastAsia" w:ascii="仿宋_GB2312" w:hAnsi="Verdana" w:eastAsia="仿宋_GB2312" w:cs="Times New Roman"/>
          <w:color w:val="auto"/>
          <w:sz w:val="32"/>
          <w:lang w:val="en-US" w:eastAsia="zh-CN"/>
        </w:rPr>
        <w:t>内</w:t>
      </w:r>
      <w:r>
        <w:rPr>
          <w:rFonts w:hint="eastAsia" w:ascii="仿宋_GB2312" w:eastAsia="仿宋_GB2312"/>
          <w:color w:val="auto"/>
          <w:sz w:val="32"/>
          <w:lang w:val="en-US" w:eastAsia="zh-CN"/>
        </w:rPr>
        <w:t>，</w:t>
      </w:r>
      <w:r>
        <w:rPr>
          <w:rFonts w:hint="eastAsia" w:ascii="仿宋_GB2312" w:hAnsi="Verdana" w:eastAsia="仿宋_GB2312" w:cs="Times New Roman"/>
          <w:color w:val="auto"/>
          <w:sz w:val="32"/>
          <w:lang w:val="en-US" w:eastAsia="zh-CN"/>
        </w:rPr>
        <w:t>无报价者或</w:t>
      </w:r>
      <w:r>
        <w:rPr>
          <w:rFonts w:hint="eastAsia" w:ascii="仿宋_GB2312" w:eastAsia="仿宋_GB2312"/>
          <w:color w:val="auto"/>
          <w:sz w:val="32"/>
        </w:rPr>
        <w:t>者竞买人的报价均低于起始价的，此次上网竞价不成交</w:t>
      </w:r>
      <w:r>
        <w:rPr>
          <w:rFonts w:hint="eastAsia" w:ascii="仿宋_GB2312" w:eastAsia="仿宋_GB2312"/>
          <w:color w:val="auto"/>
          <w:sz w:val="32"/>
          <w:lang w:eastAsia="zh-CN"/>
        </w:rPr>
        <w:t>，无最高报价者。</w:t>
      </w:r>
    </w:p>
    <w:p>
      <w:pPr>
        <w:pStyle w:val="5"/>
        <w:widowControl w:val="0"/>
        <w:numPr>
          <w:ilvl w:val="0"/>
          <w:numId w:val="0"/>
        </w:numPr>
        <w:topLinePunct/>
        <w:snapToGrid w:val="0"/>
        <w:spacing w:before="0" w:beforeAutospacing="0" w:after="0" w:afterAutospacing="0" w:line="574" w:lineRule="exact"/>
        <w:ind w:firstLine="640" w:firstLineChars="200"/>
        <w:jc w:val="both"/>
        <w:textAlignment w:val="center"/>
        <w:rPr>
          <w:rFonts w:hint="eastAsia" w:ascii="仿宋_GB2312" w:eastAsia="仿宋_GB2312"/>
          <w:color w:val="auto"/>
          <w:sz w:val="32"/>
          <w:lang w:val="en-US" w:eastAsia="zh-CN"/>
        </w:rPr>
      </w:pPr>
      <w:r>
        <w:rPr>
          <w:rFonts w:hint="eastAsia" w:ascii="仿宋_GB2312" w:eastAsia="仿宋_GB2312"/>
          <w:color w:val="auto"/>
          <w:sz w:val="32"/>
          <w:lang w:val="en-US" w:eastAsia="zh-CN"/>
        </w:rPr>
        <w:t>（二）在网上报价期限内，只有一个竞买人报价，且报价不低于起始价，并符合相关条件的，此竞买人确定为最高报价者。</w:t>
      </w:r>
    </w:p>
    <w:p>
      <w:pPr>
        <w:pStyle w:val="5"/>
        <w:widowControl w:val="0"/>
        <w:numPr>
          <w:ilvl w:val="0"/>
          <w:numId w:val="0"/>
        </w:numPr>
        <w:topLinePunct/>
        <w:snapToGrid w:val="0"/>
        <w:spacing w:before="0" w:beforeAutospacing="0" w:after="0" w:afterAutospacing="0" w:line="574" w:lineRule="exact"/>
        <w:ind w:firstLine="640" w:firstLineChars="200"/>
        <w:jc w:val="both"/>
        <w:textAlignment w:val="center"/>
        <w:rPr>
          <w:rFonts w:hint="eastAsia" w:ascii="仿宋_GB2312" w:eastAsia="仿宋_GB2312"/>
          <w:color w:val="auto"/>
          <w:sz w:val="32"/>
          <w:lang w:val="en-US" w:eastAsia="zh-CN"/>
        </w:rPr>
      </w:pPr>
      <w:r>
        <w:rPr>
          <w:rFonts w:hint="eastAsia" w:ascii="仿宋_GB2312" w:eastAsia="仿宋_GB2312"/>
          <w:color w:val="auto"/>
          <w:sz w:val="32"/>
          <w:lang w:val="en-US" w:eastAsia="zh-CN"/>
        </w:rPr>
        <w:t>（三）在网上限时竞价期限内，最高报价且不低于起始价，并符合相关条件的竞买人确定为最高报价者。</w:t>
      </w:r>
    </w:p>
    <w:p>
      <w:pPr>
        <w:pStyle w:val="5"/>
        <w:widowControl w:val="0"/>
        <w:numPr>
          <w:ilvl w:val="0"/>
          <w:numId w:val="0"/>
        </w:numPr>
        <w:topLinePunct/>
        <w:snapToGrid w:val="0"/>
        <w:spacing w:before="0" w:beforeAutospacing="0" w:after="0" w:afterAutospacing="0" w:line="574" w:lineRule="exact"/>
        <w:ind w:firstLine="640" w:firstLineChars="0"/>
        <w:jc w:val="both"/>
        <w:textAlignment w:val="center"/>
        <w:rPr>
          <w:rFonts w:hint="eastAsia" w:ascii="仿宋_GB2312" w:eastAsia="仿宋_GB2312"/>
          <w:color w:val="auto"/>
          <w:sz w:val="32"/>
          <w:lang w:val="en-US" w:eastAsia="zh-CN"/>
        </w:rPr>
      </w:pPr>
      <w:r>
        <w:rPr>
          <w:rFonts w:hint="eastAsia" w:ascii="仿宋_GB2312" w:eastAsia="仿宋_GB2312"/>
          <w:color w:val="auto"/>
          <w:sz w:val="32"/>
          <w:lang w:val="en-US" w:eastAsia="zh-CN"/>
        </w:rPr>
        <w:t>（四）网上限时竞价中无人报价的，以网上报价期限内最高报价不低于起始价的竞买人确定为最高报价者。</w:t>
      </w:r>
    </w:p>
    <w:p>
      <w:pPr>
        <w:pStyle w:val="5"/>
        <w:widowControl w:val="0"/>
        <w:topLinePunct/>
        <w:snapToGrid w:val="0"/>
        <w:spacing w:before="0" w:beforeAutospacing="0" w:after="0" w:afterAutospacing="0" w:line="574" w:lineRule="exact"/>
        <w:ind w:firstLine="640" w:firstLineChars="200"/>
        <w:jc w:val="both"/>
        <w:textAlignment w:val="center"/>
        <w:rPr>
          <w:rFonts w:hint="eastAsia" w:ascii="仿宋_GB2312" w:eastAsia="仿宋_GB2312"/>
          <w:color w:val="auto"/>
          <w:sz w:val="32"/>
        </w:rPr>
      </w:pPr>
      <w:r>
        <w:rPr>
          <w:rFonts w:hint="eastAsia" w:ascii="黑体" w:hAnsi="黑体" w:eastAsia="黑体" w:cs="黑体"/>
          <w:color w:val="auto"/>
          <w:sz w:val="32"/>
          <w:lang w:eastAsia="zh-CN"/>
        </w:rPr>
        <w:t>第二十三条</w:t>
      </w:r>
      <w:r>
        <w:rPr>
          <w:rFonts w:hint="eastAsia" w:ascii="仿宋_GB2312" w:eastAsia="仿宋_GB2312"/>
          <w:color w:val="auto"/>
          <w:sz w:val="32"/>
          <w:lang w:val="en-US" w:eastAsia="zh-CN"/>
        </w:rPr>
        <w:t xml:space="preserve">  </w:t>
      </w:r>
      <w:r>
        <w:rPr>
          <w:rFonts w:hint="eastAsia" w:ascii="仿宋_GB2312" w:eastAsia="仿宋_GB2312"/>
          <w:color w:val="auto"/>
          <w:sz w:val="32"/>
        </w:rPr>
        <w:t>交易中心有权设定每宗建设用地使用权或矿业权的竞价时限。</w:t>
      </w:r>
    </w:p>
    <w:p>
      <w:pPr>
        <w:pStyle w:val="5"/>
        <w:widowControl w:val="0"/>
        <w:topLinePunct/>
        <w:snapToGrid w:val="0"/>
        <w:spacing w:before="0" w:beforeAutospacing="0" w:after="0" w:afterAutospacing="0" w:line="574" w:lineRule="exact"/>
        <w:ind w:firstLine="640" w:firstLineChars="200"/>
        <w:jc w:val="both"/>
        <w:textAlignment w:val="center"/>
        <w:rPr>
          <w:rFonts w:hint="eastAsia" w:ascii="仿宋_GB2312" w:eastAsia="仿宋_GB2312"/>
          <w:color w:val="auto"/>
          <w:sz w:val="32"/>
          <w:lang w:val="en-US" w:eastAsia="zh-CN"/>
        </w:rPr>
      </w:pPr>
    </w:p>
    <w:p>
      <w:pPr>
        <w:pStyle w:val="5"/>
        <w:widowControl w:val="0"/>
        <w:topLinePunct/>
        <w:snapToGrid w:val="0"/>
        <w:spacing w:before="0" w:beforeAutospacing="0" w:after="0" w:afterAutospacing="0" w:line="574" w:lineRule="exact"/>
        <w:jc w:val="center"/>
        <w:textAlignment w:val="center"/>
        <w:rPr>
          <w:rFonts w:hint="eastAsia" w:ascii="黑体" w:eastAsia="黑体"/>
          <w:color w:val="auto"/>
          <w:sz w:val="32"/>
        </w:rPr>
      </w:pPr>
      <w:r>
        <w:rPr>
          <w:rFonts w:hint="eastAsia" w:ascii="黑体" w:eastAsia="黑体"/>
          <w:color w:val="auto"/>
          <w:sz w:val="32"/>
        </w:rPr>
        <w:t>第五章    成交确认</w:t>
      </w:r>
    </w:p>
    <w:p>
      <w:pPr>
        <w:pStyle w:val="5"/>
        <w:widowControl w:val="0"/>
        <w:topLinePunct/>
        <w:snapToGrid w:val="0"/>
        <w:spacing w:before="0" w:beforeAutospacing="0" w:after="0" w:afterAutospacing="0" w:line="574" w:lineRule="exact"/>
        <w:ind w:firstLine="640" w:firstLineChars="200"/>
        <w:jc w:val="both"/>
        <w:textAlignment w:val="center"/>
        <w:rPr>
          <w:rFonts w:hint="eastAsia" w:ascii="仿宋_GB2312" w:eastAsia="仿宋_GB2312"/>
          <w:color w:val="auto"/>
          <w:sz w:val="32"/>
        </w:rPr>
      </w:pPr>
      <w:r>
        <w:rPr>
          <w:rFonts w:hint="eastAsia" w:ascii="黑体" w:eastAsia="黑体"/>
          <w:color w:val="auto"/>
          <w:sz w:val="32"/>
        </w:rPr>
        <w:t>第二十</w:t>
      </w:r>
      <w:r>
        <w:rPr>
          <w:rFonts w:hint="eastAsia" w:ascii="黑体" w:eastAsia="黑体"/>
          <w:color w:val="auto"/>
          <w:sz w:val="32"/>
          <w:lang w:eastAsia="zh-CN"/>
        </w:rPr>
        <w:t>四</w:t>
      </w:r>
      <w:r>
        <w:rPr>
          <w:rFonts w:hint="eastAsia" w:ascii="黑体" w:eastAsia="黑体"/>
          <w:color w:val="auto"/>
          <w:sz w:val="32"/>
        </w:rPr>
        <w:t>条</w:t>
      </w:r>
      <w:r>
        <w:rPr>
          <w:rFonts w:hint="eastAsia" w:ascii="仿宋_GB2312" w:eastAsia="仿宋_GB2312"/>
          <w:color w:val="auto"/>
          <w:sz w:val="32"/>
        </w:rPr>
        <w:t>　上网竞价结束后，</w:t>
      </w:r>
      <w:r>
        <w:rPr>
          <w:rFonts w:hint="eastAsia" w:ascii="仿宋_GB2312" w:hAnsi="华文仿宋" w:eastAsia="仿宋_GB2312"/>
          <w:color w:val="auto"/>
          <w:sz w:val="32"/>
          <w:szCs w:val="32"/>
        </w:rPr>
        <w:t>最高报价者必须在</w:t>
      </w:r>
      <w:r>
        <w:rPr>
          <w:rFonts w:hint="eastAsia" w:ascii="仿宋_GB2312" w:hAnsi="华文仿宋" w:eastAsia="仿宋_GB2312"/>
          <w:color w:val="auto"/>
          <w:sz w:val="32"/>
          <w:szCs w:val="32"/>
          <w:lang w:eastAsia="zh-CN"/>
        </w:rPr>
        <w:t>交易系统中</w:t>
      </w:r>
      <w:r>
        <w:rPr>
          <w:rFonts w:hint="eastAsia" w:ascii="仿宋_GB2312" w:hAnsi="华文仿宋" w:eastAsia="仿宋_GB2312"/>
          <w:color w:val="auto"/>
          <w:sz w:val="32"/>
          <w:szCs w:val="32"/>
        </w:rPr>
        <w:t>打印《最高报价确认通知书》</w:t>
      </w:r>
      <w:r>
        <w:rPr>
          <w:rFonts w:hint="eastAsia" w:ascii="仿宋_GB2312" w:eastAsia="仿宋_GB2312"/>
          <w:color w:val="auto"/>
          <w:sz w:val="32"/>
        </w:rPr>
        <w:t>，</w:t>
      </w:r>
      <w:r>
        <w:rPr>
          <w:rFonts w:hint="eastAsia" w:ascii="仿宋_GB2312" w:eastAsia="仿宋_GB2312"/>
          <w:color w:val="auto"/>
          <w:sz w:val="32"/>
          <w:lang w:eastAsia="zh-CN"/>
        </w:rPr>
        <w:t>并按规定与</w:t>
      </w:r>
      <w:r>
        <w:rPr>
          <w:rFonts w:hint="eastAsia" w:ascii="仿宋_GB2312" w:eastAsia="仿宋_GB2312"/>
          <w:color w:val="auto"/>
          <w:sz w:val="32"/>
        </w:rPr>
        <w:t>交易中心签订《成交确认书》</w:t>
      </w:r>
      <w:r>
        <w:rPr>
          <w:rFonts w:hint="eastAsia" w:ascii="仿宋_GB2312" w:eastAsia="仿宋_GB2312"/>
          <w:color w:val="auto"/>
          <w:sz w:val="32"/>
          <w:lang w:eastAsia="zh-CN"/>
        </w:rPr>
        <w:t>，经交易中心确认，双方签名盖章生效后，公开交易方可确认成交。</w:t>
      </w:r>
    </w:p>
    <w:p>
      <w:pPr>
        <w:pStyle w:val="5"/>
        <w:widowControl w:val="0"/>
        <w:topLinePunct/>
        <w:snapToGrid w:val="0"/>
        <w:spacing w:before="0" w:beforeAutospacing="0" w:after="0" w:afterAutospacing="0" w:line="574" w:lineRule="exact"/>
        <w:ind w:firstLine="640" w:firstLineChars="200"/>
        <w:jc w:val="both"/>
        <w:textAlignment w:val="center"/>
        <w:rPr>
          <w:rFonts w:hint="eastAsia" w:ascii="仿宋_GB2312" w:eastAsia="仿宋_GB2312"/>
          <w:color w:val="auto"/>
          <w:sz w:val="32"/>
        </w:rPr>
      </w:pPr>
      <w:r>
        <w:rPr>
          <w:rFonts w:hint="eastAsia" w:ascii="黑体" w:eastAsia="黑体"/>
          <w:bCs/>
          <w:color w:val="auto"/>
          <w:sz w:val="32"/>
        </w:rPr>
        <w:t>第</w:t>
      </w:r>
      <w:r>
        <w:rPr>
          <w:rFonts w:hint="eastAsia" w:ascii="黑体" w:eastAsia="黑体"/>
          <w:bCs/>
          <w:color w:val="auto"/>
          <w:sz w:val="32"/>
          <w:lang w:eastAsia="zh-CN"/>
        </w:rPr>
        <w:t>二十五</w:t>
      </w:r>
      <w:r>
        <w:rPr>
          <w:rFonts w:hint="eastAsia" w:ascii="黑体" w:eastAsia="黑体"/>
          <w:bCs/>
          <w:color w:val="auto"/>
          <w:sz w:val="32"/>
        </w:rPr>
        <w:t>条</w:t>
      </w:r>
      <w:r>
        <w:rPr>
          <w:rFonts w:hint="eastAsia" w:ascii="黑体" w:eastAsia="黑体"/>
          <w:b/>
          <w:color w:val="auto"/>
          <w:sz w:val="32"/>
        </w:rPr>
        <w:t xml:space="preserve">  </w:t>
      </w:r>
      <w:r>
        <w:rPr>
          <w:rFonts w:hint="eastAsia" w:ascii="仿宋_GB2312" w:eastAsia="仿宋_GB2312"/>
          <w:color w:val="auto"/>
          <w:sz w:val="32"/>
        </w:rPr>
        <w:t>上网竞价活动结束后4个工作日内，交易中心将竞价结果通过交易中心门户网站向社会公布。</w:t>
      </w:r>
    </w:p>
    <w:p>
      <w:pPr>
        <w:pStyle w:val="5"/>
        <w:widowControl w:val="0"/>
        <w:topLinePunct/>
        <w:snapToGrid w:val="0"/>
        <w:spacing w:before="0" w:beforeAutospacing="0" w:after="0" w:afterAutospacing="0" w:line="574" w:lineRule="exact"/>
        <w:ind w:firstLine="645"/>
        <w:jc w:val="both"/>
        <w:textAlignment w:val="center"/>
        <w:rPr>
          <w:rFonts w:hint="eastAsia" w:ascii="仿宋_GB2312" w:eastAsia="仿宋_GB2312"/>
          <w:color w:val="auto"/>
          <w:sz w:val="32"/>
        </w:rPr>
      </w:pPr>
      <w:r>
        <w:rPr>
          <w:rFonts w:hint="eastAsia" w:ascii="黑体" w:eastAsia="黑体"/>
          <w:bCs/>
          <w:color w:val="auto"/>
          <w:sz w:val="32"/>
        </w:rPr>
        <w:t>第</w:t>
      </w:r>
      <w:r>
        <w:rPr>
          <w:rFonts w:hint="eastAsia" w:ascii="黑体" w:eastAsia="黑体"/>
          <w:bCs/>
          <w:color w:val="auto"/>
          <w:sz w:val="32"/>
          <w:lang w:eastAsia="zh-CN"/>
        </w:rPr>
        <w:t>二十六</w:t>
      </w:r>
      <w:r>
        <w:rPr>
          <w:rFonts w:hint="eastAsia" w:ascii="黑体" w:eastAsia="黑体"/>
          <w:bCs/>
          <w:color w:val="auto"/>
          <w:sz w:val="32"/>
        </w:rPr>
        <w:t xml:space="preserve">条  </w:t>
      </w:r>
      <w:r>
        <w:rPr>
          <w:rFonts w:hint="eastAsia" w:ascii="仿宋_GB2312" w:eastAsia="仿宋_GB2312"/>
          <w:color w:val="auto"/>
          <w:sz w:val="32"/>
          <w:szCs w:val="32"/>
        </w:rPr>
        <w:t>建设用地使用权</w:t>
      </w:r>
      <w:r>
        <w:rPr>
          <w:rFonts w:hint="eastAsia" w:ascii="仿宋_GB2312" w:eastAsia="仿宋_GB2312"/>
          <w:color w:val="auto"/>
          <w:sz w:val="32"/>
          <w:szCs w:val="32"/>
          <w:lang w:eastAsia="zh-CN"/>
        </w:rPr>
        <w:t>或矿业权的</w:t>
      </w:r>
      <w:r>
        <w:rPr>
          <w:rFonts w:hint="eastAsia" w:ascii="仿宋_GB2312" w:eastAsia="仿宋_GB2312"/>
          <w:color w:val="auto"/>
          <w:sz w:val="32"/>
          <w:szCs w:val="32"/>
        </w:rPr>
        <w:t>竞得人在成交之日起</w:t>
      </w:r>
      <w:r>
        <w:rPr>
          <w:rFonts w:hint="eastAsia" w:ascii="仿宋_GB2312" w:eastAsia="仿宋_GB2312"/>
          <w:color w:val="auto"/>
          <w:sz w:val="32"/>
          <w:szCs w:val="32"/>
          <w:lang w:val="en-US" w:eastAsia="zh-CN"/>
        </w:rPr>
        <w:t>5</w:t>
      </w:r>
      <w:r>
        <w:rPr>
          <w:rFonts w:hint="eastAsia" w:ascii="仿宋_GB2312" w:eastAsia="仿宋_GB2312"/>
          <w:color w:val="auto"/>
          <w:sz w:val="32"/>
          <w:szCs w:val="32"/>
        </w:rPr>
        <w:t>个工作日内</w:t>
      </w:r>
      <w:r>
        <w:rPr>
          <w:rFonts w:hint="eastAsia" w:ascii="仿宋_GB2312" w:eastAsia="仿宋_GB2312"/>
          <w:color w:val="auto"/>
          <w:sz w:val="32"/>
          <w:szCs w:val="32"/>
          <w:lang w:eastAsia="zh-CN"/>
        </w:rPr>
        <w:t>，</w:t>
      </w:r>
      <w:r>
        <w:rPr>
          <w:rFonts w:hint="eastAsia" w:ascii="仿宋_GB2312" w:eastAsia="仿宋_GB2312"/>
          <w:color w:val="auto"/>
          <w:sz w:val="32"/>
          <w:szCs w:val="32"/>
        </w:rPr>
        <w:t>凭竞得人的有效证件、《成交确认书》到中山市</w:t>
      </w:r>
      <w:r>
        <w:rPr>
          <w:rFonts w:hint="eastAsia" w:ascii="仿宋_GB2312" w:eastAsia="仿宋_GB2312"/>
          <w:color w:val="auto"/>
          <w:sz w:val="32"/>
          <w:szCs w:val="32"/>
          <w:lang w:eastAsia="zh-CN"/>
        </w:rPr>
        <w:t>自然</w:t>
      </w:r>
      <w:r>
        <w:rPr>
          <w:rFonts w:hint="eastAsia" w:ascii="仿宋_GB2312" w:eastAsia="仿宋_GB2312"/>
          <w:color w:val="auto"/>
          <w:sz w:val="32"/>
          <w:szCs w:val="32"/>
        </w:rPr>
        <w:t>资源局签订《</w:t>
      </w:r>
      <w:r>
        <w:rPr>
          <w:rFonts w:hint="eastAsia" w:ascii="仿宋_GB2312" w:eastAsia="仿宋_GB2312"/>
          <w:color w:val="auto"/>
          <w:sz w:val="32"/>
        </w:rPr>
        <w:t>出让（转让）合同》并办理相关手续。</w:t>
      </w:r>
    </w:p>
    <w:p>
      <w:pPr>
        <w:pStyle w:val="5"/>
        <w:widowControl w:val="0"/>
        <w:topLinePunct/>
        <w:snapToGrid w:val="0"/>
        <w:spacing w:before="0" w:beforeAutospacing="0" w:after="0" w:afterAutospacing="0" w:line="574" w:lineRule="exact"/>
        <w:ind w:firstLine="645"/>
        <w:jc w:val="both"/>
        <w:textAlignment w:val="center"/>
        <w:rPr>
          <w:rFonts w:hint="eastAsia" w:ascii="仿宋_GB2312" w:eastAsia="仿宋_GB2312"/>
          <w:color w:val="auto"/>
          <w:sz w:val="32"/>
          <w:szCs w:val="32"/>
        </w:rPr>
      </w:pPr>
      <w:r>
        <w:rPr>
          <w:rFonts w:hint="eastAsia" w:ascii="黑体" w:eastAsia="黑体"/>
          <w:bCs/>
          <w:color w:val="auto"/>
          <w:sz w:val="32"/>
        </w:rPr>
        <w:t>第</w:t>
      </w:r>
      <w:r>
        <w:rPr>
          <w:rFonts w:hint="eastAsia" w:ascii="黑体" w:eastAsia="黑体"/>
          <w:bCs/>
          <w:color w:val="auto"/>
          <w:sz w:val="32"/>
          <w:lang w:eastAsia="zh-CN"/>
        </w:rPr>
        <w:t>二十七</w:t>
      </w:r>
      <w:r>
        <w:rPr>
          <w:rFonts w:hint="eastAsia" w:ascii="黑体" w:eastAsia="黑体"/>
          <w:bCs/>
          <w:color w:val="auto"/>
          <w:sz w:val="32"/>
        </w:rPr>
        <w:t xml:space="preserve">条  </w:t>
      </w:r>
      <w:r>
        <w:rPr>
          <w:rFonts w:hint="eastAsia" w:ascii="仿宋_GB2312" w:eastAsia="仿宋_GB2312"/>
          <w:color w:val="auto"/>
          <w:sz w:val="32"/>
          <w:szCs w:val="32"/>
        </w:rPr>
        <w:t>建设用地使用权或矿业权成交后，竞得人交纳的竞买保证金转作标的定金,签订合同后定金可抵减建设用地使用权或矿业权成交价款。未竞得人交纳的竞买保证金将于上网竞价交易活动结束后5个工作日内原路退还，不计利息。</w:t>
      </w:r>
    </w:p>
    <w:p>
      <w:pPr>
        <w:spacing w:before="0" w:beforeAutospacing="0" w:after="0" w:afterAutospacing="0"/>
        <w:ind w:firstLine="640" w:firstLineChars="200"/>
        <w:rPr>
          <w:rFonts w:hint="eastAsia"/>
          <w:color w:val="auto"/>
        </w:rPr>
      </w:pPr>
    </w:p>
    <w:p>
      <w:pPr>
        <w:pStyle w:val="5"/>
        <w:widowControl w:val="0"/>
        <w:topLinePunct/>
        <w:snapToGrid w:val="0"/>
        <w:spacing w:before="0" w:beforeAutospacing="0" w:after="0" w:afterAutospacing="0" w:line="574" w:lineRule="exact"/>
        <w:jc w:val="center"/>
        <w:textAlignment w:val="center"/>
        <w:rPr>
          <w:rFonts w:hint="eastAsia" w:ascii="黑体" w:eastAsia="黑体"/>
          <w:color w:val="auto"/>
          <w:sz w:val="32"/>
        </w:rPr>
      </w:pPr>
      <w:r>
        <w:rPr>
          <w:rFonts w:hint="eastAsia" w:ascii="黑体" w:eastAsia="黑体"/>
          <w:color w:val="auto"/>
          <w:sz w:val="32"/>
        </w:rPr>
        <w:t>第六章</w:t>
      </w:r>
      <w:r>
        <w:rPr>
          <w:rFonts w:hint="eastAsia" w:ascii="黑体" w:eastAsia="黑体"/>
          <w:color w:val="auto"/>
          <w:sz w:val="32"/>
          <w:lang w:val="en-US" w:eastAsia="zh-CN"/>
        </w:rPr>
        <w:t xml:space="preserve">  </w:t>
      </w:r>
      <w:r>
        <w:rPr>
          <w:rFonts w:hint="eastAsia" w:ascii="黑体" w:eastAsia="黑体"/>
          <w:color w:val="auto"/>
          <w:sz w:val="32"/>
        </w:rPr>
        <w:t xml:space="preserve">  交易系统管理</w:t>
      </w:r>
    </w:p>
    <w:p>
      <w:pPr>
        <w:pStyle w:val="5"/>
        <w:widowControl w:val="0"/>
        <w:topLinePunct/>
        <w:snapToGrid w:val="0"/>
        <w:spacing w:before="0" w:beforeAutospacing="0" w:after="0" w:afterAutospacing="0" w:line="574" w:lineRule="exact"/>
        <w:ind w:firstLine="640" w:firstLineChars="200"/>
        <w:jc w:val="both"/>
        <w:textAlignment w:val="center"/>
        <w:rPr>
          <w:rFonts w:hint="eastAsia" w:ascii="仿宋_GB2312" w:hAnsi="仿宋_GB2312" w:eastAsia="仿宋_GB2312"/>
          <w:color w:val="auto"/>
          <w:sz w:val="32"/>
        </w:rPr>
      </w:pPr>
      <w:r>
        <w:rPr>
          <w:rFonts w:hint="eastAsia" w:ascii="黑体" w:eastAsia="黑体"/>
          <w:color w:val="auto"/>
          <w:sz w:val="32"/>
        </w:rPr>
        <w:t>第</w:t>
      </w:r>
      <w:r>
        <w:rPr>
          <w:rFonts w:hint="eastAsia" w:ascii="黑体" w:eastAsia="黑体"/>
          <w:color w:val="auto"/>
          <w:sz w:val="32"/>
          <w:lang w:eastAsia="zh-CN"/>
        </w:rPr>
        <w:t>二十八</w:t>
      </w:r>
      <w:r>
        <w:rPr>
          <w:rFonts w:hint="eastAsia" w:ascii="黑体" w:eastAsia="黑体"/>
          <w:strike w:val="0"/>
          <w:dstrike w:val="0"/>
          <w:color w:val="auto"/>
          <w:sz w:val="32"/>
        </w:rPr>
        <w:t>条</w:t>
      </w:r>
      <w:r>
        <w:rPr>
          <w:rFonts w:hint="eastAsia" w:ascii="黑体" w:eastAsia="黑体"/>
          <w:color w:val="auto"/>
          <w:sz w:val="32"/>
        </w:rPr>
        <w:t xml:space="preserve">  </w:t>
      </w:r>
      <w:r>
        <w:rPr>
          <w:rFonts w:hint="eastAsia" w:ascii="仿宋_GB2312" w:hAnsi="仿宋_GB2312" w:eastAsia="仿宋_GB2312"/>
          <w:color w:val="auto"/>
          <w:sz w:val="32"/>
        </w:rPr>
        <w:t>交易中心负责管理交易系统的正常运作，</w:t>
      </w:r>
      <w:r>
        <w:rPr>
          <w:rFonts w:hint="eastAsia" w:ascii="仿宋_GB2312" w:eastAsia="仿宋_GB2312"/>
          <w:color w:val="auto"/>
          <w:sz w:val="32"/>
          <w:szCs w:val="32"/>
        </w:rPr>
        <w:t>应当严格执行网络信息安全有关规定，采取措施确保交易系统安全，切实做好</w:t>
      </w:r>
      <w:r>
        <w:rPr>
          <w:rFonts w:hint="eastAsia" w:ascii="仿宋_GB2312" w:hAnsi="仿宋_GB2312" w:eastAsia="仿宋_GB2312"/>
          <w:color w:val="auto"/>
          <w:sz w:val="32"/>
        </w:rPr>
        <w:t>相关的管理工作。</w:t>
      </w:r>
    </w:p>
    <w:p>
      <w:pPr>
        <w:pStyle w:val="5"/>
        <w:widowControl w:val="0"/>
        <w:topLinePunct/>
        <w:snapToGrid w:val="0"/>
        <w:spacing w:before="0" w:beforeAutospacing="0" w:after="0" w:afterAutospacing="0" w:line="574" w:lineRule="exact"/>
        <w:ind w:firstLine="640" w:firstLineChars="200"/>
        <w:jc w:val="both"/>
        <w:textAlignment w:val="center"/>
        <w:rPr>
          <w:rFonts w:hint="eastAsia" w:ascii="仿宋_GB2312" w:eastAsia="仿宋_GB2312"/>
          <w:color w:val="auto"/>
          <w:sz w:val="32"/>
        </w:rPr>
      </w:pPr>
      <w:r>
        <w:rPr>
          <w:rFonts w:hint="eastAsia" w:ascii="黑体" w:eastAsia="黑体"/>
          <w:color w:val="auto"/>
          <w:sz w:val="32"/>
        </w:rPr>
        <w:t>第</w:t>
      </w:r>
      <w:r>
        <w:rPr>
          <w:rFonts w:hint="eastAsia" w:ascii="黑体" w:eastAsia="黑体"/>
          <w:color w:val="auto"/>
          <w:sz w:val="32"/>
          <w:lang w:eastAsia="zh-CN"/>
        </w:rPr>
        <w:t>二十九</w:t>
      </w:r>
      <w:r>
        <w:rPr>
          <w:rFonts w:hint="eastAsia" w:ascii="黑体" w:eastAsia="黑体"/>
          <w:color w:val="auto"/>
          <w:sz w:val="32"/>
        </w:rPr>
        <w:t>条</w:t>
      </w:r>
      <w:r>
        <w:rPr>
          <w:rFonts w:hint="eastAsia" w:ascii="仿宋_GB2312" w:eastAsia="仿宋_GB2312"/>
          <w:color w:val="auto"/>
          <w:sz w:val="32"/>
        </w:rPr>
        <w:t>　交易系统的程序修改须经交易中心批准后方可进行操作，任何人不得擅自更改系统程序。</w:t>
      </w:r>
    </w:p>
    <w:p>
      <w:pPr>
        <w:pStyle w:val="5"/>
        <w:widowControl w:val="0"/>
        <w:topLinePunct/>
        <w:snapToGrid w:val="0"/>
        <w:spacing w:before="0" w:beforeAutospacing="0" w:after="0" w:afterAutospacing="0" w:line="574" w:lineRule="exact"/>
        <w:ind w:firstLine="640" w:firstLineChars="200"/>
        <w:jc w:val="both"/>
        <w:textAlignment w:val="center"/>
        <w:rPr>
          <w:rFonts w:hint="eastAsia" w:ascii="仿宋_GB2312" w:eastAsia="仿宋_GB2312"/>
          <w:color w:val="auto"/>
          <w:sz w:val="32"/>
        </w:rPr>
      </w:pPr>
      <w:r>
        <w:rPr>
          <w:rFonts w:hint="eastAsia" w:ascii="黑体" w:eastAsia="黑体"/>
          <w:color w:val="auto"/>
          <w:sz w:val="32"/>
        </w:rPr>
        <w:t xml:space="preserve">第三十条  </w:t>
      </w:r>
      <w:r>
        <w:rPr>
          <w:rFonts w:hint="eastAsia" w:ascii="仿宋_GB2312" w:eastAsia="仿宋_GB2312"/>
          <w:color w:val="auto"/>
          <w:sz w:val="32"/>
        </w:rPr>
        <w:t>申请人、竞买人、竞得人等相关用户在交易系统中的所有活动及操作，交易系统将自动记录并保存，任何人不得删除或更改交易系统日志。</w:t>
      </w:r>
    </w:p>
    <w:p>
      <w:pPr>
        <w:pStyle w:val="5"/>
        <w:widowControl w:val="0"/>
        <w:topLinePunct/>
        <w:snapToGrid w:val="0"/>
        <w:spacing w:before="0" w:beforeAutospacing="0" w:after="0" w:afterAutospacing="0" w:line="574" w:lineRule="exact"/>
        <w:ind w:firstLine="640" w:firstLineChars="200"/>
        <w:jc w:val="both"/>
        <w:textAlignment w:val="center"/>
        <w:rPr>
          <w:rFonts w:hint="eastAsia" w:ascii="仿宋_GB2312" w:eastAsia="仿宋_GB2312"/>
          <w:color w:val="auto"/>
          <w:sz w:val="32"/>
        </w:rPr>
      </w:pPr>
      <w:r>
        <w:rPr>
          <w:rFonts w:hint="eastAsia" w:ascii="黑体" w:eastAsia="黑体"/>
          <w:color w:val="auto"/>
          <w:sz w:val="32"/>
        </w:rPr>
        <w:t>第三十</w:t>
      </w:r>
      <w:r>
        <w:rPr>
          <w:rFonts w:hint="eastAsia" w:ascii="黑体" w:eastAsia="黑体"/>
          <w:color w:val="auto"/>
          <w:sz w:val="32"/>
          <w:lang w:eastAsia="zh-CN"/>
        </w:rPr>
        <w:t>一</w:t>
      </w:r>
      <w:r>
        <w:rPr>
          <w:rFonts w:hint="eastAsia" w:ascii="黑体" w:eastAsia="黑体"/>
          <w:color w:val="auto"/>
          <w:sz w:val="32"/>
        </w:rPr>
        <w:t xml:space="preserve">条  </w:t>
      </w:r>
      <w:r>
        <w:rPr>
          <w:rFonts w:hint="eastAsia" w:ascii="仿宋_GB2312" w:eastAsia="仿宋_GB2312"/>
          <w:color w:val="auto"/>
          <w:sz w:val="32"/>
        </w:rPr>
        <w:t>与交易系统相关联的有关系统开发维护公司、银行和数字证书服务机构应当按照法律、法规的规定，建立严格的系统管理制度，保证信息系统的安全稳定运行，并保守有关秘密。</w:t>
      </w:r>
    </w:p>
    <w:p>
      <w:pPr>
        <w:pStyle w:val="5"/>
        <w:widowControl w:val="0"/>
        <w:topLinePunct/>
        <w:snapToGrid w:val="0"/>
        <w:spacing w:before="0" w:beforeAutospacing="0" w:after="0" w:afterAutospacing="0" w:line="574" w:lineRule="exact"/>
        <w:ind w:firstLine="640" w:firstLineChars="200"/>
        <w:jc w:val="both"/>
        <w:textAlignment w:val="center"/>
        <w:rPr>
          <w:rFonts w:hint="eastAsia" w:ascii="仿宋_GB2312" w:eastAsia="仿宋_GB2312"/>
          <w:color w:val="auto"/>
          <w:sz w:val="32"/>
        </w:rPr>
      </w:pPr>
    </w:p>
    <w:p>
      <w:pPr>
        <w:pStyle w:val="5"/>
        <w:widowControl w:val="0"/>
        <w:topLinePunct/>
        <w:snapToGrid w:val="0"/>
        <w:spacing w:before="0" w:beforeAutospacing="0" w:after="0" w:afterAutospacing="0" w:line="574" w:lineRule="exact"/>
        <w:jc w:val="center"/>
        <w:textAlignment w:val="center"/>
        <w:rPr>
          <w:rFonts w:hint="eastAsia" w:ascii="黑体" w:eastAsia="黑体"/>
          <w:color w:val="auto"/>
          <w:sz w:val="32"/>
        </w:rPr>
      </w:pPr>
      <w:r>
        <w:rPr>
          <w:rFonts w:hint="eastAsia" w:ascii="黑体" w:eastAsia="黑体"/>
          <w:color w:val="auto"/>
          <w:sz w:val="32"/>
        </w:rPr>
        <w:t xml:space="preserve">第七章 </w:t>
      </w:r>
      <w:r>
        <w:rPr>
          <w:rFonts w:hint="eastAsia" w:ascii="黑体" w:eastAsia="黑体"/>
          <w:color w:val="auto"/>
          <w:sz w:val="32"/>
          <w:lang w:val="en-US" w:eastAsia="zh-CN"/>
        </w:rPr>
        <w:t xml:space="preserve">   </w:t>
      </w:r>
      <w:r>
        <w:rPr>
          <w:rFonts w:hint="eastAsia" w:ascii="黑体" w:eastAsia="黑体"/>
          <w:color w:val="auto"/>
          <w:sz w:val="32"/>
        </w:rPr>
        <w:t>应急处理</w:t>
      </w:r>
    </w:p>
    <w:p>
      <w:pPr>
        <w:pStyle w:val="5"/>
        <w:widowControl w:val="0"/>
        <w:topLinePunct/>
        <w:snapToGrid w:val="0"/>
        <w:spacing w:before="0" w:beforeAutospacing="0" w:after="0" w:afterAutospacing="0" w:line="574" w:lineRule="exact"/>
        <w:ind w:firstLine="640" w:firstLineChars="200"/>
        <w:jc w:val="both"/>
        <w:textAlignment w:val="center"/>
        <w:rPr>
          <w:rFonts w:hint="eastAsia" w:ascii="仿宋_GB2312" w:eastAsia="仿宋_GB2312"/>
          <w:color w:val="auto"/>
          <w:sz w:val="32"/>
        </w:rPr>
      </w:pPr>
      <w:r>
        <w:rPr>
          <w:rFonts w:hint="eastAsia" w:ascii="黑体" w:eastAsia="黑体"/>
          <w:color w:val="auto"/>
          <w:sz w:val="32"/>
        </w:rPr>
        <w:t>第三十</w:t>
      </w:r>
      <w:r>
        <w:rPr>
          <w:rFonts w:hint="eastAsia" w:ascii="黑体" w:eastAsia="黑体"/>
          <w:color w:val="auto"/>
          <w:sz w:val="32"/>
          <w:lang w:eastAsia="zh-CN"/>
        </w:rPr>
        <w:t>二</w:t>
      </w:r>
      <w:r>
        <w:rPr>
          <w:rFonts w:hint="eastAsia" w:ascii="黑体" w:eastAsia="黑体"/>
          <w:color w:val="auto"/>
          <w:sz w:val="32"/>
        </w:rPr>
        <w:t>条</w:t>
      </w:r>
      <w:r>
        <w:rPr>
          <w:rFonts w:hint="eastAsia" w:ascii="仿宋_GB2312" w:eastAsia="仿宋_GB2312"/>
          <w:color w:val="auto"/>
          <w:sz w:val="32"/>
        </w:rPr>
        <w:t xml:space="preserve">  有下列情形之一的，应暂停或终止</w:t>
      </w:r>
      <w:r>
        <w:rPr>
          <w:rFonts w:hint="eastAsia" w:ascii="仿宋_GB2312" w:eastAsia="仿宋_GB2312"/>
          <w:color w:val="auto"/>
          <w:sz w:val="32"/>
          <w:lang w:eastAsia="zh-CN"/>
        </w:rPr>
        <w:t>交易</w:t>
      </w:r>
      <w:r>
        <w:rPr>
          <w:rFonts w:hint="eastAsia" w:ascii="仿宋_GB2312" w:eastAsia="仿宋_GB2312"/>
          <w:color w:val="auto"/>
          <w:sz w:val="32"/>
        </w:rPr>
        <w:t xml:space="preserve">活动，包括： </w:t>
      </w:r>
    </w:p>
    <w:p>
      <w:pPr>
        <w:spacing w:line="574" w:lineRule="exact"/>
        <w:ind w:firstLine="640" w:firstLineChars="200"/>
        <w:rPr>
          <w:rFonts w:hint="eastAsia" w:ascii="仿宋_GB2312"/>
          <w:color w:val="auto"/>
          <w:szCs w:val="32"/>
        </w:rPr>
      </w:pPr>
      <w:r>
        <w:rPr>
          <w:rFonts w:hint="eastAsia" w:ascii="仿宋_GB2312"/>
          <w:color w:val="auto"/>
          <w:szCs w:val="32"/>
        </w:rPr>
        <w:t>（一）因交易系统发生软、硬件故障或电力故障等</w:t>
      </w:r>
      <w:r>
        <w:rPr>
          <w:rFonts w:hint="eastAsia" w:ascii="仿宋_GB2312"/>
          <w:color w:val="auto"/>
          <w:szCs w:val="32"/>
          <w:lang w:eastAsia="zh-CN"/>
        </w:rPr>
        <w:t>或其他</w:t>
      </w:r>
      <w:r>
        <w:rPr>
          <w:rFonts w:hint="eastAsia" w:ascii="仿宋_GB2312"/>
          <w:color w:val="auto"/>
          <w:szCs w:val="32"/>
        </w:rPr>
        <w:t>不可抗力因素，导致无法正常实施上网竞价交易活动；</w:t>
      </w:r>
    </w:p>
    <w:p>
      <w:pPr>
        <w:spacing w:line="574" w:lineRule="exact"/>
        <w:ind w:firstLine="640" w:firstLineChars="200"/>
        <w:rPr>
          <w:rFonts w:hint="eastAsia" w:ascii="仿宋_GB2312"/>
          <w:color w:val="auto"/>
          <w:szCs w:val="32"/>
        </w:rPr>
      </w:pPr>
      <w:r>
        <w:rPr>
          <w:rFonts w:hint="eastAsia" w:ascii="仿宋_GB2312"/>
          <w:color w:val="auto"/>
          <w:szCs w:val="32"/>
        </w:rPr>
        <w:t>（二）交易系统遭受黑客攻击、网络堵塞、病毒入侵等网络故障，导致无法正常实施上网竞价交易活动；</w:t>
      </w:r>
    </w:p>
    <w:p>
      <w:pPr>
        <w:spacing w:line="574" w:lineRule="exact"/>
        <w:ind w:firstLine="640" w:firstLineChars="200"/>
        <w:rPr>
          <w:rFonts w:hint="eastAsia" w:ascii="仿宋_GB2312"/>
          <w:color w:val="auto"/>
          <w:szCs w:val="32"/>
        </w:rPr>
      </w:pPr>
      <w:r>
        <w:rPr>
          <w:rFonts w:hint="eastAsia" w:ascii="仿宋_GB2312"/>
          <w:color w:val="auto"/>
          <w:szCs w:val="32"/>
        </w:rPr>
        <w:t>（三）网上交易CA认证系统故障，导致无法正常实施上网竞价交易活动；</w:t>
      </w:r>
    </w:p>
    <w:p>
      <w:pPr>
        <w:spacing w:line="574" w:lineRule="exact"/>
        <w:ind w:firstLine="640" w:firstLineChars="200"/>
        <w:rPr>
          <w:rFonts w:hint="eastAsia" w:ascii="仿宋_GB2312"/>
          <w:color w:val="auto"/>
          <w:szCs w:val="32"/>
        </w:rPr>
      </w:pPr>
      <w:r>
        <w:rPr>
          <w:rFonts w:hint="eastAsia" w:ascii="仿宋_GB2312"/>
          <w:color w:val="auto"/>
          <w:szCs w:val="32"/>
        </w:rPr>
        <w:t>（四）代理银行保证金交纳系统故障，导致无法正常实施上网竞价交易活动；</w:t>
      </w:r>
    </w:p>
    <w:p>
      <w:pPr>
        <w:spacing w:line="574" w:lineRule="exact"/>
        <w:ind w:firstLine="640" w:firstLineChars="200"/>
        <w:rPr>
          <w:rFonts w:hint="eastAsia" w:ascii="仿宋_GB2312" w:hAnsi="仿宋_GB2312" w:eastAsia="仿宋_GB2312" w:cs="仿宋_GB2312"/>
          <w:color w:val="auto"/>
          <w:szCs w:val="32"/>
          <w:lang w:val="en-US" w:eastAsia="zh-CN"/>
        </w:rPr>
      </w:pPr>
      <w:r>
        <w:rPr>
          <w:rFonts w:hint="eastAsia" w:ascii="仿宋_GB2312" w:hAnsi="仿宋_GB2312" w:cs="仿宋_GB2312"/>
          <w:color w:val="auto"/>
          <w:szCs w:val="32"/>
          <w:lang w:val="en-US" w:eastAsia="zh-CN"/>
        </w:rPr>
        <w:t>（五）因突发事件引起现场交易秩序混乱，</w:t>
      </w:r>
      <w:r>
        <w:rPr>
          <w:rFonts w:hint="eastAsia" w:ascii="仿宋_GB2312" w:hAnsi="仿宋_GB2312" w:cs="仿宋_GB2312"/>
          <w:color w:val="auto"/>
          <w:szCs w:val="32"/>
        </w:rPr>
        <w:t>导致无法正常实施上网竞价交易活动</w:t>
      </w:r>
      <w:r>
        <w:rPr>
          <w:rFonts w:hint="eastAsia" w:ascii="仿宋_GB2312" w:hAnsi="仿宋_GB2312" w:cs="仿宋_GB2312"/>
          <w:color w:val="auto"/>
          <w:szCs w:val="32"/>
          <w:lang w:eastAsia="zh-CN"/>
        </w:rPr>
        <w:t>；</w:t>
      </w:r>
    </w:p>
    <w:p>
      <w:pPr>
        <w:spacing w:line="574" w:lineRule="exact"/>
        <w:ind w:firstLine="640" w:firstLineChars="200"/>
        <w:rPr>
          <w:rFonts w:hint="eastAsia" w:ascii="仿宋_GB2312"/>
          <w:color w:val="auto"/>
          <w:szCs w:val="32"/>
        </w:rPr>
      </w:pPr>
      <w:r>
        <w:rPr>
          <w:rFonts w:hint="eastAsia" w:ascii="仿宋_GB2312"/>
          <w:color w:val="auto"/>
          <w:szCs w:val="32"/>
        </w:rPr>
        <w:t>（</w:t>
      </w:r>
      <w:r>
        <w:rPr>
          <w:rFonts w:hint="eastAsia" w:ascii="仿宋_GB2312"/>
          <w:color w:val="auto"/>
          <w:szCs w:val="32"/>
          <w:lang w:eastAsia="zh-CN"/>
        </w:rPr>
        <w:t>六</w:t>
      </w:r>
      <w:r>
        <w:rPr>
          <w:rFonts w:hint="eastAsia" w:ascii="仿宋_GB2312"/>
          <w:color w:val="auto"/>
          <w:szCs w:val="32"/>
        </w:rPr>
        <w:t>）司法机关、纪检监察等部门依法要求暂停或终止交易的；</w:t>
      </w:r>
    </w:p>
    <w:p>
      <w:pPr>
        <w:spacing w:line="574" w:lineRule="exact"/>
        <w:ind w:firstLine="640" w:firstLineChars="200"/>
        <w:rPr>
          <w:rFonts w:hint="eastAsia" w:ascii="仿宋_GB2312"/>
          <w:color w:val="auto"/>
          <w:szCs w:val="32"/>
        </w:rPr>
      </w:pPr>
      <w:r>
        <w:rPr>
          <w:rFonts w:hint="eastAsia" w:ascii="仿宋_GB2312"/>
          <w:color w:val="auto"/>
          <w:szCs w:val="32"/>
        </w:rPr>
        <w:t>（</w:t>
      </w:r>
      <w:r>
        <w:rPr>
          <w:rFonts w:hint="eastAsia" w:ascii="仿宋_GB2312"/>
          <w:color w:val="auto"/>
          <w:szCs w:val="32"/>
          <w:lang w:eastAsia="zh-CN"/>
        </w:rPr>
        <w:t>七</w:t>
      </w:r>
      <w:r>
        <w:rPr>
          <w:rFonts w:hint="eastAsia" w:ascii="仿宋_GB2312"/>
          <w:color w:val="auto"/>
          <w:szCs w:val="32"/>
        </w:rPr>
        <w:t>）土地行政主管部门根据有关规定要求暂停或终止交易的；</w:t>
      </w:r>
    </w:p>
    <w:p>
      <w:pPr>
        <w:spacing w:beforeLines="0" w:afterLines="0" w:line="574" w:lineRule="exact"/>
        <w:ind w:firstLine="640" w:firstLineChars="200"/>
        <w:rPr>
          <w:rFonts w:hint="eastAsia" w:ascii="仿宋_GB2312"/>
          <w:color w:val="auto"/>
          <w:szCs w:val="32"/>
        </w:rPr>
      </w:pPr>
      <w:r>
        <w:rPr>
          <w:rFonts w:hint="eastAsia" w:ascii="仿宋_GB2312"/>
          <w:color w:val="auto"/>
          <w:szCs w:val="32"/>
        </w:rPr>
        <w:t>（</w:t>
      </w:r>
      <w:r>
        <w:rPr>
          <w:rFonts w:hint="eastAsia" w:ascii="仿宋_GB2312"/>
          <w:color w:val="auto"/>
          <w:szCs w:val="32"/>
          <w:lang w:eastAsia="zh-CN"/>
        </w:rPr>
        <w:t>八</w:t>
      </w:r>
      <w:r>
        <w:rPr>
          <w:rFonts w:hint="eastAsia" w:ascii="仿宋_GB2312"/>
          <w:color w:val="auto"/>
          <w:szCs w:val="32"/>
        </w:rPr>
        <w:t>）依法应当暂停或终止交易活动的其他情形。</w:t>
      </w:r>
    </w:p>
    <w:p>
      <w:pPr>
        <w:spacing w:beforeLines="0" w:afterLines="0" w:line="574" w:lineRule="exact"/>
        <w:ind w:firstLine="640" w:firstLineChars="200"/>
        <w:rPr>
          <w:rFonts w:hint="eastAsia" w:ascii="仿宋_GB2312"/>
          <w:color w:val="auto"/>
          <w:szCs w:val="32"/>
        </w:rPr>
      </w:pPr>
      <w:r>
        <w:rPr>
          <w:rFonts w:hint="eastAsia" w:ascii="黑体" w:eastAsia="黑体"/>
          <w:color w:val="auto"/>
        </w:rPr>
        <w:t>第</w:t>
      </w:r>
      <w:r>
        <w:rPr>
          <w:rFonts w:hint="eastAsia" w:ascii="黑体" w:eastAsia="黑体"/>
          <w:color w:val="auto"/>
          <w:sz w:val="32"/>
        </w:rPr>
        <w:t>三十</w:t>
      </w:r>
      <w:r>
        <w:rPr>
          <w:rFonts w:hint="eastAsia" w:ascii="黑体" w:eastAsia="黑体"/>
          <w:color w:val="auto"/>
          <w:sz w:val="32"/>
          <w:lang w:eastAsia="zh-CN"/>
        </w:rPr>
        <w:t>三</w:t>
      </w:r>
      <w:r>
        <w:rPr>
          <w:rFonts w:hint="eastAsia" w:ascii="黑体" w:eastAsia="黑体"/>
          <w:color w:val="auto"/>
        </w:rPr>
        <w:t xml:space="preserve">条  </w:t>
      </w:r>
      <w:r>
        <w:rPr>
          <w:rFonts w:hint="eastAsia" w:ascii="仿宋_GB2312"/>
          <w:color w:val="auto"/>
          <w:szCs w:val="32"/>
        </w:rPr>
        <w:t>出现本</w:t>
      </w:r>
      <w:r>
        <w:rPr>
          <w:rFonts w:hint="eastAsia" w:ascii="仿宋_GB2312"/>
          <w:color w:val="auto"/>
          <w:szCs w:val="32"/>
          <w:lang w:eastAsia="zh-CN"/>
        </w:rPr>
        <w:t>实施</w:t>
      </w:r>
      <w:r>
        <w:rPr>
          <w:rFonts w:hint="eastAsia" w:ascii="仿宋_GB2312"/>
          <w:color w:val="auto"/>
          <w:szCs w:val="32"/>
        </w:rPr>
        <w:t>细则第三十</w:t>
      </w:r>
      <w:r>
        <w:rPr>
          <w:rFonts w:hint="eastAsia" w:ascii="仿宋_GB2312"/>
          <w:color w:val="auto"/>
          <w:szCs w:val="32"/>
          <w:lang w:eastAsia="zh-CN"/>
        </w:rPr>
        <w:t>二</w:t>
      </w:r>
      <w:r>
        <w:rPr>
          <w:rFonts w:hint="eastAsia" w:ascii="仿宋_GB2312"/>
          <w:color w:val="auto"/>
          <w:szCs w:val="32"/>
        </w:rPr>
        <w:t>条第（一）项至第（</w:t>
      </w:r>
      <w:r>
        <w:rPr>
          <w:rFonts w:hint="eastAsia" w:ascii="仿宋_GB2312"/>
          <w:color w:val="auto"/>
          <w:szCs w:val="32"/>
          <w:lang w:eastAsia="zh-CN"/>
        </w:rPr>
        <w:t>五</w:t>
      </w:r>
      <w:r>
        <w:rPr>
          <w:rFonts w:hint="eastAsia" w:ascii="仿宋_GB2312"/>
          <w:color w:val="auto"/>
          <w:szCs w:val="32"/>
        </w:rPr>
        <w:t>）项规定情形的，交易中心根据情况需要，有权实施暂停上网竞价交易活动，</w:t>
      </w:r>
      <w:r>
        <w:rPr>
          <w:rFonts w:hint="eastAsia" w:ascii="仿宋_GB2312"/>
          <w:color w:val="auto"/>
          <w:szCs w:val="32"/>
          <w:lang w:eastAsia="zh-CN"/>
        </w:rPr>
        <w:t>并可采取应急处置办法及时处理；如无法及时处理的，在消除事故因素后</w:t>
      </w:r>
      <w:r>
        <w:rPr>
          <w:rFonts w:hint="eastAsia" w:ascii="仿宋_GB2312"/>
          <w:color w:val="auto"/>
          <w:szCs w:val="32"/>
        </w:rPr>
        <w:t>重新</w:t>
      </w:r>
      <w:r>
        <w:rPr>
          <w:rFonts w:hint="eastAsia" w:ascii="仿宋_GB2312"/>
          <w:color w:val="auto"/>
          <w:szCs w:val="32"/>
          <w:lang w:eastAsia="zh-CN"/>
        </w:rPr>
        <w:t>启动</w:t>
      </w:r>
      <w:r>
        <w:rPr>
          <w:rFonts w:hint="eastAsia" w:ascii="仿宋_GB2312"/>
          <w:color w:val="auto"/>
          <w:szCs w:val="32"/>
        </w:rPr>
        <w:t>原标的的交易活动</w:t>
      </w:r>
      <w:r>
        <w:rPr>
          <w:rFonts w:hint="eastAsia"/>
          <w:color w:val="auto"/>
        </w:rPr>
        <w:t>。</w:t>
      </w:r>
      <w:r>
        <w:rPr>
          <w:rFonts w:hint="eastAsia" w:ascii="仿宋_GB2312"/>
          <w:color w:val="auto"/>
          <w:szCs w:val="32"/>
        </w:rPr>
        <w:t>出现本</w:t>
      </w:r>
      <w:r>
        <w:rPr>
          <w:rFonts w:hint="eastAsia" w:ascii="仿宋_GB2312"/>
          <w:color w:val="auto"/>
          <w:szCs w:val="32"/>
          <w:lang w:eastAsia="zh-CN"/>
        </w:rPr>
        <w:t>实施</w:t>
      </w:r>
      <w:r>
        <w:rPr>
          <w:rFonts w:hint="eastAsia" w:ascii="仿宋_GB2312"/>
          <w:color w:val="auto"/>
          <w:szCs w:val="32"/>
        </w:rPr>
        <w:t>细则第三十</w:t>
      </w:r>
      <w:r>
        <w:rPr>
          <w:rFonts w:hint="eastAsia" w:ascii="仿宋_GB2312"/>
          <w:color w:val="auto"/>
          <w:szCs w:val="32"/>
          <w:lang w:eastAsia="zh-CN"/>
        </w:rPr>
        <w:t>二</w:t>
      </w:r>
      <w:r>
        <w:rPr>
          <w:rFonts w:hint="eastAsia" w:ascii="仿宋_GB2312"/>
          <w:color w:val="auto"/>
          <w:szCs w:val="32"/>
        </w:rPr>
        <w:t>条第（</w:t>
      </w:r>
      <w:r>
        <w:rPr>
          <w:rFonts w:hint="eastAsia" w:ascii="仿宋_GB2312"/>
          <w:color w:val="auto"/>
          <w:szCs w:val="32"/>
          <w:lang w:eastAsia="zh-CN"/>
        </w:rPr>
        <w:t>六</w:t>
      </w:r>
      <w:r>
        <w:rPr>
          <w:rFonts w:hint="eastAsia" w:ascii="仿宋_GB2312"/>
          <w:color w:val="auto"/>
          <w:szCs w:val="32"/>
        </w:rPr>
        <w:t>）项至（</w:t>
      </w:r>
      <w:r>
        <w:rPr>
          <w:rFonts w:hint="eastAsia" w:ascii="仿宋_GB2312"/>
          <w:color w:val="auto"/>
          <w:szCs w:val="32"/>
          <w:lang w:eastAsia="zh-CN"/>
        </w:rPr>
        <w:t>八</w:t>
      </w:r>
      <w:r>
        <w:rPr>
          <w:rFonts w:hint="eastAsia" w:ascii="仿宋_GB2312"/>
          <w:color w:val="auto"/>
          <w:szCs w:val="32"/>
        </w:rPr>
        <w:t>）项规定情形的，交易中心通过原公告渠道发布暂停或终止公告，并关闭交易系统报价及限时竞价通道。</w:t>
      </w:r>
    </w:p>
    <w:p>
      <w:pPr>
        <w:widowControl w:val="0"/>
        <w:topLinePunct/>
        <w:snapToGrid w:val="0"/>
        <w:spacing w:before="0" w:beforeLines="0" w:beforeAutospacing="0" w:after="0" w:afterLines="0" w:afterAutospacing="0" w:line="574" w:lineRule="exact"/>
        <w:ind w:firstLine="640" w:firstLineChars="200"/>
        <w:jc w:val="left"/>
        <w:textAlignment w:val="center"/>
        <w:rPr>
          <w:rFonts w:hint="eastAsia" w:ascii="仿宋_GB2312" w:hAnsi="仿宋_GB2312" w:eastAsia="仿宋_GB2312" w:cs="仿宋_GB2312"/>
          <w:color w:val="auto"/>
          <w:sz w:val="32"/>
          <w:lang w:val="en-US" w:eastAsia="zh-CN"/>
        </w:rPr>
      </w:pPr>
      <w:r>
        <w:rPr>
          <w:rFonts w:hint="eastAsia" w:ascii="黑体" w:eastAsia="黑体"/>
          <w:color w:val="auto"/>
          <w:sz w:val="32"/>
        </w:rPr>
        <w:t>第三十</w:t>
      </w:r>
      <w:r>
        <w:rPr>
          <w:rFonts w:hint="eastAsia" w:ascii="黑体" w:eastAsia="黑体"/>
          <w:color w:val="auto"/>
          <w:sz w:val="32"/>
          <w:lang w:eastAsia="zh-CN"/>
        </w:rPr>
        <w:t>四</w:t>
      </w:r>
      <w:r>
        <w:rPr>
          <w:rFonts w:hint="eastAsia" w:ascii="黑体" w:eastAsia="黑体"/>
          <w:color w:val="auto"/>
          <w:sz w:val="32"/>
        </w:rPr>
        <w:t>条</w:t>
      </w:r>
      <w:r>
        <w:rPr>
          <w:rFonts w:hint="eastAsia" w:ascii="仿宋_GB2312" w:eastAsia="仿宋_GB2312"/>
          <w:color w:val="auto"/>
          <w:sz w:val="32"/>
        </w:rPr>
        <w:t xml:space="preserve">  上网竞价结束后，如发现竞价过程、交易结果可能存在异常情况下，交易中心可以暂停与竞买人签订《成交确认书》，待</w:t>
      </w:r>
      <w:r>
        <w:rPr>
          <w:rFonts w:hint="eastAsia" w:ascii="仿宋_GB2312" w:eastAsia="仿宋_GB2312"/>
          <w:color w:val="auto"/>
          <w:sz w:val="32"/>
          <w:lang w:eastAsia="zh-CN"/>
        </w:rPr>
        <w:t>情况查明后</w:t>
      </w:r>
      <w:r>
        <w:rPr>
          <w:rFonts w:hint="eastAsia" w:ascii="仿宋_GB2312" w:eastAsia="仿宋_GB2312"/>
          <w:color w:val="auto"/>
          <w:sz w:val="32"/>
        </w:rPr>
        <w:t>，再行处理。</w:t>
      </w:r>
    </w:p>
    <w:p>
      <w:pPr>
        <w:pStyle w:val="5"/>
        <w:widowControl w:val="0"/>
        <w:topLinePunct/>
        <w:snapToGrid w:val="0"/>
        <w:spacing w:before="0" w:beforeAutospacing="0" w:after="0" w:afterAutospacing="0" w:line="574" w:lineRule="exact"/>
        <w:jc w:val="center"/>
        <w:textAlignment w:val="center"/>
        <w:rPr>
          <w:rFonts w:hint="eastAsia" w:ascii="黑体" w:eastAsia="黑体"/>
          <w:color w:val="auto"/>
          <w:sz w:val="32"/>
        </w:rPr>
      </w:pPr>
    </w:p>
    <w:p>
      <w:pPr>
        <w:pStyle w:val="5"/>
        <w:widowControl w:val="0"/>
        <w:topLinePunct/>
        <w:snapToGrid w:val="0"/>
        <w:spacing w:before="0" w:beforeAutospacing="0" w:after="0" w:afterAutospacing="0" w:line="574" w:lineRule="exact"/>
        <w:jc w:val="center"/>
        <w:textAlignment w:val="center"/>
        <w:rPr>
          <w:rFonts w:hint="eastAsia" w:ascii="黑体" w:eastAsia="黑体"/>
          <w:color w:val="auto"/>
          <w:sz w:val="32"/>
        </w:rPr>
      </w:pPr>
      <w:r>
        <w:rPr>
          <w:rFonts w:hint="eastAsia" w:ascii="黑体" w:eastAsia="黑体"/>
          <w:color w:val="auto"/>
          <w:sz w:val="32"/>
        </w:rPr>
        <w:t xml:space="preserve">第八章  </w:t>
      </w:r>
      <w:r>
        <w:rPr>
          <w:rFonts w:hint="eastAsia" w:ascii="黑体" w:eastAsia="黑体"/>
          <w:color w:val="auto"/>
          <w:sz w:val="32"/>
          <w:lang w:val="en-US" w:eastAsia="zh-CN"/>
        </w:rPr>
        <w:t xml:space="preserve">  </w:t>
      </w:r>
      <w:r>
        <w:rPr>
          <w:rFonts w:hint="eastAsia" w:ascii="黑体" w:eastAsia="黑体"/>
          <w:color w:val="auto"/>
          <w:sz w:val="32"/>
        </w:rPr>
        <w:t>法律责任</w:t>
      </w:r>
    </w:p>
    <w:p>
      <w:pPr>
        <w:pStyle w:val="5"/>
        <w:widowControl w:val="0"/>
        <w:topLinePunct/>
        <w:snapToGrid w:val="0"/>
        <w:spacing w:before="0" w:beforeAutospacing="0" w:after="0" w:afterAutospacing="0" w:line="574" w:lineRule="exact"/>
        <w:ind w:firstLine="640" w:firstLineChars="200"/>
        <w:textAlignment w:val="center"/>
        <w:rPr>
          <w:rFonts w:hint="eastAsia" w:ascii="仿宋_GB2312" w:eastAsia="仿宋_GB2312"/>
          <w:color w:val="auto"/>
          <w:sz w:val="32"/>
        </w:rPr>
      </w:pPr>
      <w:r>
        <w:rPr>
          <w:rFonts w:hint="eastAsia" w:ascii="黑体" w:eastAsia="黑体"/>
          <w:color w:val="auto"/>
          <w:sz w:val="32"/>
        </w:rPr>
        <w:t>第三十</w:t>
      </w:r>
      <w:r>
        <w:rPr>
          <w:rFonts w:hint="eastAsia" w:ascii="黑体" w:eastAsia="黑体"/>
          <w:color w:val="auto"/>
          <w:sz w:val="32"/>
          <w:lang w:eastAsia="zh-CN"/>
        </w:rPr>
        <w:t>五</w:t>
      </w:r>
      <w:r>
        <w:rPr>
          <w:rFonts w:hint="eastAsia" w:ascii="黑体" w:eastAsia="黑体"/>
          <w:color w:val="auto"/>
          <w:sz w:val="32"/>
        </w:rPr>
        <w:t xml:space="preserve">条  </w:t>
      </w:r>
      <w:r>
        <w:rPr>
          <w:rFonts w:hint="eastAsia" w:ascii="仿宋_GB2312" w:eastAsia="仿宋_GB2312"/>
          <w:color w:val="auto"/>
          <w:sz w:val="32"/>
        </w:rPr>
        <w:t>出现本</w:t>
      </w:r>
      <w:r>
        <w:rPr>
          <w:rFonts w:hint="eastAsia" w:ascii="仿宋_GB2312" w:eastAsia="仿宋_GB2312"/>
          <w:color w:val="auto"/>
          <w:sz w:val="32"/>
          <w:lang w:eastAsia="zh-CN"/>
        </w:rPr>
        <w:t>实施</w:t>
      </w:r>
      <w:r>
        <w:rPr>
          <w:rFonts w:hint="eastAsia" w:ascii="仿宋_GB2312" w:eastAsia="仿宋_GB2312"/>
          <w:color w:val="auto"/>
          <w:sz w:val="32"/>
        </w:rPr>
        <w:t>细则第</w:t>
      </w:r>
      <w:r>
        <w:rPr>
          <w:rFonts w:hint="eastAsia" w:ascii="仿宋_GB2312" w:eastAsia="仿宋_GB2312"/>
          <w:color w:val="auto"/>
          <w:sz w:val="32"/>
          <w:lang w:eastAsia="zh-CN"/>
        </w:rPr>
        <w:t>三十二</w:t>
      </w:r>
      <w:r>
        <w:rPr>
          <w:rFonts w:hint="eastAsia" w:ascii="仿宋_GB2312" w:eastAsia="仿宋_GB2312"/>
          <w:color w:val="auto"/>
          <w:sz w:val="32"/>
        </w:rPr>
        <w:t>条第（一）项至（</w:t>
      </w:r>
      <w:r>
        <w:rPr>
          <w:rFonts w:hint="eastAsia" w:ascii="仿宋_GB2312" w:eastAsia="仿宋_GB2312"/>
          <w:color w:val="auto"/>
          <w:sz w:val="32"/>
          <w:lang w:eastAsia="zh-CN"/>
        </w:rPr>
        <w:t>八</w:t>
      </w:r>
      <w:r>
        <w:rPr>
          <w:rFonts w:hint="eastAsia" w:ascii="仿宋_GB2312" w:eastAsia="仿宋_GB2312"/>
          <w:color w:val="auto"/>
          <w:sz w:val="32"/>
        </w:rPr>
        <w:t>）项规定情况，导致交易系统暂停或终止上网竞价交易活动的，交易中心不承担由此产生的相关责任和法律后果。</w:t>
      </w:r>
    </w:p>
    <w:p>
      <w:pPr>
        <w:pStyle w:val="5"/>
        <w:widowControl w:val="0"/>
        <w:topLinePunct/>
        <w:snapToGrid w:val="0"/>
        <w:spacing w:before="0" w:beforeAutospacing="0" w:after="0" w:afterAutospacing="0" w:line="574" w:lineRule="exact"/>
        <w:ind w:firstLine="640" w:firstLineChars="200"/>
        <w:jc w:val="both"/>
        <w:textAlignment w:val="center"/>
        <w:rPr>
          <w:rFonts w:hint="eastAsia" w:ascii="仿宋_GB2312" w:eastAsia="仿宋_GB2312"/>
          <w:color w:val="auto"/>
          <w:sz w:val="32"/>
        </w:rPr>
      </w:pPr>
      <w:r>
        <w:rPr>
          <w:rFonts w:hint="eastAsia" w:ascii="黑体" w:eastAsia="黑体"/>
          <w:color w:val="auto"/>
          <w:sz w:val="32"/>
        </w:rPr>
        <w:t>第三十</w:t>
      </w:r>
      <w:r>
        <w:rPr>
          <w:rFonts w:hint="eastAsia" w:ascii="黑体" w:eastAsia="黑体"/>
          <w:color w:val="auto"/>
          <w:sz w:val="32"/>
          <w:lang w:eastAsia="zh-CN"/>
        </w:rPr>
        <w:t>六</w:t>
      </w:r>
      <w:r>
        <w:rPr>
          <w:rFonts w:hint="eastAsia" w:ascii="黑体" w:eastAsia="黑体"/>
          <w:color w:val="auto"/>
          <w:sz w:val="32"/>
        </w:rPr>
        <w:t>条</w:t>
      </w:r>
      <w:r>
        <w:rPr>
          <w:rFonts w:hint="eastAsia" w:ascii="仿宋_GB2312" w:eastAsia="仿宋_GB2312"/>
          <w:color w:val="auto"/>
          <w:sz w:val="32"/>
        </w:rPr>
        <w:t xml:space="preserve">  申请人、竞买人在上网竞价交易活动中实施的行为，</w:t>
      </w:r>
      <w:r>
        <w:rPr>
          <w:rFonts w:hint="eastAsia" w:ascii="仿宋_GB2312" w:eastAsia="仿宋_GB2312"/>
          <w:color w:val="auto"/>
          <w:sz w:val="32"/>
          <w:szCs w:val="32"/>
        </w:rPr>
        <w:t>均被系统服务器自动记录，视为申请人、竞买人真实或经合法授权的行为，该行为所引起的一切经济及法律责任</w:t>
      </w:r>
      <w:r>
        <w:rPr>
          <w:rFonts w:hint="eastAsia" w:ascii="仿宋_GB2312" w:eastAsia="仿宋_GB2312"/>
          <w:color w:val="auto"/>
          <w:sz w:val="32"/>
        </w:rPr>
        <w:t>，由申请人、竞买人自行承担。</w:t>
      </w:r>
    </w:p>
    <w:p>
      <w:pPr>
        <w:pStyle w:val="5"/>
        <w:widowControl w:val="0"/>
        <w:topLinePunct/>
        <w:snapToGrid w:val="0"/>
        <w:spacing w:before="0" w:beforeAutospacing="0" w:after="0" w:afterAutospacing="0" w:line="574" w:lineRule="exact"/>
        <w:ind w:firstLine="652" w:firstLineChars="204"/>
        <w:textAlignment w:val="center"/>
        <w:rPr>
          <w:rFonts w:hint="eastAsia" w:ascii="仿宋_GB2312" w:eastAsia="仿宋_GB2312"/>
          <w:color w:val="auto"/>
          <w:sz w:val="32"/>
        </w:rPr>
      </w:pPr>
      <w:r>
        <w:rPr>
          <w:rFonts w:hint="eastAsia" w:ascii="黑体" w:eastAsia="黑体"/>
          <w:color w:val="auto"/>
          <w:sz w:val="32"/>
        </w:rPr>
        <w:t>第三十</w:t>
      </w:r>
      <w:r>
        <w:rPr>
          <w:rFonts w:hint="eastAsia" w:ascii="黑体" w:eastAsia="黑体"/>
          <w:color w:val="auto"/>
          <w:sz w:val="32"/>
          <w:lang w:eastAsia="zh-CN"/>
        </w:rPr>
        <w:t>七</w:t>
      </w:r>
      <w:r>
        <w:rPr>
          <w:rFonts w:hint="eastAsia" w:ascii="黑体" w:eastAsia="黑体"/>
          <w:color w:val="auto"/>
          <w:sz w:val="32"/>
        </w:rPr>
        <w:t xml:space="preserve">条  </w:t>
      </w:r>
      <w:r>
        <w:rPr>
          <w:rFonts w:hint="eastAsia" w:ascii="仿宋_GB2312" w:eastAsia="仿宋_GB2312"/>
          <w:color w:val="auto"/>
          <w:sz w:val="32"/>
          <w:szCs w:val="32"/>
        </w:rPr>
        <w:t>申请人、竞买人应当妥善保管数字证书和密码，</w:t>
      </w:r>
      <w:r>
        <w:rPr>
          <w:rFonts w:hint="eastAsia" w:ascii="仿宋_GB2312" w:eastAsia="仿宋_GB2312"/>
          <w:color w:val="auto"/>
          <w:sz w:val="32"/>
        </w:rPr>
        <w:t>因丢失数字证书、</w:t>
      </w:r>
      <w:r>
        <w:rPr>
          <w:rFonts w:hint="eastAsia" w:ascii="仿宋_GB2312" w:eastAsia="仿宋_GB2312"/>
          <w:color w:val="auto"/>
          <w:sz w:val="32"/>
          <w:szCs w:val="32"/>
        </w:rPr>
        <w:t>遗忘或泄露认证</w:t>
      </w:r>
      <w:r>
        <w:rPr>
          <w:rFonts w:hint="eastAsia" w:ascii="仿宋_GB2312" w:eastAsia="仿宋_GB2312"/>
          <w:color w:val="auto"/>
          <w:sz w:val="32"/>
        </w:rPr>
        <w:t>密码等情形而被他人冒用或盗用</w:t>
      </w:r>
      <w:r>
        <w:rPr>
          <w:rFonts w:hint="eastAsia" w:ascii="仿宋_GB2312" w:eastAsia="仿宋_GB2312"/>
          <w:color w:val="auto"/>
          <w:sz w:val="32"/>
          <w:lang w:eastAsia="zh-CN"/>
        </w:rPr>
        <w:t>，以及其数字证书损坏</w:t>
      </w:r>
      <w:r>
        <w:rPr>
          <w:rFonts w:hint="eastAsia" w:ascii="仿宋_GB2312" w:eastAsia="仿宋_GB2312"/>
          <w:color w:val="auto"/>
          <w:sz w:val="32"/>
        </w:rPr>
        <w:t>所产生的一切经济及法律后果，由申请人、竞买人自行承担。</w:t>
      </w:r>
    </w:p>
    <w:p>
      <w:pPr>
        <w:spacing w:line="574" w:lineRule="exact"/>
        <w:ind w:firstLine="640" w:firstLineChars="200"/>
        <w:rPr>
          <w:rFonts w:hint="eastAsia"/>
          <w:color w:val="auto"/>
        </w:rPr>
      </w:pPr>
      <w:r>
        <w:rPr>
          <w:rFonts w:hint="eastAsia" w:ascii="黑体" w:eastAsia="黑体"/>
          <w:color w:val="auto"/>
        </w:rPr>
        <w:t>第</w:t>
      </w:r>
      <w:r>
        <w:rPr>
          <w:rFonts w:hint="eastAsia" w:ascii="黑体" w:eastAsia="黑体"/>
          <w:color w:val="auto"/>
          <w:sz w:val="32"/>
        </w:rPr>
        <w:t>三十</w:t>
      </w:r>
      <w:r>
        <w:rPr>
          <w:rFonts w:hint="eastAsia" w:ascii="黑体" w:eastAsia="黑体"/>
          <w:color w:val="auto"/>
          <w:sz w:val="32"/>
          <w:lang w:eastAsia="zh-CN"/>
        </w:rPr>
        <w:t>八</w:t>
      </w:r>
      <w:r>
        <w:rPr>
          <w:rFonts w:hint="eastAsia" w:ascii="黑体" w:eastAsia="黑体"/>
          <w:color w:val="auto"/>
        </w:rPr>
        <w:t xml:space="preserve">条  </w:t>
      </w:r>
      <w:r>
        <w:rPr>
          <w:rFonts w:hint="eastAsia"/>
          <w:color w:val="auto"/>
        </w:rPr>
        <w:t>若申请人没有按时交纳竞买保证金，造成竞买保证金在规定时间内未到账，或到账后没有及时在上网竞价交易期限截止</w:t>
      </w:r>
      <w:r>
        <w:rPr>
          <w:rFonts w:hint="eastAsia"/>
          <w:color w:val="auto"/>
          <w:lang w:eastAsia="zh-CN"/>
        </w:rPr>
        <w:t>前</w:t>
      </w:r>
      <w:r>
        <w:rPr>
          <w:rFonts w:hint="eastAsia"/>
          <w:color w:val="auto"/>
        </w:rPr>
        <w:t>进行有效报价的，所造成的一切损失和经济、法律后果由申请人自行承担。</w:t>
      </w:r>
    </w:p>
    <w:p>
      <w:pPr>
        <w:pStyle w:val="5"/>
        <w:widowControl w:val="0"/>
        <w:topLinePunct/>
        <w:snapToGrid w:val="0"/>
        <w:spacing w:before="0" w:beforeAutospacing="0" w:after="0" w:afterAutospacing="0" w:line="574" w:lineRule="exact"/>
        <w:ind w:firstLine="640" w:firstLineChars="200"/>
        <w:textAlignment w:val="center"/>
        <w:rPr>
          <w:rFonts w:hint="eastAsia" w:ascii="仿宋_GB2312" w:eastAsia="仿宋_GB2312"/>
          <w:color w:val="auto"/>
          <w:sz w:val="32"/>
          <w:szCs w:val="32"/>
        </w:rPr>
      </w:pPr>
      <w:r>
        <w:rPr>
          <w:rFonts w:hint="eastAsia" w:ascii="黑体" w:eastAsia="黑体"/>
          <w:color w:val="auto"/>
          <w:sz w:val="32"/>
          <w:szCs w:val="32"/>
        </w:rPr>
        <w:t>第</w:t>
      </w:r>
      <w:r>
        <w:rPr>
          <w:rFonts w:hint="eastAsia" w:ascii="黑体" w:eastAsia="黑体"/>
          <w:color w:val="auto"/>
          <w:sz w:val="32"/>
          <w:szCs w:val="32"/>
          <w:lang w:eastAsia="zh-CN"/>
        </w:rPr>
        <w:t>三</w:t>
      </w:r>
      <w:r>
        <w:rPr>
          <w:rFonts w:hint="eastAsia" w:ascii="黑体" w:eastAsia="黑体"/>
          <w:color w:val="auto"/>
          <w:sz w:val="32"/>
          <w:szCs w:val="32"/>
        </w:rPr>
        <w:t>十</w:t>
      </w:r>
      <w:r>
        <w:rPr>
          <w:rFonts w:hint="eastAsia" w:ascii="黑体" w:hAnsi="Times New Roman" w:eastAsia="黑体" w:cs="Times New Roman"/>
          <w:color w:val="auto"/>
          <w:kern w:val="2"/>
          <w:sz w:val="32"/>
          <w:szCs w:val="22"/>
          <w:lang w:val="en-US" w:eastAsia="zh-CN" w:bidi="ar-SA"/>
        </w:rPr>
        <w:t>九</w:t>
      </w:r>
      <w:r>
        <w:rPr>
          <w:rFonts w:hint="eastAsia" w:ascii="黑体" w:eastAsia="黑体"/>
          <w:color w:val="auto"/>
          <w:sz w:val="32"/>
          <w:szCs w:val="32"/>
        </w:rPr>
        <w:t>条</w:t>
      </w:r>
      <w:r>
        <w:rPr>
          <w:rFonts w:hint="eastAsia" w:ascii="黑体" w:eastAsia="黑体"/>
          <w:color w:val="auto"/>
        </w:rPr>
        <w:t xml:space="preserve">   </w:t>
      </w:r>
      <w:r>
        <w:rPr>
          <w:rFonts w:hint="eastAsia" w:ascii="仿宋_GB2312" w:eastAsia="仿宋_GB2312"/>
          <w:color w:val="auto"/>
          <w:sz w:val="32"/>
          <w:szCs w:val="32"/>
        </w:rPr>
        <w:t>因竞买人计算机系统遭遇网络堵塞、病毒入侵、硬件故障等不能正常登录交易系统进行报价、竞价的，后果由竞买人自行承担，上网竞价交易活动将继续有序进行。</w:t>
      </w:r>
    </w:p>
    <w:p>
      <w:pPr>
        <w:pStyle w:val="5"/>
        <w:widowControl w:val="0"/>
        <w:topLinePunct/>
        <w:snapToGrid w:val="0"/>
        <w:spacing w:before="0" w:beforeAutospacing="0" w:after="0" w:afterAutospacing="0" w:line="574" w:lineRule="exact"/>
        <w:ind w:firstLine="640" w:firstLineChars="200"/>
        <w:jc w:val="both"/>
        <w:textAlignment w:val="center"/>
        <w:rPr>
          <w:rFonts w:hint="eastAsia" w:ascii="仿宋_GB2312" w:eastAsia="仿宋_GB2312"/>
          <w:color w:val="auto"/>
          <w:sz w:val="32"/>
        </w:rPr>
      </w:pPr>
      <w:r>
        <w:rPr>
          <w:rFonts w:hint="eastAsia" w:ascii="黑体" w:eastAsia="黑体"/>
          <w:color w:val="auto"/>
          <w:sz w:val="32"/>
          <w:szCs w:val="32"/>
        </w:rPr>
        <w:t>第四十条</w:t>
      </w:r>
      <w:r>
        <w:rPr>
          <w:rFonts w:hint="eastAsia" w:ascii="仿宋_GB2312" w:eastAsia="仿宋_GB2312"/>
          <w:color w:val="auto"/>
          <w:sz w:val="32"/>
        </w:rPr>
        <w:t>　竞得人有下列行为之一，竞得结果无效，并由有关部门依法处理，竞买保证金不予退还：</w:t>
      </w:r>
    </w:p>
    <w:p>
      <w:pPr>
        <w:pStyle w:val="5"/>
        <w:widowControl w:val="0"/>
        <w:topLinePunct/>
        <w:snapToGrid w:val="0"/>
        <w:spacing w:before="0" w:beforeAutospacing="0" w:after="0" w:afterAutospacing="0" w:line="574" w:lineRule="exact"/>
        <w:ind w:firstLine="640" w:firstLineChars="200"/>
        <w:jc w:val="both"/>
        <w:textAlignment w:val="center"/>
        <w:rPr>
          <w:rFonts w:hint="eastAsia" w:ascii="仿宋_GB2312" w:eastAsia="仿宋_GB2312"/>
          <w:color w:val="auto"/>
          <w:sz w:val="32"/>
        </w:rPr>
      </w:pPr>
      <w:r>
        <w:rPr>
          <w:rFonts w:hint="eastAsia" w:ascii="仿宋_GB2312" w:eastAsia="仿宋_GB2312"/>
          <w:color w:val="auto"/>
          <w:sz w:val="32"/>
        </w:rPr>
        <w:t>（一）提供虚假信息、文件或者隐瞒事实的；</w:t>
      </w:r>
    </w:p>
    <w:p>
      <w:pPr>
        <w:pStyle w:val="5"/>
        <w:widowControl w:val="0"/>
        <w:topLinePunct/>
        <w:snapToGrid w:val="0"/>
        <w:spacing w:before="0" w:beforeAutospacing="0" w:after="0" w:afterAutospacing="0" w:line="574" w:lineRule="exact"/>
        <w:ind w:firstLine="640" w:firstLineChars="200"/>
        <w:jc w:val="both"/>
        <w:textAlignment w:val="center"/>
        <w:rPr>
          <w:rFonts w:hint="eastAsia" w:ascii="仿宋_GB2312" w:eastAsia="仿宋_GB2312"/>
          <w:color w:val="auto"/>
          <w:sz w:val="32"/>
        </w:rPr>
      </w:pPr>
      <w:r>
        <w:rPr>
          <w:rFonts w:hint="eastAsia" w:ascii="仿宋_GB2312" w:eastAsia="仿宋_GB2312"/>
          <w:color w:val="auto"/>
          <w:sz w:val="32"/>
        </w:rPr>
        <w:t>（二）采取行贿、恶意串通等非法手段竞得的；</w:t>
      </w:r>
    </w:p>
    <w:p>
      <w:pPr>
        <w:pStyle w:val="5"/>
        <w:widowControl w:val="0"/>
        <w:topLinePunct/>
        <w:snapToGrid w:val="0"/>
        <w:spacing w:before="0" w:beforeAutospacing="0" w:after="0" w:afterAutospacing="0" w:line="574" w:lineRule="exact"/>
        <w:ind w:firstLine="640" w:firstLineChars="200"/>
        <w:jc w:val="both"/>
        <w:textAlignment w:val="center"/>
        <w:rPr>
          <w:rFonts w:hint="eastAsia" w:ascii="仿宋_GB2312" w:eastAsia="仿宋_GB2312"/>
          <w:color w:val="auto"/>
          <w:sz w:val="32"/>
        </w:rPr>
      </w:pPr>
      <w:r>
        <w:rPr>
          <w:rFonts w:hint="eastAsia" w:ascii="仿宋_GB2312" w:eastAsia="仿宋_GB2312"/>
          <w:color w:val="auto"/>
          <w:sz w:val="32"/>
        </w:rPr>
        <w:t>（三）攻击、破坏、</w:t>
      </w:r>
      <w:r>
        <w:rPr>
          <w:rFonts w:hint="eastAsia" w:ascii="仿宋_GB2312" w:eastAsia="仿宋_GB2312"/>
          <w:color w:val="auto"/>
          <w:sz w:val="32"/>
          <w:lang w:eastAsia="zh-CN"/>
        </w:rPr>
        <w:t>恶意</w:t>
      </w:r>
      <w:r>
        <w:rPr>
          <w:rFonts w:hint="eastAsia" w:ascii="仿宋_GB2312" w:eastAsia="仿宋_GB2312"/>
          <w:color w:val="auto"/>
          <w:sz w:val="32"/>
        </w:rPr>
        <w:t>操控交易系统竞得的；</w:t>
      </w:r>
    </w:p>
    <w:p>
      <w:pPr>
        <w:pStyle w:val="5"/>
        <w:widowControl w:val="0"/>
        <w:topLinePunct/>
        <w:snapToGrid w:val="0"/>
        <w:spacing w:before="0" w:beforeAutospacing="0" w:after="0" w:afterAutospacing="0" w:line="574" w:lineRule="exact"/>
        <w:ind w:firstLine="640" w:firstLineChars="200"/>
        <w:jc w:val="both"/>
        <w:textAlignment w:val="center"/>
        <w:rPr>
          <w:rFonts w:hint="eastAsia" w:ascii="仿宋_GB2312" w:eastAsia="仿宋_GB2312"/>
          <w:color w:val="auto"/>
          <w:sz w:val="32"/>
        </w:rPr>
      </w:pPr>
      <w:r>
        <w:rPr>
          <w:rFonts w:hint="eastAsia" w:ascii="仿宋_GB2312" w:eastAsia="仿宋_GB2312"/>
          <w:color w:val="auto"/>
          <w:sz w:val="32"/>
        </w:rPr>
        <w:t>（四）其他违反上网竞价规定的行为。</w:t>
      </w:r>
    </w:p>
    <w:p>
      <w:pPr>
        <w:pStyle w:val="5"/>
        <w:widowControl w:val="0"/>
        <w:topLinePunct/>
        <w:snapToGrid w:val="0"/>
        <w:spacing w:before="0" w:beforeAutospacing="0" w:after="0" w:afterAutospacing="0" w:line="574" w:lineRule="exact"/>
        <w:ind w:firstLine="640" w:firstLineChars="200"/>
        <w:jc w:val="both"/>
        <w:textAlignment w:val="center"/>
        <w:rPr>
          <w:rFonts w:hint="eastAsia" w:ascii="仿宋_GB2312" w:eastAsia="仿宋_GB2312"/>
          <w:color w:val="auto"/>
          <w:sz w:val="32"/>
        </w:rPr>
      </w:pPr>
      <w:r>
        <w:rPr>
          <w:rFonts w:hint="eastAsia" w:ascii="黑体" w:eastAsia="黑体"/>
          <w:color w:val="auto"/>
          <w:sz w:val="32"/>
        </w:rPr>
        <w:t>第</w:t>
      </w:r>
      <w:r>
        <w:rPr>
          <w:rFonts w:hint="eastAsia" w:ascii="黑体" w:eastAsia="黑体"/>
          <w:color w:val="auto"/>
          <w:sz w:val="32"/>
          <w:szCs w:val="32"/>
        </w:rPr>
        <w:t>四十</w:t>
      </w:r>
      <w:r>
        <w:rPr>
          <w:rFonts w:hint="eastAsia" w:ascii="黑体" w:eastAsia="黑体"/>
          <w:color w:val="auto"/>
          <w:sz w:val="32"/>
          <w:szCs w:val="32"/>
          <w:lang w:eastAsia="zh-CN"/>
        </w:rPr>
        <w:t>一</w:t>
      </w:r>
      <w:r>
        <w:rPr>
          <w:rFonts w:hint="eastAsia" w:ascii="黑体" w:eastAsia="黑体"/>
          <w:color w:val="auto"/>
          <w:sz w:val="32"/>
        </w:rPr>
        <w:t xml:space="preserve">条  </w:t>
      </w:r>
      <w:r>
        <w:rPr>
          <w:rFonts w:hint="eastAsia" w:ascii="仿宋_GB2312" w:eastAsia="仿宋_GB2312"/>
          <w:color w:val="auto"/>
          <w:sz w:val="32"/>
          <w:lang w:eastAsia="zh-CN"/>
        </w:rPr>
        <w:t>最高报价者</w:t>
      </w:r>
      <w:r>
        <w:rPr>
          <w:rFonts w:hint="eastAsia" w:ascii="仿宋_GB2312" w:eastAsia="仿宋_GB2312"/>
          <w:color w:val="auto"/>
          <w:sz w:val="32"/>
        </w:rPr>
        <w:t>拒绝签订《成交确认书》、竞得人</w:t>
      </w:r>
      <w:r>
        <w:rPr>
          <w:rFonts w:hint="eastAsia" w:ascii="仿宋_GB2312" w:eastAsia="仿宋_GB2312"/>
          <w:color w:val="auto"/>
          <w:sz w:val="32"/>
          <w:lang w:eastAsia="zh-CN"/>
        </w:rPr>
        <w:t>逾期或拒绝签订</w:t>
      </w:r>
      <w:r>
        <w:rPr>
          <w:rFonts w:hint="eastAsia" w:ascii="仿宋_GB2312" w:eastAsia="仿宋_GB2312"/>
          <w:color w:val="auto"/>
          <w:sz w:val="32"/>
        </w:rPr>
        <w:t>《出让（转让）合同》</w:t>
      </w:r>
      <w:r>
        <w:rPr>
          <w:rFonts w:hint="eastAsia" w:ascii="仿宋_GB2312" w:eastAsia="仿宋_GB2312"/>
          <w:color w:val="auto"/>
          <w:sz w:val="32"/>
          <w:szCs w:val="32"/>
        </w:rPr>
        <w:t>，</w:t>
      </w:r>
      <w:r>
        <w:rPr>
          <w:rFonts w:hint="eastAsia" w:ascii="仿宋_GB2312" w:eastAsia="仿宋_GB2312"/>
          <w:color w:val="auto"/>
          <w:sz w:val="32"/>
        </w:rPr>
        <w:t>竞买保证金不予退还，并由</w:t>
      </w:r>
      <w:r>
        <w:rPr>
          <w:rFonts w:hint="eastAsia" w:ascii="仿宋_GB2312" w:eastAsia="仿宋_GB2312"/>
          <w:color w:val="auto"/>
          <w:sz w:val="32"/>
          <w:lang w:eastAsia="zh-CN"/>
        </w:rPr>
        <w:t>最高报价者、</w:t>
      </w:r>
      <w:r>
        <w:rPr>
          <w:rFonts w:hint="eastAsia" w:ascii="仿宋_GB2312" w:eastAsia="仿宋_GB2312"/>
          <w:color w:val="auto"/>
          <w:sz w:val="32"/>
        </w:rPr>
        <w:t>竞得人承担相应的经济及法律责任。</w:t>
      </w:r>
    </w:p>
    <w:p>
      <w:pPr>
        <w:pStyle w:val="5"/>
        <w:widowControl w:val="0"/>
        <w:topLinePunct/>
        <w:snapToGrid w:val="0"/>
        <w:spacing w:before="0" w:beforeAutospacing="0" w:after="0" w:afterAutospacing="0" w:line="574" w:lineRule="exact"/>
        <w:ind w:firstLine="640" w:firstLineChars="200"/>
        <w:jc w:val="both"/>
        <w:textAlignment w:val="center"/>
        <w:rPr>
          <w:rFonts w:hint="eastAsia" w:ascii="仿宋_GB2312" w:eastAsia="仿宋_GB2312"/>
          <w:color w:val="auto"/>
          <w:sz w:val="32"/>
        </w:rPr>
      </w:pPr>
      <w:r>
        <w:rPr>
          <w:rFonts w:hint="eastAsia" w:ascii="黑体" w:eastAsia="黑体"/>
          <w:color w:val="auto"/>
          <w:sz w:val="32"/>
        </w:rPr>
        <w:t>第</w:t>
      </w:r>
      <w:r>
        <w:rPr>
          <w:rFonts w:hint="eastAsia" w:ascii="黑体" w:eastAsia="黑体"/>
          <w:color w:val="auto"/>
          <w:sz w:val="32"/>
          <w:szCs w:val="32"/>
        </w:rPr>
        <w:t>四十</w:t>
      </w:r>
      <w:r>
        <w:rPr>
          <w:rFonts w:hint="eastAsia" w:ascii="黑体" w:eastAsia="黑体"/>
          <w:color w:val="auto"/>
          <w:sz w:val="32"/>
          <w:szCs w:val="32"/>
          <w:lang w:eastAsia="zh-CN"/>
        </w:rPr>
        <w:t>二</w:t>
      </w:r>
      <w:r>
        <w:rPr>
          <w:rFonts w:hint="eastAsia" w:ascii="黑体" w:eastAsia="黑体"/>
          <w:color w:val="auto"/>
          <w:sz w:val="32"/>
        </w:rPr>
        <w:t>条</w:t>
      </w:r>
      <w:r>
        <w:rPr>
          <w:rFonts w:hint="eastAsia" w:ascii="仿宋_GB2312" w:eastAsia="仿宋_GB2312"/>
          <w:color w:val="auto"/>
          <w:sz w:val="32"/>
        </w:rPr>
        <w:t xml:space="preserve">  上网竞价交易活动中工作人员玩忽职守、滥用职权、徇私舞弊的，泄露与竞买人身份和交易系统有关的保密信息的，应依法承担相应法律责任。</w:t>
      </w:r>
    </w:p>
    <w:p>
      <w:pPr>
        <w:pStyle w:val="5"/>
        <w:widowControl w:val="0"/>
        <w:topLinePunct/>
        <w:snapToGrid w:val="0"/>
        <w:spacing w:before="0" w:beforeAutospacing="0" w:after="0" w:afterAutospacing="0" w:line="574" w:lineRule="exact"/>
        <w:jc w:val="center"/>
        <w:textAlignment w:val="center"/>
        <w:rPr>
          <w:rFonts w:hint="eastAsia" w:ascii="黑体" w:eastAsia="黑体"/>
          <w:color w:val="auto"/>
          <w:sz w:val="32"/>
        </w:rPr>
      </w:pPr>
    </w:p>
    <w:p>
      <w:pPr>
        <w:pStyle w:val="5"/>
        <w:widowControl w:val="0"/>
        <w:topLinePunct/>
        <w:snapToGrid w:val="0"/>
        <w:spacing w:before="0" w:beforeAutospacing="0" w:after="0" w:afterAutospacing="0" w:line="574" w:lineRule="exact"/>
        <w:ind w:firstLine="3315" w:firstLineChars="1036"/>
        <w:textAlignment w:val="center"/>
        <w:rPr>
          <w:rFonts w:hint="eastAsia" w:ascii="黑体" w:eastAsia="黑体"/>
          <w:color w:val="auto"/>
          <w:sz w:val="32"/>
        </w:rPr>
      </w:pPr>
      <w:r>
        <w:rPr>
          <w:rFonts w:hint="eastAsia" w:ascii="黑体" w:eastAsia="黑体"/>
          <w:color w:val="auto"/>
          <w:sz w:val="32"/>
        </w:rPr>
        <w:t>第九章</w:t>
      </w:r>
      <w:r>
        <w:rPr>
          <w:rFonts w:hint="eastAsia" w:ascii="黑体" w:eastAsia="黑体"/>
          <w:color w:val="auto"/>
          <w:sz w:val="32"/>
          <w:lang w:val="en-US" w:eastAsia="zh-CN"/>
        </w:rPr>
        <w:t xml:space="preserve">  </w:t>
      </w:r>
      <w:r>
        <w:rPr>
          <w:rFonts w:hint="eastAsia" w:ascii="黑体" w:eastAsia="黑体"/>
          <w:color w:val="auto"/>
          <w:sz w:val="32"/>
        </w:rPr>
        <w:t xml:space="preserve">  附  则</w:t>
      </w:r>
    </w:p>
    <w:p>
      <w:pPr>
        <w:spacing w:line="574" w:lineRule="exact"/>
        <w:ind w:firstLine="640" w:firstLineChars="200"/>
        <w:rPr>
          <w:rFonts w:hint="eastAsia"/>
          <w:color w:val="auto"/>
        </w:rPr>
      </w:pPr>
      <w:r>
        <w:rPr>
          <w:rFonts w:hint="eastAsia" w:ascii="黑体" w:eastAsia="黑体"/>
          <w:color w:val="auto"/>
        </w:rPr>
        <w:t>第</w:t>
      </w:r>
      <w:r>
        <w:rPr>
          <w:rFonts w:hint="eastAsia" w:ascii="黑体" w:eastAsia="黑体"/>
          <w:color w:val="auto"/>
          <w:sz w:val="32"/>
          <w:szCs w:val="32"/>
        </w:rPr>
        <w:t>四十</w:t>
      </w:r>
      <w:r>
        <w:rPr>
          <w:rFonts w:hint="eastAsia" w:ascii="黑体" w:eastAsia="黑体"/>
          <w:color w:val="auto"/>
          <w:sz w:val="32"/>
          <w:szCs w:val="32"/>
          <w:lang w:eastAsia="zh-CN"/>
        </w:rPr>
        <w:t>三</w:t>
      </w:r>
      <w:r>
        <w:rPr>
          <w:rFonts w:hint="eastAsia" w:ascii="黑体" w:eastAsia="黑体"/>
          <w:color w:val="auto"/>
        </w:rPr>
        <w:t xml:space="preserve">条  </w:t>
      </w:r>
      <w:r>
        <w:rPr>
          <w:rFonts w:hint="eastAsia"/>
          <w:color w:val="auto"/>
          <w:szCs w:val="32"/>
        </w:rPr>
        <w:t>本</w:t>
      </w:r>
      <w:r>
        <w:rPr>
          <w:rFonts w:hint="eastAsia"/>
          <w:color w:val="auto"/>
          <w:szCs w:val="32"/>
          <w:lang w:eastAsia="zh-CN"/>
        </w:rPr>
        <w:t>实施</w:t>
      </w:r>
      <w:r>
        <w:rPr>
          <w:rFonts w:hint="eastAsia"/>
          <w:color w:val="auto"/>
        </w:rPr>
        <w:t>细则规定的时间以交易系统服务器的时间为准，有关数据记录的时间以数据信息到达交易系统服务器的时间为准。</w:t>
      </w:r>
    </w:p>
    <w:p>
      <w:pPr>
        <w:spacing w:line="574" w:lineRule="exact"/>
        <w:ind w:firstLine="640" w:firstLineChars="200"/>
        <w:rPr>
          <w:rFonts w:hint="eastAsia" w:ascii="仿宋_GB2312"/>
          <w:color w:val="auto"/>
          <w:szCs w:val="32"/>
        </w:rPr>
      </w:pPr>
      <w:r>
        <w:rPr>
          <w:rFonts w:hint="eastAsia" w:ascii="黑体" w:eastAsia="黑体"/>
          <w:color w:val="auto"/>
        </w:rPr>
        <w:t>第</w:t>
      </w:r>
      <w:r>
        <w:rPr>
          <w:rFonts w:hint="eastAsia" w:ascii="黑体" w:eastAsia="黑体"/>
          <w:color w:val="auto"/>
          <w:sz w:val="32"/>
          <w:szCs w:val="32"/>
        </w:rPr>
        <w:t>四十</w:t>
      </w:r>
      <w:r>
        <w:rPr>
          <w:rFonts w:hint="eastAsia" w:ascii="黑体" w:eastAsia="黑体"/>
          <w:color w:val="auto"/>
          <w:sz w:val="32"/>
          <w:szCs w:val="32"/>
          <w:lang w:eastAsia="zh-CN"/>
        </w:rPr>
        <w:t>四</w:t>
      </w:r>
      <w:r>
        <w:rPr>
          <w:rFonts w:hint="eastAsia" w:ascii="黑体" w:eastAsia="黑体"/>
          <w:color w:val="auto"/>
        </w:rPr>
        <w:t xml:space="preserve">条  </w:t>
      </w:r>
      <w:r>
        <w:rPr>
          <w:rFonts w:hint="eastAsia" w:ascii="仿宋_GB2312"/>
          <w:color w:val="auto"/>
          <w:szCs w:val="32"/>
        </w:rPr>
        <w:t>申请人在参加上网竞价交易活动之前，应当详细阅读、清晰了解和严格遵守本</w:t>
      </w:r>
      <w:r>
        <w:rPr>
          <w:rFonts w:hint="eastAsia" w:ascii="仿宋_GB2312"/>
          <w:color w:val="auto"/>
          <w:szCs w:val="32"/>
          <w:lang w:eastAsia="zh-CN"/>
        </w:rPr>
        <w:t>实施</w:t>
      </w:r>
      <w:r>
        <w:rPr>
          <w:rFonts w:hint="eastAsia" w:ascii="仿宋_GB2312"/>
          <w:color w:val="auto"/>
          <w:szCs w:val="32"/>
        </w:rPr>
        <w:t>细则。</w:t>
      </w:r>
    </w:p>
    <w:p>
      <w:pPr>
        <w:spacing w:beforeLines="0" w:afterLines="0" w:line="574" w:lineRule="exact"/>
        <w:ind w:firstLine="640"/>
        <w:rPr>
          <w:rFonts w:hint="eastAsia" w:ascii="仿宋_GB2312"/>
          <w:color w:val="auto"/>
          <w:szCs w:val="32"/>
        </w:rPr>
      </w:pPr>
      <w:r>
        <w:rPr>
          <w:rFonts w:hint="eastAsia" w:ascii="黑体" w:eastAsia="黑体"/>
          <w:color w:val="auto"/>
        </w:rPr>
        <w:t>第</w:t>
      </w:r>
      <w:r>
        <w:rPr>
          <w:rFonts w:hint="eastAsia" w:ascii="黑体" w:eastAsia="黑体"/>
          <w:color w:val="auto"/>
          <w:sz w:val="32"/>
          <w:szCs w:val="32"/>
        </w:rPr>
        <w:t>四十</w:t>
      </w:r>
      <w:r>
        <w:rPr>
          <w:rFonts w:hint="eastAsia" w:ascii="黑体" w:eastAsia="黑体"/>
          <w:color w:val="auto"/>
          <w:sz w:val="32"/>
          <w:szCs w:val="32"/>
          <w:lang w:eastAsia="zh-CN"/>
        </w:rPr>
        <w:t>五</w:t>
      </w:r>
      <w:r>
        <w:rPr>
          <w:rFonts w:hint="eastAsia" w:ascii="黑体" w:eastAsia="黑体"/>
          <w:color w:val="auto"/>
        </w:rPr>
        <w:t xml:space="preserve">条  </w:t>
      </w:r>
      <w:r>
        <w:rPr>
          <w:rFonts w:hint="eastAsia"/>
          <w:color w:val="auto"/>
        </w:rPr>
        <w:t>本</w:t>
      </w:r>
      <w:r>
        <w:rPr>
          <w:rFonts w:hint="eastAsia"/>
          <w:color w:val="auto"/>
          <w:lang w:eastAsia="zh-CN"/>
        </w:rPr>
        <w:t>实施</w:t>
      </w:r>
      <w:r>
        <w:rPr>
          <w:rFonts w:hint="eastAsia" w:ascii="仿宋_GB2312"/>
          <w:color w:val="auto"/>
        </w:rPr>
        <w:t>细</w:t>
      </w:r>
      <w:r>
        <w:rPr>
          <w:rFonts w:hint="eastAsia"/>
          <w:color w:val="auto"/>
        </w:rPr>
        <w:t>则未尽事宜，国家法律、法规或规章有相应规定的，从其</w:t>
      </w:r>
      <w:r>
        <w:rPr>
          <w:rFonts w:hint="eastAsia"/>
          <w:color w:val="auto"/>
          <w:lang w:eastAsia="zh-CN"/>
        </w:rPr>
        <w:t>最新</w:t>
      </w:r>
      <w:r>
        <w:rPr>
          <w:rFonts w:hint="eastAsia"/>
          <w:color w:val="auto"/>
        </w:rPr>
        <w:t>规定</w:t>
      </w:r>
      <w:r>
        <w:rPr>
          <w:rFonts w:hint="eastAsia"/>
          <w:color w:val="auto"/>
          <w:lang w:eastAsia="zh-CN"/>
        </w:rPr>
        <w:t>。交易中心可根据每宗交易标的的实际情况在配套交易文件中予以补充说明。</w:t>
      </w:r>
    </w:p>
    <w:p>
      <w:pPr>
        <w:pStyle w:val="5"/>
        <w:widowControl w:val="0"/>
        <w:topLinePunct/>
        <w:snapToGrid w:val="0"/>
        <w:spacing w:before="0" w:beforeLines="0" w:beforeAutospacing="0" w:after="0" w:afterLines="0" w:afterAutospacing="0" w:line="574" w:lineRule="exact"/>
        <w:ind w:firstLine="645"/>
        <w:textAlignment w:val="center"/>
        <w:rPr>
          <w:rFonts w:hint="eastAsia" w:ascii="仿宋_GB2312" w:eastAsia="仿宋_GB2312"/>
          <w:color w:val="auto"/>
          <w:sz w:val="32"/>
        </w:rPr>
      </w:pPr>
      <w:r>
        <w:rPr>
          <w:rFonts w:hint="eastAsia" w:ascii="黑体" w:eastAsia="黑体"/>
          <w:color w:val="auto"/>
          <w:sz w:val="32"/>
        </w:rPr>
        <w:t>第</w:t>
      </w:r>
      <w:r>
        <w:rPr>
          <w:rFonts w:hint="eastAsia" w:ascii="黑体" w:eastAsia="黑体"/>
          <w:color w:val="auto"/>
          <w:sz w:val="32"/>
          <w:szCs w:val="32"/>
        </w:rPr>
        <w:t>四十</w:t>
      </w:r>
      <w:r>
        <w:rPr>
          <w:rFonts w:hint="eastAsia" w:ascii="黑体" w:eastAsia="黑体"/>
          <w:color w:val="auto"/>
          <w:sz w:val="32"/>
          <w:szCs w:val="32"/>
          <w:lang w:eastAsia="zh-CN"/>
        </w:rPr>
        <w:t>六</w:t>
      </w:r>
      <w:r>
        <w:rPr>
          <w:rFonts w:hint="eastAsia" w:ascii="黑体" w:eastAsia="黑体"/>
          <w:color w:val="auto"/>
          <w:sz w:val="32"/>
          <w:szCs w:val="32"/>
        </w:rPr>
        <w:t>条</w:t>
      </w:r>
      <w:r>
        <w:rPr>
          <w:rFonts w:hint="eastAsia" w:ascii="仿宋_GB2312" w:eastAsia="仿宋_GB2312"/>
          <w:color w:val="auto"/>
          <w:sz w:val="32"/>
        </w:rPr>
        <w:t xml:space="preserve">  本</w:t>
      </w:r>
      <w:r>
        <w:rPr>
          <w:rFonts w:hint="eastAsia" w:ascii="仿宋_GB2312" w:eastAsia="仿宋_GB2312"/>
          <w:color w:val="auto"/>
          <w:sz w:val="32"/>
          <w:lang w:eastAsia="zh-CN"/>
        </w:rPr>
        <w:t>实施</w:t>
      </w:r>
      <w:r>
        <w:rPr>
          <w:rFonts w:hint="eastAsia" w:ascii="仿宋_GB2312" w:eastAsia="仿宋_GB2312"/>
          <w:color w:val="auto"/>
          <w:sz w:val="32"/>
        </w:rPr>
        <w:t>细则由交易中心负责解释。</w:t>
      </w:r>
    </w:p>
    <w:p>
      <w:pPr>
        <w:widowControl w:val="0"/>
        <w:topLinePunct/>
        <w:snapToGrid w:val="0"/>
        <w:spacing w:before="0" w:beforeLines="0" w:beforeAutospacing="0" w:after="0" w:afterLines="0" w:afterAutospacing="0" w:line="574" w:lineRule="exact"/>
        <w:ind w:firstLine="640" w:firstLineChars="200"/>
        <w:jc w:val="both"/>
        <w:textAlignment w:val="center"/>
        <w:rPr>
          <w:rFonts w:hint="eastAsia" w:ascii="仿宋_GB2312" w:eastAsia="仿宋_GB2312"/>
          <w:color w:val="auto"/>
          <w:sz w:val="32"/>
          <w:szCs w:val="32"/>
        </w:rPr>
      </w:pPr>
      <w:r>
        <w:rPr>
          <w:rFonts w:hint="eastAsia" w:ascii="黑体" w:eastAsia="黑体"/>
          <w:color w:val="auto"/>
          <w:sz w:val="32"/>
          <w:szCs w:val="32"/>
        </w:rPr>
        <w:t>第四十</w:t>
      </w:r>
      <w:r>
        <w:rPr>
          <w:rFonts w:hint="eastAsia" w:ascii="黑体" w:eastAsia="黑体"/>
          <w:color w:val="auto"/>
          <w:sz w:val="32"/>
          <w:szCs w:val="32"/>
          <w:lang w:eastAsia="zh-CN"/>
        </w:rPr>
        <w:t>七</w:t>
      </w:r>
      <w:r>
        <w:rPr>
          <w:rFonts w:hint="eastAsia" w:ascii="黑体" w:eastAsia="黑体"/>
          <w:color w:val="auto"/>
          <w:sz w:val="32"/>
          <w:szCs w:val="32"/>
        </w:rPr>
        <w:t>条</w:t>
      </w:r>
      <w:r>
        <w:rPr>
          <w:rFonts w:hint="eastAsia"/>
          <w:color w:val="auto"/>
        </w:rPr>
        <w:t xml:space="preserve">  </w:t>
      </w:r>
      <w:r>
        <w:rPr>
          <w:rFonts w:hint="eastAsia" w:ascii="仿宋_GB2312" w:eastAsia="仿宋_GB2312"/>
          <w:color w:val="auto"/>
          <w:sz w:val="32"/>
          <w:szCs w:val="32"/>
        </w:rPr>
        <w:t>本</w:t>
      </w:r>
      <w:r>
        <w:rPr>
          <w:rFonts w:hint="eastAsia" w:ascii="仿宋_GB2312" w:eastAsia="仿宋_GB2312"/>
          <w:color w:val="auto"/>
          <w:sz w:val="32"/>
          <w:szCs w:val="32"/>
          <w:lang w:eastAsia="zh-CN"/>
        </w:rPr>
        <w:t>实施</w:t>
      </w:r>
      <w:r>
        <w:rPr>
          <w:rFonts w:hint="eastAsia" w:ascii="仿宋_GB2312" w:eastAsia="仿宋_GB2312"/>
          <w:color w:val="auto"/>
          <w:sz w:val="32"/>
          <w:szCs w:val="32"/>
        </w:rPr>
        <w:t>细则自</w:t>
      </w:r>
      <w:r>
        <w:rPr>
          <w:rFonts w:hint="eastAsia" w:ascii="仿宋_GB2312"/>
          <w:color w:val="auto"/>
          <w:sz w:val="32"/>
          <w:szCs w:val="32"/>
          <w:lang w:val="en-US" w:eastAsia="zh-CN"/>
        </w:rPr>
        <w:t>2020年X月X</w:t>
      </w:r>
      <w:r>
        <w:rPr>
          <w:rFonts w:hint="eastAsia" w:ascii="仿宋_GB2312" w:eastAsia="仿宋_GB2312"/>
          <w:color w:val="auto"/>
          <w:sz w:val="32"/>
          <w:szCs w:val="32"/>
        </w:rPr>
        <w:t>日起施行</w:t>
      </w:r>
      <w:r>
        <w:rPr>
          <w:rFonts w:hint="eastAsia" w:ascii="仿宋_GB2312"/>
          <w:color w:val="auto"/>
          <w:sz w:val="32"/>
          <w:szCs w:val="32"/>
          <w:lang w:eastAsia="zh-CN"/>
        </w:rPr>
        <w:t>，有效期</w:t>
      </w:r>
      <w:r>
        <w:rPr>
          <w:rFonts w:hint="eastAsia" w:ascii="仿宋_GB2312"/>
          <w:color w:val="auto"/>
          <w:sz w:val="32"/>
          <w:szCs w:val="32"/>
          <w:lang w:val="en-US" w:eastAsia="zh-CN"/>
        </w:rPr>
        <w:t>5年</w:t>
      </w:r>
      <w:r>
        <w:rPr>
          <w:rFonts w:hint="eastAsia" w:ascii="仿宋_GB2312" w:eastAsia="仿宋_GB2312"/>
          <w:color w:val="auto"/>
          <w:sz w:val="32"/>
          <w:szCs w:val="32"/>
        </w:rPr>
        <w:t>。本实施细则在施行过程中与</w:t>
      </w:r>
      <w:r>
        <w:rPr>
          <w:rFonts w:hint="eastAsia" w:ascii="仿宋_GB2312" w:eastAsia="仿宋_GB2312"/>
          <w:color w:val="auto"/>
          <w:sz w:val="32"/>
          <w:szCs w:val="32"/>
          <w:lang w:eastAsia="zh-CN"/>
        </w:rPr>
        <w:t>国家、省及市</w:t>
      </w:r>
      <w:r>
        <w:rPr>
          <w:rFonts w:hint="eastAsia" w:ascii="仿宋_GB2312" w:eastAsia="仿宋_GB2312"/>
          <w:color w:val="auto"/>
          <w:sz w:val="32"/>
          <w:szCs w:val="32"/>
        </w:rPr>
        <w:t>新出台的</w:t>
      </w:r>
      <w:r>
        <w:rPr>
          <w:rFonts w:hint="eastAsia" w:ascii="仿宋_GB2312" w:eastAsia="仿宋_GB2312"/>
          <w:color w:val="auto"/>
          <w:sz w:val="32"/>
          <w:szCs w:val="32"/>
          <w:lang w:eastAsia="zh-CN"/>
        </w:rPr>
        <w:t>法律、法规或</w:t>
      </w:r>
      <w:r>
        <w:rPr>
          <w:rFonts w:hint="eastAsia" w:ascii="仿宋_GB2312" w:eastAsia="仿宋_GB2312"/>
          <w:color w:val="auto"/>
          <w:sz w:val="32"/>
          <w:szCs w:val="32"/>
        </w:rPr>
        <w:t>规章</w:t>
      </w:r>
      <w:r>
        <w:rPr>
          <w:rFonts w:hint="eastAsia" w:ascii="仿宋_GB2312" w:eastAsia="仿宋_GB2312"/>
          <w:color w:val="auto"/>
          <w:sz w:val="32"/>
          <w:szCs w:val="32"/>
          <w:lang w:eastAsia="zh-CN"/>
        </w:rPr>
        <w:t>中的有关</w:t>
      </w:r>
      <w:r>
        <w:rPr>
          <w:rFonts w:hint="eastAsia" w:ascii="仿宋_GB2312" w:eastAsia="仿宋_GB2312"/>
          <w:color w:val="auto"/>
          <w:sz w:val="32"/>
          <w:szCs w:val="32"/>
        </w:rPr>
        <w:t>规定不一致的，以</w:t>
      </w:r>
      <w:r>
        <w:rPr>
          <w:rFonts w:hint="eastAsia" w:ascii="仿宋_GB2312" w:eastAsia="仿宋_GB2312"/>
          <w:color w:val="auto"/>
          <w:sz w:val="32"/>
          <w:szCs w:val="32"/>
          <w:lang w:eastAsia="zh-CN"/>
        </w:rPr>
        <w:t>国家、省及市</w:t>
      </w:r>
      <w:r>
        <w:rPr>
          <w:rFonts w:hint="eastAsia" w:ascii="仿宋_GB2312" w:eastAsia="仿宋_GB2312"/>
          <w:color w:val="auto"/>
          <w:sz w:val="32"/>
          <w:szCs w:val="32"/>
        </w:rPr>
        <w:t>新出台的</w:t>
      </w:r>
      <w:r>
        <w:rPr>
          <w:rFonts w:hint="eastAsia" w:ascii="仿宋_GB2312" w:eastAsia="仿宋_GB2312"/>
          <w:color w:val="auto"/>
          <w:sz w:val="32"/>
          <w:szCs w:val="32"/>
          <w:lang w:eastAsia="zh-CN"/>
        </w:rPr>
        <w:t>法律、法规或</w:t>
      </w:r>
      <w:r>
        <w:rPr>
          <w:rFonts w:hint="eastAsia" w:ascii="仿宋_GB2312" w:eastAsia="仿宋_GB2312"/>
          <w:color w:val="auto"/>
          <w:sz w:val="32"/>
          <w:szCs w:val="32"/>
        </w:rPr>
        <w:t>规章</w:t>
      </w:r>
      <w:r>
        <w:rPr>
          <w:rFonts w:hint="eastAsia" w:ascii="仿宋_GB2312" w:eastAsia="仿宋_GB2312"/>
          <w:color w:val="auto"/>
          <w:sz w:val="32"/>
          <w:szCs w:val="32"/>
          <w:lang w:eastAsia="zh-CN"/>
        </w:rPr>
        <w:t>的有关</w:t>
      </w:r>
      <w:r>
        <w:rPr>
          <w:rFonts w:hint="eastAsia" w:ascii="仿宋_GB2312" w:eastAsia="仿宋_GB2312"/>
          <w:color w:val="auto"/>
          <w:sz w:val="32"/>
          <w:szCs w:val="32"/>
        </w:rPr>
        <w:t>规定为准。</w:t>
      </w:r>
    </w:p>
    <w:p>
      <w:pPr>
        <w:rPr>
          <w:color w:val="auto"/>
        </w:rPr>
      </w:pPr>
    </w:p>
    <w:sectPr>
      <w:footerReference r:id="rId3" w:type="default"/>
      <w:pgSz w:w="11906" w:h="16838"/>
      <w:pgMar w:top="2098" w:right="1474" w:bottom="1984" w:left="1588" w:header="851" w:footer="1701"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Verdana">
    <w:panose1 w:val="020B0604030504040204"/>
    <w:charset w:val="00"/>
    <w:family w:val="auto"/>
    <w:pitch w:val="default"/>
    <w:sig w:usb0="A10006FF" w:usb1="4000205B" w:usb2="00000010" w:usb3="00000000" w:csb0="2000019F" w:csb1="00000000"/>
  </w:font>
  <w:font w:name="方正小标宋简体">
    <w:panose1 w:val="03000509000000000000"/>
    <w:charset w:val="86"/>
    <w:family w:val="auto"/>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Times New Roman" w:hAnsi="Times New Roman" w:eastAsia="仿宋_GB2312" w:cs="Times New Roman"/>
        <w:kern w:val="2"/>
        <w:sz w:val="18"/>
        <w:lang w:val="en-US" w:eastAsia="zh-CN" w:bidi="ar-SA"/>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矩形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- 1 -</w:t>
                          </w:r>
                          <w:r>
                            <w:rPr>
                              <w:rFonts w:hint="eastAsia" w:ascii="宋体" w:hAnsi="宋体" w:eastAsia="宋体" w:cs="宋体"/>
                              <w:sz w:val="28"/>
                              <w:szCs w:val="28"/>
                              <w:lang w:eastAsia="zh-CN"/>
                            </w:rPr>
                            <w:fldChar w:fldCharType="end"/>
                          </w:r>
                        </w:p>
                      </w:txbxContent>
                    </wps:txbx>
                    <wps:bodyPr wrap="none" lIns="0" tIns="0" rIns="0" bIns="0" upright="1">
                      <a:spAutoFit/>
                    </wps:bodyPr>
                  </wps:wsp>
                </a:graphicData>
              </a:graphic>
            </wp:anchor>
          </w:drawing>
        </mc:Choice>
        <mc:Fallback>
          <w:pict>
            <v:rect id="_x0000_s1026" o:spid="_x0000_s1026" o:spt="1"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Ll1uVLQAAAABQEAAA8AAAAAAAAAAQAg&#10;AAAAIgAAAGRycy9kb3ducmV2LnhtbFBLAQIUABQAAAAIAIdO4kDpaao+pAEAAD4DAAAOAAAAAAAA&#10;AAEAIAAAAB8BAABkcnMvZTJvRG9jLnhtbFBLBQYAAAAABgAGAFkBAAA1BQAAAAA=&#10;">
              <v:fill on="f" focussize="0,0"/>
              <v:stroke on="f"/>
              <v:imagedata o:title=""/>
              <o:lock v:ext="edit"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- 1 -</w:t>
                    </w:r>
                    <w:r>
                      <w:rPr>
                        <w:rFonts w:hint="eastAsia" w:ascii="宋体" w:hAnsi="宋体" w:eastAsia="宋体" w:cs="宋体"/>
                        <w:sz w:val="28"/>
                        <w:szCs w:val="28"/>
                        <w:lang w:eastAsia="zh-CN"/>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0D98"/>
    <w:multiLevelType w:val="multilevel"/>
    <w:tmpl w:val="00EF0D98"/>
    <w:lvl w:ilvl="0" w:tentative="0">
      <w:start w:val="1"/>
      <w:numFmt w:val="japaneseCounting"/>
      <w:lvlText w:val="（%1）"/>
      <w:lvlJc w:val="left"/>
      <w:pPr>
        <w:tabs>
          <w:tab w:val="left" w:pos="1720"/>
        </w:tabs>
        <w:ind w:left="1720" w:hanging="108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3F49FA"/>
    <w:rsid w:val="13FD3322"/>
    <w:rsid w:val="16D34EC4"/>
    <w:rsid w:val="27BA5750"/>
    <w:rsid w:val="29AC69B6"/>
    <w:rsid w:val="2BF03934"/>
    <w:rsid w:val="2C6C2626"/>
    <w:rsid w:val="343F49FA"/>
    <w:rsid w:val="3A0B0D3F"/>
    <w:rsid w:val="3F9C003B"/>
    <w:rsid w:val="40380537"/>
    <w:rsid w:val="429B1209"/>
    <w:rsid w:val="43C32B99"/>
    <w:rsid w:val="455C112D"/>
    <w:rsid w:val="4602650D"/>
    <w:rsid w:val="46405D6A"/>
    <w:rsid w:val="515C209C"/>
    <w:rsid w:val="517736C4"/>
    <w:rsid w:val="746A015B"/>
    <w:rsid w:val="7EFE27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customStyle="1" w:styleId="5">
    <w:name w:val="a"/>
    <w:basedOn w:val="1"/>
    <w:qFormat/>
    <w:uiPriority w:val="0"/>
    <w:pPr>
      <w:widowControl/>
      <w:spacing w:before="100" w:beforeAutospacing="1" w:after="100" w:afterAutospacing="1"/>
      <w:jc w:val="left"/>
    </w:pPr>
    <w:rPr>
      <w:rFonts w:ascii="Verdana" w:hAnsi="Verdana" w:eastAsia="宋体"/>
      <w:color w:val="000000"/>
      <w:kern w:val="0"/>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中山市住房公积金管理中心</Company>
  <Pages>1</Pages>
  <Words>0</Words>
  <Characters>0</Characters>
  <Lines>0</Lines>
  <Paragraphs>0</Paragraphs>
  <TotalTime>72</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2020-05-13T07:00:00Z</dcterms:created>
  <dc:creator>~粵T┈</dc:creator>
  <cp:lastModifiedBy>林雪花</cp:lastModifiedBy>
  <cp:lastPrinted>2020-05-20T00:48:00Z</cp:lastPrinted>
  <dcterms:modified xsi:type="dcterms:W3CDTF">2020-05-20T07:54:49Z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