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hint="eastAsia" w:ascii="Arial" w:hAnsi="Arial" w:cs="Arial"/>
          <w:b/>
          <w:color w:val="000000"/>
          <w:kern w:val="36"/>
          <w:sz w:val="28"/>
          <w:szCs w:val="28"/>
        </w:rPr>
      </w:pPr>
      <w:r>
        <w:rPr>
          <w:rFonts w:ascii="Arial" w:hAnsi="Arial" w:cs="Arial"/>
          <w:b/>
          <w:color w:val="000000"/>
          <w:kern w:val="36"/>
          <w:sz w:val="28"/>
          <w:szCs w:val="28"/>
        </w:rPr>
        <w:t>关于变更</w:t>
      </w:r>
      <w:r>
        <w:rPr>
          <w:rFonts w:hint="eastAsia" w:ascii="Arial" w:hAnsi="Arial" w:cs="Arial"/>
          <w:b/>
          <w:color w:val="000000"/>
          <w:kern w:val="36"/>
          <w:sz w:val="28"/>
          <w:szCs w:val="28"/>
          <w:lang w:eastAsia="zh-CN"/>
        </w:rPr>
        <w:t>粤（</w:t>
      </w:r>
      <w:r>
        <w:rPr>
          <w:rFonts w:hint="eastAsia" w:ascii="Arial" w:hAnsi="Arial" w:cs="Arial"/>
          <w:b/>
          <w:color w:val="000000"/>
          <w:kern w:val="36"/>
          <w:sz w:val="28"/>
          <w:szCs w:val="28"/>
          <w:lang w:val="en-US" w:eastAsia="zh-CN"/>
        </w:rPr>
        <w:t>2019</w:t>
      </w:r>
      <w:r>
        <w:rPr>
          <w:rFonts w:hint="eastAsia" w:ascii="Arial" w:hAnsi="Arial" w:cs="Arial"/>
          <w:b/>
          <w:color w:val="000000"/>
          <w:kern w:val="36"/>
          <w:sz w:val="28"/>
          <w:szCs w:val="28"/>
          <w:lang w:eastAsia="zh-CN"/>
        </w:rPr>
        <w:t>）中山市不动产权第</w:t>
      </w:r>
      <w:r>
        <w:rPr>
          <w:rFonts w:hint="eastAsia" w:ascii="Arial" w:hAnsi="Arial" w:cs="Arial"/>
          <w:b/>
          <w:color w:val="000000"/>
          <w:kern w:val="36"/>
          <w:sz w:val="28"/>
          <w:szCs w:val="28"/>
          <w:lang w:val="en-US" w:eastAsia="zh-CN"/>
        </w:rPr>
        <w:t>0085335号</w:t>
      </w:r>
      <w:r>
        <w:rPr>
          <w:rFonts w:ascii="Arial" w:hAnsi="Arial" w:cs="Arial"/>
          <w:b/>
          <w:color w:val="000000"/>
          <w:kern w:val="36"/>
          <w:sz w:val="28"/>
          <w:szCs w:val="28"/>
        </w:rPr>
        <w:t>宗地规划条件的公示</w:t>
      </w:r>
      <w:bookmarkStart w:id="0" w:name="_GoBack"/>
      <w:bookmarkEnd w:id="0"/>
    </w:p>
    <w:p>
      <w:pPr>
        <w:widowControl/>
        <w:spacing w:before="100" w:beforeAutospacing="1" w:after="100" w:afterAutospacing="1"/>
        <w:ind w:left="-708" w:leftChars="-337" w:firstLine="315" w:firstLineChars="150"/>
        <w:jc w:val="center"/>
        <w:rPr>
          <w:rFonts w:hint="eastAsia" w:ascii="仿宋_GB2312" w:hAnsi="Arial" w:eastAsia="仿宋_GB2312" w:cs="Arial"/>
          <w:color w:val="000000"/>
          <w:kern w:val="36"/>
          <w:szCs w:val="21"/>
          <w:lang w:eastAsia="zh-CN"/>
        </w:rPr>
      </w:pPr>
      <w:r>
        <w:rPr>
          <w:rFonts w:hint="eastAsia" w:ascii="仿宋_GB2312" w:hAnsi="Arial" w:eastAsia="仿宋_GB2312" w:cs="Arial"/>
          <w:color w:val="000000"/>
          <w:kern w:val="36"/>
          <w:szCs w:val="21"/>
          <w:lang w:eastAsia="zh-CN"/>
        </w:rPr>
        <w:drawing>
          <wp:inline distT="0" distB="0" distL="114300" distR="114300">
            <wp:extent cx="5272405" cy="3740150"/>
            <wp:effectExtent l="0" t="0" r="4445" b="12700"/>
            <wp:docPr id="1" name="图片 1" descr="元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元一"/>
                    <pic:cNvPicPr>
                      <a:picLocks noChangeAspect="1"/>
                    </pic:cNvPicPr>
                  </pic:nvPicPr>
                  <pic:blipFill>
                    <a:blip r:embed="rId4"/>
                    <a:stretch>
                      <a:fillRect/>
                    </a:stretch>
                  </pic:blipFill>
                  <pic:spPr>
                    <a:xfrm>
                      <a:off x="0" y="0"/>
                      <a:ext cx="5272405" cy="3740150"/>
                    </a:xfrm>
                    <a:prstGeom prst="rect">
                      <a:avLst/>
                    </a:prstGeom>
                  </pic:spPr>
                </pic:pic>
              </a:graphicData>
            </a:graphic>
          </wp:inline>
        </w:drawing>
      </w:r>
    </w:p>
    <w:p>
      <w:pPr>
        <w:widowControl/>
        <w:spacing w:before="100" w:beforeAutospacing="1" w:after="100" w:afterAutospacing="1"/>
        <w:ind w:firstLine="525" w:firstLineChars="250"/>
        <w:jc w:val="left"/>
        <w:rPr>
          <w:rFonts w:hint="eastAsia" w:ascii="仿宋_GB2312" w:hAnsi="Arial" w:eastAsia="仿宋_GB2312" w:cs="Arial"/>
          <w:color w:val="000000"/>
          <w:kern w:val="0"/>
          <w:szCs w:val="21"/>
        </w:rPr>
      </w:pPr>
      <w:r>
        <w:rPr>
          <w:rFonts w:hint="eastAsia" w:ascii="仿宋_GB2312" w:hAnsi="Arial" w:eastAsia="仿宋_GB2312" w:cs="Arial"/>
          <w:color w:val="000000"/>
          <w:kern w:val="0"/>
          <w:szCs w:val="21"/>
          <w:lang w:eastAsia="zh-CN"/>
        </w:rPr>
        <w:t>中山市元一服饰有限公司用</w:t>
      </w:r>
      <w:r>
        <w:rPr>
          <w:rFonts w:hint="eastAsia" w:ascii="仿宋_GB2312" w:hAnsi="Arial" w:eastAsia="仿宋_GB2312" w:cs="Arial"/>
          <w:color w:val="000000"/>
          <w:kern w:val="0"/>
          <w:szCs w:val="21"/>
        </w:rPr>
        <w:t>地位于</w:t>
      </w:r>
      <w:r>
        <w:rPr>
          <w:rFonts w:hint="eastAsia" w:ascii="仿宋_GB2312" w:hAnsi="Arial" w:eastAsia="仿宋_GB2312" w:cs="Arial"/>
          <w:color w:val="000000"/>
          <w:kern w:val="0"/>
          <w:szCs w:val="21"/>
          <w:lang w:eastAsia="zh-CN"/>
        </w:rPr>
        <w:t>中山市沙溪</w:t>
      </w:r>
      <w:r>
        <w:rPr>
          <w:rFonts w:hint="eastAsia" w:ascii="仿宋_GB2312" w:hAnsi="Arial" w:eastAsia="仿宋_GB2312" w:cs="Arial"/>
          <w:color w:val="000000"/>
          <w:kern w:val="0"/>
          <w:szCs w:val="21"/>
        </w:rPr>
        <w:t>镇</w:t>
      </w:r>
      <w:r>
        <w:rPr>
          <w:rFonts w:hint="eastAsia" w:ascii="仿宋_GB2312" w:hAnsi="Arial" w:eastAsia="仿宋_GB2312" w:cs="Arial"/>
          <w:color w:val="000000"/>
          <w:kern w:val="0"/>
          <w:szCs w:val="21"/>
          <w:lang w:eastAsia="zh-CN"/>
        </w:rPr>
        <w:t>象角</w:t>
      </w:r>
      <w:r>
        <w:rPr>
          <w:rFonts w:hint="eastAsia" w:ascii="仿宋_GB2312" w:hAnsi="Arial" w:eastAsia="仿宋_GB2312" w:cs="Arial"/>
          <w:color w:val="000000"/>
          <w:kern w:val="0"/>
          <w:szCs w:val="21"/>
        </w:rPr>
        <w:t>村，用地面积</w:t>
      </w:r>
      <w:r>
        <w:rPr>
          <w:rFonts w:hint="eastAsia" w:ascii="仿宋_GB2312" w:hAnsi="Arial" w:eastAsia="仿宋_GB2312" w:cs="Arial"/>
          <w:color w:val="000000"/>
          <w:kern w:val="0"/>
          <w:szCs w:val="21"/>
          <w:lang w:val="en-US" w:eastAsia="zh-CN"/>
        </w:rPr>
        <w:t>15333.3</w:t>
      </w:r>
      <w:r>
        <w:rPr>
          <w:rFonts w:hint="eastAsia" w:ascii="仿宋_GB2312" w:hAnsi="Arial" w:eastAsia="仿宋_GB2312" w:cs="Arial"/>
          <w:color w:val="000000"/>
          <w:kern w:val="0"/>
          <w:szCs w:val="21"/>
        </w:rPr>
        <w:t>平方米。现该业主申请变更该宗地规划条件。</w:t>
      </w:r>
    </w:p>
    <w:p>
      <w:pPr>
        <w:widowControl/>
        <w:spacing w:before="100" w:beforeAutospacing="1" w:after="100" w:afterAutospacing="1"/>
        <w:jc w:val="left"/>
        <w:rPr>
          <w:rFonts w:hint="eastAsia" w:ascii="仿宋_GB2312" w:hAnsi="Arial" w:eastAsia="仿宋_GB2312" w:cs="Arial"/>
          <w:color w:val="000000"/>
          <w:kern w:val="0"/>
          <w:szCs w:val="21"/>
        </w:rPr>
      </w:pPr>
      <w:r>
        <w:rPr>
          <w:rFonts w:hint="eastAsia" w:ascii="仿宋_GB2312" w:hAnsi="Arial" w:eastAsia="仿宋_GB2312" w:cs="Arial"/>
          <w:color w:val="000000"/>
          <w:kern w:val="0"/>
          <w:szCs w:val="21"/>
        </w:rPr>
        <w:t>　</w:t>
      </w:r>
      <w:r>
        <w:rPr>
          <w:rFonts w:hint="eastAsia" w:ascii="仿宋_GB2312" w:hAnsi="Arial" w:eastAsia="仿宋_GB2312" w:cs="Arial"/>
          <w:color w:val="000000"/>
          <w:kern w:val="0"/>
          <w:szCs w:val="21"/>
          <w:lang w:val="en-US" w:eastAsia="zh-CN"/>
        </w:rPr>
        <w:t xml:space="preserve">  </w:t>
      </w:r>
      <w:r>
        <w:rPr>
          <w:rFonts w:hint="eastAsia" w:ascii="仿宋_GB2312" w:hAnsi="Arial" w:eastAsia="仿宋_GB2312" w:cs="Arial"/>
          <w:color w:val="000000"/>
          <w:kern w:val="0"/>
          <w:szCs w:val="21"/>
        </w:rPr>
        <w:t>我局已受理其申请，根据公开、公平、公正原则，现对该宗地规划条件变更进行公示，公示如下：</w:t>
      </w:r>
    </w:p>
    <w:p>
      <w:pPr>
        <w:widowControl/>
        <w:spacing w:before="100" w:beforeAutospacing="1" w:after="100" w:afterAutospacing="1"/>
        <w:jc w:val="left"/>
        <w:rPr>
          <w:rFonts w:hint="eastAsia" w:ascii="仿宋_GB2312" w:hAnsi="Arial" w:eastAsia="仿宋_GB2312" w:cs="Arial"/>
          <w:color w:val="000000"/>
          <w:kern w:val="0"/>
          <w:szCs w:val="21"/>
        </w:rPr>
      </w:pPr>
      <w:r>
        <w:rPr>
          <w:rFonts w:hint="eastAsia" w:ascii="仿宋_GB2312" w:hAnsi="Arial" w:eastAsia="仿宋_GB2312" w:cs="Arial"/>
          <w:color w:val="000000"/>
          <w:kern w:val="0"/>
          <w:szCs w:val="21"/>
        </w:rPr>
        <w:t>一、原地块情况</w:t>
      </w:r>
    </w:p>
    <w:p>
      <w:pPr>
        <w:widowControl/>
        <w:spacing w:before="100" w:beforeAutospacing="1" w:after="100" w:afterAutospacing="1"/>
        <w:jc w:val="left"/>
        <w:rPr>
          <w:rFonts w:hint="eastAsia" w:ascii="仿宋_GB2312" w:hAnsi="Arial" w:eastAsia="仿宋_GB2312" w:cs="Arial"/>
          <w:color w:val="000000"/>
          <w:kern w:val="0"/>
          <w:szCs w:val="21"/>
          <w:u w:val="none"/>
        </w:rPr>
      </w:pPr>
      <w:r>
        <w:rPr>
          <w:rFonts w:hint="eastAsia" w:ascii="仿宋_GB2312" w:hAnsi="Arial" w:eastAsia="仿宋_GB2312" w:cs="Arial"/>
          <w:color w:val="000000"/>
          <w:kern w:val="0"/>
          <w:szCs w:val="21"/>
          <w:lang w:eastAsia="zh-CN"/>
        </w:rPr>
        <w:t>粤（</w:t>
      </w:r>
      <w:r>
        <w:rPr>
          <w:rFonts w:hint="eastAsia" w:ascii="仿宋_GB2312" w:hAnsi="Arial" w:eastAsia="仿宋_GB2312" w:cs="Arial"/>
          <w:color w:val="000000"/>
          <w:kern w:val="0"/>
          <w:szCs w:val="21"/>
          <w:lang w:val="en-US" w:eastAsia="zh-CN"/>
        </w:rPr>
        <w:t>2019</w:t>
      </w:r>
      <w:r>
        <w:rPr>
          <w:rFonts w:hint="eastAsia" w:ascii="仿宋_GB2312" w:hAnsi="Arial" w:eastAsia="仿宋_GB2312" w:cs="Arial"/>
          <w:color w:val="000000"/>
          <w:kern w:val="0"/>
          <w:szCs w:val="21"/>
          <w:lang w:eastAsia="zh-CN"/>
        </w:rPr>
        <w:t>）中山市不动产权第</w:t>
      </w:r>
      <w:r>
        <w:rPr>
          <w:rFonts w:hint="eastAsia" w:ascii="仿宋_GB2312" w:hAnsi="Arial" w:eastAsia="仿宋_GB2312" w:cs="Arial"/>
          <w:color w:val="000000"/>
          <w:kern w:val="0"/>
          <w:szCs w:val="21"/>
          <w:lang w:val="en-US" w:eastAsia="zh-CN"/>
        </w:rPr>
        <w:t>0085335号</w:t>
      </w:r>
      <w:r>
        <w:rPr>
          <w:rFonts w:hint="eastAsia" w:ascii="仿宋_GB2312" w:hAnsi="Arial" w:eastAsia="仿宋_GB2312" w:cs="Arial"/>
          <w:color w:val="000000"/>
          <w:kern w:val="0"/>
          <w:szCs w:val="21"/>
        </w:rPr>
        <w:t>，用地面积：</w:t>
      </w:r>
      <w:r>
        <w:rPr>
          <w:rFonts w:hint="eastAsia" w:ascii="仿宋_GB2312" w:hAnsi="Arial" w:eastAsia="仿宋_GB2312" w:cs="Arial"/>
          <w:color w:val="000000"/>
          <w:kern w:val="0"/>
          <w:szCs w:val="21"/>
          <w:lang w:val="en-US" w:eastAsia="zh-CN"/>
        </w:rPr>
        <w:t>15333.3</w:t>
      </w:r>
      <w:r>
        <w:rPr>
          <w:rFonts w:hint="eastAsia" w:ascii="仿宋_GB2312" w:hAnsi="Arial" w:eastAsia="仿宋_GB2312" w:cs="Arial"/>
          <w:color w:val="000000"/>
          <w:kern w:val="0"/>
          <w:szCs w:val="21"/>
        </w:rPr>
        <w:t>平方米，土地用途为工业，</w:t>
      </w:r>
      <w:r>
        <w:rPr>
          <w:rFonts w:hint="eastAsia" w:ascii="仿宋_GB2312" w:hAnsi="Arial" w:eastAsia="仿宋_GB2312" w:cs="Arial"/>
          <w:color w:val="000000"/>
          <w:kern w:val="0"/>
          <w:szCs w:val="21"/>
          <w:lang w:eastAsia="zh-CN"/>
        </w:rPr>
        <w:t>根据</w:t>
      </w:r>
      <w:r>
        <w:rPr>
          <w:rFonts w:hint="eastAsia" w:ascii="仿宋_GB2312" w:hAnsi="Arial" w:eastAsia="仿宋_GB2312" w:cs="Arial"/>
          <w:color w:val="000000"/>
          <w:kern w:val="0"/>
          <w:szCs w:val="21"/>
        </w:rPr>
        <w:t>该用地使用权出让合同</w:t>
      </w:r>
      <w:r>
        <w:rPr>
          <w:rFonts w:hint="eastAsia" w:ascii="仿宋_GB2312" w:hAnsi="Arial" w:eastAsia="仿宋_GB2312" w:cs="Arial"/>
          <w:color w:val="000000"/>
          <w:kern w:val="0"/>
          <w:szCs w:val="21"/>
          <w:lang w:eastAsia="zh-CN"/>
        </w:rPr>
        <w:t>，容积率不低于</w:t>
      </w:r>
      <w:r>
        <w:rPr>
          <w:rFonts w:hint="eastAsia" w:ascii="仿宋_GB2312" w:hAnsi="Arial" w:eastAsia="仿宋_GB2312" w:cs="Arial"/>
          <w:color w:val="000000"/>
          <w:kern w:val="0"/>
          <w:szCs w:val="21"/>
          <w:lang w:val="en-US" w:eastAsia="zh-CN"/>
        </w:rPr>
        <w:t>1.5，建筑密度不低于35%</w:t>
      </w:r>
      <w:r>
        <w:rPr>
          <w:rFonts w:hint="eastAsia" w:ascii="仿宋_GB2312" w:hAnsi="Arial" w:eastAsia="仿宋_GB2312" w:cs="Arial"/>
          <w:color w:val="000000"/>
          <w:kern w:val="0"/>
          <w:szCs w:val="21"/>
          <w:u w:val="none"/>
        </w:rPr>
        <w:t>。</w:t>
      </w:r>
    </w:p>
    <w:p>
      <w:pPr>
        <w:widowControl/>
        <w:spacing w:before="100" w:beforeAutospacing="1" w:after="100" w:afterAutospacing="1"/>
        <w:jc w:val="left"/>
        <w:rPr>
          <w:rFonts w:hint="eastAsia" w:ascii="仿宋_GB2312" w:hAnsi="Arial" w:eastAsia="仿宋_GB2312" w:cs="Arial"/>
          <w:color w:val="000000"/>
          <w:kern w:val="0"/>
          <w:szCs w:val="21"/>
          <w:lang w:val="en-US" w:eastAsia="zh-CN"/>
        </w:rPr>
      </w:pPr>
      <w:r>
        <w:rPr>
          <w:rFonts w:hint="eastAsia" w:ascii="仿宋_GB2312" w:hAnsi="Arial" w:eastAsia="仿宋_GB2312" w:cs="Arial"/>
          <w:color w:val="000000"/>
          <w:kern w:val="0"/>
          <w:szCs w:val="21"/>
        </w:rPr>
        <w:t>土地来源：</w:t>
      </w:r>
      <w:r>
        <w:rPr>
          <w:rFonts w:hint="eastAsia" w:ascii="仿宋_GB2312" w:hAnsi="Arial" w:eastAsia="仿宋_GB2312" w:cs="Arial"/>
          <w:color w:val="000000"/>
          <w:kern w:val="0"/>
          <w:szCs w:val="21"/>
          <w:lang w:eastAsia="zh-CN"/>
        </w:rPr>
        <w:t>公开</w:t>
      </w:r>
      <w:r>
        <w:rPr>
          <w:rFonts w:hint="eastAsia" w:ascii="仿宋_GB2312" w:hAnsi="Arial" w:eastAsia="仿宋_GB2312" w:cs="Arial"/>
          <w:color w:val="000000"/>
          <w:kern w:val="0"/>
          <w:szCs w:val="21"/>
        </w:rPr>
        <w:t>出让。</w:t>
      </w:r>
    </w:p>
    <w:p>
      <w:pPr>
        <w:widowControl/>
        <w:numPr>
          <w:ilvl w:val="0"/>
          <w:numId w:val="1"/>
        </w:numPr>
        <w:spacing w:before="100" w:beforeAutospacing="1" w:after="100" w:afterAutospacing="1"/>
        <w:jc w:val="left"/>
        <w:rPr>
          <w:rFonts w:hint="eastAsia" w:ascii="仿宋_GB2312" w:hAnsi="Arial" w:eastAsia="仿宋_GB2312" w:cs="Arial"/>
          <w:color w:val="000000"/>
          <w:kern w:val="0"/>
          <w:szCs w:val="21"/>
          <w:lang w:eastAsia="zh-CN"/>
        </w:rPr>
      </w:pPr>
      <w:r>
        <w:rPr>
          <w:rFonts w:hint="eastAsia" w:ascii="仿宋_GB2312" w:hAnsi="Arial" w:eastAsia="仿宋_GB2312" w:cs="Arial"/>
          <w:color w:val="000000"/>
          <w:kern w:val="0"/>
          <w:szCs w:val="21"/>
          <w:lang w:eastAsia="zh-CN"/>
        </w:rPr>
        <w:t>地块所在控规情况</w:t>
      </w:r>
    </w:p>
    <w:p>
      <w:pPr>
        <w:widowControl/>
        <w:numPr>
          <w:ilvl w:val="0"/>
          <w:numId w:val="0"/>
        </w:numPr>
        <w:spacing w:before="100" w:beforeAutospacing="1" w:after="100" w:afterAutospacing="1"/>
        <w:jc w:val="left"/>
        <w:rPr>
          <w:rFonts w:hint="eastAsia" w:ascii="仿宋_GB2312" w:hAnsi="Arial" w:eastAsia="仿宋_GB2312" w:cs="Arial"/>
          <w:color w:val="000000"/>
          <w:kern w:val="0"/>
          <w:szCs w:val="21"/>
          <w:lang w:val="en-US" w:eastAsia="zh-CN"/>
        </w:rPr>
      </w:pPr>
      <w:r>
        <w:rPr>
          <w:rFonts w:hint="eastAsia" w:ascii="仿宋_GB2312" w:hAnsi="Arial" w:eastAsia="仿宋_GB2312" w:cs="Arial"/>
          <w:color w:val="000000"/>
          <w:kern w:val="0"/>
          <w:szCs w:val="21"/>
          <w:lang w:val="en-US" w:eastAsia="zh-CN"/>
        </w:rPr>
        <w:t>所在控规：沙溪镇康乐工业区控制性详细规划（调整），地块编码：B-16，</w:t>
      </w:r>
    </w:p>
    <w:p>
      <w:pPr>
        <w:widowControl/>
        <w:numPr>
          <w:ilvl w:val="0"/>
          <w:numId w:val="0"/>
        </w:numPr>
        <w:spacing w:before="100" w:beforeAutospacing="1" w:after="100" w:afterAutospacing="1"/>
        <w:jc w:val="left"/>
        <w:rPr>
          <w:rFonts w:hint="eastAsia" w:ascii="仿宋_GB2312" w:hAnsi="Arial" w:eastAsia="仿宋_GB2312" w:cs="Arial"/>
          <w:color w:val="000000"/>
          <w:kern w:val="0"/>
          <w:szCs w:val="21"/>
          <w:lang w:val="en-US" w:eastAsia="zh-CN"/>
        </w:rPr>
      </w:pPr>
      <w:r>
        <w:rPr>
          <w:rFonts w:hint="eastAsia" w:ascii="仿宋_GB2312" w:hAnsi="Arial" w:eastAsia="仿宋_GB2312" w:cs="Arial"/>
          <w:color w:val="000000"/>
          <w:kern w:val="0"/>
          <w:szCs w:val="21"/>
          <w:lang w:val="en-US" w:eastAsia="zh-CN"/>
        </w:rPr>
        <w:t>用地性质：一类工业用地，容积率：0.8-2.5，绿地率：15%-20%，</w:t>
      </w:r>
    </w:p>
    <w:p>
      <w:pPr>
        <w:widowControl/>
        <w:numPr>
          <w:ilvl w:val="0"/>
          <w:numId w:val="0"/>
        </w:numPr>
        <w:spacing w:before="100" w:beforeAutospacing="1" w:after="100" w:afterAutospacing="1"/>
        <w:jc w:val="left"/>
        <w:rPr>
          <w:rFonts w:hint="eastAsia" w:ascii="仿宋_GB2312" w:hAnsi="Arial" w:eastAsia="仿宋_GB2312" w:cs="Arial"/>
          <w:color w:val="000000"/>
          <w:kern w:val="0"/>
          <w:szCs w:val="21"/>
          <w:lang w:val="en-US" w:eastAsia="zh-CN"/>
        </w:rPr>
      </w:pPr>
      <w:r>
        <w:rPr>
          <w:rFonts w:hint="eastAsia" w:ascii="仿宋_GB2312" w:hAnsi="Arial" w:eastAsia="仿宋_GB2312" w:cs="Arial"/>
          <w:color w:val="000000"/>
          <w:kern w:val="0"/>
          <w:szCs w:val="21"/>
          <w:lang w:val="en-US" w:eastAsia="zh-CN"/>
        </w:rPr>
        <w:t>建筑密度：35%-40%，建筑限高：24米</w:t>
      </w:r>
    </w:p>
    <w:p>
      <w:pPr>
        <w:widowControl/>
        <w:numPr>
          <w:ilvl w:val="0"/>
          <w:numId w:val="1"/>
        </w:numPr>
        <w:spacing w:before="100" w:beforeAutospacing="1" w:after="100" w:afterAutospacing="1"/>
        <w:jc w:val="left"/>
        <w:rPr>
          <w:rFonts w:hint="eastAsia" w:ascii="仿宋_GB2312" w:hAnsi="Arial" w:eastAsia="仿宋_GB2312" w:cs="Arial"/>
          <w:color w:val="000000"/>
          <w:kern w:val="0"/>
          <w:szCs w:val="21"/>
          <w:lang w:val="en-US" w:eastAsia="zh-CN"/>
        </w:rPr>
      </w:pPr>
      <w:r>
        <w:rPr>
          <w:rFonts w:hint="eastAsia" w:ascii="仿宋_GB2312" w:hAnsi="Arial" w:eastAsia="仿宋_GB2312" w:cs="Arial"/>
          <w:color w:val="000000"/>
          <w:kern w:val="0"/>
          <w:szCs w:val="21"/>
          <w:lang w:val="en-US" w:eastAsia="zh-CN"/>
        </w:rPr>
        <w:t>相关政策</w:t>
      </w:r>
    </w:p>
    <w:p>
      <w:pPr>
        <w:widowControl/>
        <w:numPr>
          <w:ilvl w:val="0"/>
          <w:numId w:val="0"/>
        </w:numPr>
        <w:spacing w:before="100" w:beforeAutospacing="1" w:after="100" w:afterAutospacing="1"/>
        <w:jc w:val="left"/>
        <w:rPr>
          <w:rFonts w:hint="eastAsia" w:ascii="仿宋_GB2312" w:hAnsi="Arial" w:eastAsia="仿宋_GB2312" w:cs="Arial"/>
          <w:color w:val="000000"/>
          <w:kern w:val="0"/>
          <w:szCs w:val="21"/>
          <w:lang w:val="en-US" w:eastAsia="zh-CN"/>
        </w:rPr>
      </w:pPr>
      <w:r>
        <w:rPr>
          <w:rFonts w:hint="eastAsia" w:ascii="仿宋_GB2312" w:hAnsi="Arial" w:eastAsia="仿宋_GB2312" w:cs="Arial"/>
          <w:color w:val="000000"/>
          <w:kern w:val="0"/>
          <w:szCs w:val="21"/>
          <w:lang w:val="en-US" w:eastAsia="zh-CN"/>
        </w:rPr>
        <w:t>根据《关于印发支持优质规上工业企业发展落实放管服的若干规划政策措施的通知》（中山自然资函[2019]2431号）第三条，该用地已取得土地权属证明，土地权属证明载明的用地性质与控制性详细规划一致，办理规划条件变更按第（一）款内容出具。</w:t>
      </w:r>
    </w:p>
    <w:p>
      <w:pPr>
        <w:widowControl/>
        <w:spacing w:before="100" w:beforeAutospacing="1" w:after="100" w:afterAutospacing="1"/>
        <w:jc w:val="left"/>
        <w:rPr>
          <w:rFonts w:hint="eastAsia" w:ascii="仿宋_GB2312" w:hAnsi="Arial" w:eastAsia="仿宋_GB2312" w:cs="Arial"/>
          <w:color w:val="000000"/>
          <w:kern w:val="0"/>
          <w:szCs w:val="21"/>
        </w:rPr>
      </w:pPr>
      <w:r>
        <w:rPr>
          <w:rFonts w:hint="eastAsia" w:ascii="仿宋_GB2312" w:hAnsi="Arial" w:eastAsia="仿宋_GB2312" w:cs="Arial"/>
          <w:color w:val="000000"/>
          <w:kern w:val="0"/>
          <w:szCs w:val="21"/>
          <w:lang w:eastAsia="zh-CN"/>
        </w:rPr>
        <w:t>四</w:t>
      </w:r>
      <w:r>
        <w:rPr>
          <w:rFonts w:hint="eastAsia" w:ascii="仿宋_GB2312" w:hAnsi="Arial" w:eastAsia="仿宋_GB2312" w:cs="Arial"/>
          <w:color w:val="000000"/>
          <w:kern w:val="0"/>
          <w:szCs w:val="21"/>
        </w:rPr>
        <w:t>、变更后</w:t>
      </w:r>
    </w:p>
    <w:p>
      <w:pPr>
        <w:widowControl/>
        <w:spacing w:before="100" w:beforeAutospacing="1" w:after="100" w:afterAutospacing="1"/>
        <w:jc w:val="left"/>
        <w:rPr>
          <w:rFonts w:hint="eastAsia" w:ascii="仿宋_GB2312" w:hAnsi="Arial" w:eastAsia="仿宋_GB2312" w:cs="Arial"/>
          <w:color w:val="000000"/>
          <w:kern w:val="0"/>
          <w:szCs w:val="21"/>
        </w:rPr>
      </w:pPr>
      <w:r>
        <w:rPr>
          <w:rFonts w:hint="eastAsia" w:ascii="仿宋_GB2312" w:hAnsi="Arial" w:eastAsia="仿宋_GB2312" w:cs="Arial"/>
          <w:color w:val="000000"/>
          <w:kern w:val="0"/>
          <w:szCs w:val="21"/>
        </w:rPr>
        <w:t>容积率：</w:t>
      </w:r>
      <w:r>
        <w:rPr>
          <w:rFonts w:hint="eastAsia" w:ascii="仿宋_GB2312" w:hAnsi="Arial" w:eastAsia="仿宋_GB2312" w:cs="Arial"/>
          <w:color w:val="000000"/>
          <w:kern w:val="0"/>
          <w:szCs w:val="21"/>
          <w:lang w:val="en-US" w:eastAsia="zh-CN"/>
        </w:rPr>
        <w:t>1.0-3</w:t>
      </w:r>
      <w:r>
        <w:rPr>
          <w:rFonts w:hint="eastAsia" w:ascii="仿宋_GB2312" w:hAnsi="Arial" w:eastAsia="仿宋_GB2312" w:cs="Arial"/>
          <w:color w:val="000000"/>
          <w:kern w:val="0"/>
          <w:szCs w:val="21"/>
        </w:rPr>
        <w:t>.5，建筑密度</w:t>
      </w:r>
      <w:r>
        <w:rPr>
          <w:rFonts w:hint="eastAsia" w:ascii="仿宋_GB2312" w:hAnsi="Arial" w:eastAsia="仿宋_GB2312" w:cs="Arial"/>
          <w:color w:val="000000"/>
          <w:kern w:val="0"/>
          <w:szCs w:val="21"/>
          <w:lang w:eastAsia="zh-CN"/>
        </w:rPr>
        <w:t>：</w:t>
      </w:r>
      <w:r>
        <w:rPr>
          <w:rFonts w:hint="eastAsia" w:ascii="仿宋_GB2312" w:hAnsi="Arial" w:eastAsia="仿宋_GB2312" w:cs="Arial"/>
          <w:color w:val="000000"/>
          <w:kern w:val="0"/>
          <w:szCs w:val="21"/>
        </w:rPr>
        <w:t xml:space="preserve">35% </w:t>
      </w:r>
      <w:r>
        <w:rPr>
          <w:rFonts w:hint="eastAsia" w:ascii="仿宋_GB2312" w:hAnsi="Arial" w:eastAsia="仿宋_GB2312" w:cs="Arial"/>
          <w:color w:val="000000"/>
          <w:kern w:val="0"/>
          <w:szCs w:val="21"/>
          <w:lang w:val="en-US" w:eastAsia="zh-CN"/>
        </w:rPr>
        <w:t>-60%</w:t>
      </w:r>
      <w:r>
        <w:rPr>
          <w:rFonts w:hint="eastAsia" w:ascii="仿宋_GB2312" w:hAnsi="Arial" w:eastAsia="仿宋_GB2312" w:cs="Arial"/>
          <w:color w:val="000000"/>
          <w:kern w:val="0"/>
          <w:szCs w:val="21"/>
        </w:rPr>
        <w:t>，绿地率</w:t>
      </w:r>
      <w:r>
        <w:rPr>
          <w:rFonts w:hint="eastAsia" w:ascii="仿宋_GB2312" w:hAnsi="Arial" w:eastAsia="仿宋_GB2312" w:cs="Arial"/>
          <w:color w:val="000000"/>
          <w:kern w:val="0"/>
          <w:szCs w:val="21"/>
          <w:lang w:eastAsia="zh-CN"/>
        </w:rPr>
        <w:t>：</w:t>
      </w:r>
      <w:r>
        <w:rPr>
          <w:rFonts w:hint="eastAsia" w:ascii="仿宋_GB2312" w:hAnsi="Arial" w:eastAsia="仿宋_GB2312" w:cs="Arial"/>
          <w:color w:val="000000"/>
          <w:kern w:val="0"/>
          <w:szCs w:val="21"/>
        </w:rPr>
        <w:t>1</w:t>
      </w:r>
      <w:r>
        <w:rPr>
          <w:rFonts w:hint="eastAsia" w:ascii="仿宋_GB2312" w:hAnsi="Arial" w:eastAsia="仿宋_GB2312" w:cs="Arial"/>
          <w:color w:val="000000"/>
          <w:kern w:val="0"/>
          <w:szCs w:val="21"/>
          <w:lang w:val="en-US" w:eastAsia="zh-CN"/>
        </w:rPr>
        <w:t>0%-15</w:t>
      </w:r>
      <w:r>
        <w:rPr>
          <w:rFonts w:hint="eastAsia" w:ascii="仿宋_GB2312" w:hAnsi="Arial" w:eastAsia="仿宋_GB2312" w:cs="Arial"/>
          <w:color w:val="000000"/>
          <w:kern w:val="0"/>
          <w:szCs w:val="21"/>
        </w:rPr>
        <w:t>%   建筑限高</w:t>
      </w:r>
      <w:r>
        <w:rPr>
          <w:rFonts w:hint="eastAsia" w:ascii="仿宋_GB2312" w:hAnsi="Arial" w:eastAsia="仿宋_GB2312" w:cs="Arial"/>
          <w:color w:val="000000"/>
          <w:kern w:val="0"/>
          <w:szCs w:val="21"/>
          <w:lang w:eastAsia="zh-CN"/>
        </w:rPr>
        <w:t>：工业厂房</w:t>
      </w:r>
      <w:r>
        <w:rPr>
          <w:rFonts w:hint="eastAsia" w:ascii="仿宋_GB2312" w:hAnsi="Arial" w:eastAsia="仿宋_GB2312" w:cs="Arial"/>
          <w:color w:val="000000"/>
          <w:kern w:val="0"/>
          <w:szCs w:val="21"/>
          <w:lang w:val="en-US" w:eastAsia="zh-CN"/>
        </w:rPr>
        <w:t>50</w:t>
      </w:r>
      <w:r>
        <w:rPr>
          <w:rFonts w:hint="eastAsia" w:ascii="仿宋_GB2312" w:hAnsi="Arial" w:eastAsia="仿宋_GB2312" w:cs="Arial"/>
          <w:color w:val="000000"/>
          <w:kern w:val="0"/>
          <w:szCs w:val="21"/>
        </w:rPr>
        <w:t>米</w:t>
      </w:r>
      <w:r>
        <w:rPr>
          <w:rFonts w:hint="eastAsia" w:ascii="仿宋_GB2312" w:hAnsi="Arial" w:eastAsia="仿宋_GB2312" w:cs="Arial"/>
          <w:color w:val="000000"/>
          <w:kern w:val="0"/>
          <w:szCs w:val="21"/>
          <w:lang w:eastAsia="zh-CN"/>
        </w:rPr>
        <w:t>，配套生产性服务设施≤</w:t>
      </w:r>
      <w:r>
        <w:rPr>
          <w:rFonts w:hint="eastAsia" w:ascii="仿宋_GB2312" w:hAnsi="Arial" w:eastAsia="仿宋_GB2312" w:cs="Arial"/>
          <w:color w:val="000000"/>
          <w:kern w:val="0"/>
          <w:szCs w:val="21"/>
          <w:lang w:val="en-US" w:eastAsia="zh-CN"/>
        </w:rPr>
        <w:t>100米，但须满足微博通道和航道管制等要求</w:t>
      </w:r>
      <w:r>
        <w:rPr>
          <w:rFonts w:hint="eastAsia" w:ascii="仿宋_GB2312" w:hAnsi="Arial" w:eastAsia="仿宋_GB2312" w:cs="Arial"/>
          <w:color w:val="000000"/>
          <w:kern w:val="0"/>
          <w:szCs w:val="21"/>
        </w:rPr>
        <w:t>；</w:t>
      </w:r>
    </w:p>
    <w:p>
      <w:pPr>
        <w:widowControl/>
        <w:spacing w:before="100" w:beforeAutospacing="1" w:after="100" w:afterAutospacing="1"/>
        <w:jc w:val="left"/>
        <w:rPr>
          <w:rFonts w:hint="eastAsia" w:ascii="仿宋_GB2312" w:hAnsi="Arial" w:eastAsia="仿宋_GB2312" w:cs="Arial"/>
          <w:color w:val="000000"/>
          <w:kern w:val="0"/>
          <w:szCs w:val="21"/>
        </w:rPr>
      </w:pPr>
      <w:r>
        <w:rPr>
          <w:rFonts w:hint="eastAsia" w:ascii="仿宋_GB2312" w:hAnsi="Arial" w:eastAsia="仿宋_GB2312" w:cs="Arial"/>
          <w:color w:val="000000"/>
          <w:kern w:val="0"/>
          <w:szCs w:val="21"/>
        </w:rPr>
        <w:t>根据《中华人民共和国城乡规划法》相关规定，现就该事项予以公示，自公告之日起十日内如对上述调整事项有意见或建议，请使用真实姓名及联系方式，以书面形式反馈到以下地址：中山市</w:t>
      </w:r>
      <w:r>
        <w:rPr>
          <w:rFonts w:hint="eastAsia" w:ascii="仿宋_GB2312" w:hAnsi="Arial" w:eastAsia="仿宋_GB2312" w:cs="Arial"/>
          <w:color w:val="000000"/>
          <w:kern w:val="0"/>
          <w:szCs w:val="21"/>
          <w:lang w:eastAsia="zh-CN"/>
        </w:rPr>
        <w:t>兴中道二号之</w:t>
      </w:r>
      <w:r>
        <w:rPr>
          <w:rFonts w:hint="eastAsia" w:ascii="仿宋_GB2312" w:hAnsi="Arial" w:eastAsia="仿宋_GB2312" w:cs="Arial"/>
          <w:color w:val="000000"/>
          <w:kern w:val="0"/>
          <w:szCs w:val="21"/>
          <w:lang w:val="en-US" w:eastAsia="zh-CN"/>
        </w:rPr>
        <w:t>1投资大厦中山市自然资源局第一分局</w:t>
      </w:r>
      <w:r>
        <w:rPr>
          <w:rFonts w:hint="eastAsia" w:ascii="仿宋_GB2312" w:hAnsi="Arial" w:eastAsia="仿宋_GB2312" w:cs="Arial"/>
          <w:color w:val="000000"/>
          <w:kern w:val="0"/>
          <w:szCs w:val="21"/>
        </w:rPr>
        <w:t>，逾期视为无异议。</w:t>
      </w:r>
    </w:p>
    <w:p>
      <w:pPr>
        <w:widowControl/>
        <w:spacing w:before="100" w:beforeAutospacing="1" w:after="100" w:afterAutospacing="1"/>
        <w:jc w:val="left"/>
        <w:rPr>
          <w:rFonts w:hint="eastAsia" w:ascii="仿宋_GB2312" w:hAnsi="Arial" w:eastAsia="仿宋_GB2312" w:cs="Arial"/>
          <w:color w:val="000000"/>
          <w:kern w:val="0"/>
          <w:szCs w:val="21"/>
          <w:lang w:val="en-US" w:eastAsia="zh-CN"/>
        </w:rPr>
      </w:pPr>
      <w:r>
        <w:rPr>
          <w:rFonts w:hint="eastAsia" w:ascii="仿宋_GB2312" w:hAnsi="Arial" w:eastAsia="仿宋_GB2312" w:cs="Arial"/>
          <w:color w:val="000000"/>
          <w:kern w:val="0"/>
          <w:szCs w:val="21"/>
        </w:rPr>
        <w:t>联系人:</w:t>
      </w:r>
      <w:r>
        <w:rPr>
          <w:rFonts w:hint="eastAsia" w:ascii="仿宋_GB2312" w:hAnsi="Arial" w:eastAsia="仿宋_GB2312" w:cs="Arial"/>
          <w:color w:val="000000"/>
          <w:kern w:val="0"/>
          <w:szCs w:val="21"/>
          <w:lang w:eastAsia="zh-CN"/>
        </w:rPr>
        <w:t>阮先生</w:t>
      </w:r>
      <w:r>
        <w:rPr>
          <w:rFonts w:hint="eastAsia" w:ascii="仿宋_GB2312" w:hAnsi="Arial" w:eastAsia="仿宋_GB2312" w:cs="Arial"/>
          <w:color w:val="000000"/>
          <w:kern w:val="0"/>
          <w:szCs w:val="21"/>
        </w:rPr>
        <w:t xml:space="preserve">      联系电话：</w:t>
      </w:r>
      <w:r>
        <w:rPr>
          <w:rFonts w:hint="eastAsia" w:ascii="仿宋_GB2312" w:hAnsi="Arial" w:eastAsia="仿宋_GB2312" w:cs="Arial"/>
          <w:color w:val="000000"/>
          <w:kern w:val="0"/>
          <w:szCs w:val="21"/>
          <w:lang w:val="en-US" w:eastAsia="zh-CN"/>
        </w:rPr>
        <w:t>88922559</w:t>
      </w:r>
    </w:p>
    <w:p>
      <w:pPr>
        <w:widowControl/>
        <w:spacing w:before="100" w:beforeAutospacing="1" w:after="100" w:afterAutospacing="1"/>
        <w:jc w:val="left"/>
        <w:rPr>
          <w:rFonts w:hint="eastAsia" w:ascii="仿宋_GB2312" w:hAnsi="Arial" w:eastAsia="仿宋_GB2312" w:cs="Arial"/>
          <w:color w:val="000000"/>
          <w:kern w:val="0"/>
          <w:szCs w:val="21"/>
        </w:rPr>
      </w:pPr>
    </w:p>
    <w:p>
      <w:pPr>
        <w:widowControl/>
        <w:spacing w:before="100" w:beforeAutospacing="1" w:after="100" w:afterAutospacing="1"/>
        <w:jc w:val="left"/>
        <w:rPr>
          <w:rFonts w:hint="eastAsia" w:ascii="仿宋_GB2312" w:hAnsi="Arial" w:eastAsia="仿宋_GB2312" w:cs="Arial"/>
          <w:color w:val="000000"/>
          <w:kern w:val="0"/>
          <w:szCs w:val="21"/>
        </w:rPr>
      </w:pPr>
    </w:p>
    <w:p>
      <w:pPr>
        <w:widowControl/>
        <w:spacing w:before="100" w:beforeAutospacing="1" w:after="100" w:afterAutospacing="1"/>
        <w:jc w:val="left"/>
        <w:rPr>
          <w:rFonts w:hint="eastAsia" w:ascii="仿宋_GB2312" w:hAnsi="Arial" w:eastAsia="仿宋_GB2312" w:cs="Arial"/>
          <w:color w:val="000000"/>
          <w:kern w:val="0"/>
          <w:szCs w:val="21"/>
        </w:rPr>
      </w:pPr>
    </w:p>
    <w:p>
      <w:pPr>
        <w:widowControl/>
        <w:spacing w:before="100" w:beforeAutospacing="1" w:after="100" w:afterAutospacing="1"/>
        <w:jc w:val="right"/>
        <w:rPr>
          <w:rFonts w:hint="eastAsia" w:ascii="仿宋_GB2312" w:hAnsi="Arial" w:eastAsia="仿宋_GB2312" w:cs="Arial"/>
          <w:color w:val="000000"/>
          <w:kern w:val="0"/>
          <w:szCs w:val="21"/>
          <w:lang w:eastAsia="zh-CN"/>
        </w:rPr>
      </w:pPr>
      <w:r>
        <w:rPr>
          <w:rFonts w:hint="eastAsia" w:ascii="仿宋_GB2312" w:hAnsi="Arial" w:eastAsia="仿宋_GB2312" w:cs="Arial"/>
          <w:color w:val="000000"/>
          <w:kern w:val="0"/>
          <w:szCs w:val="21"/>
        </w:rPr>
        <w:t>中山市</w:t>
      </w:r>
      <w:r>
        <w:rPr>
          <w:rFonts w:hint="eastAsia" w:ascii="仿宋_GB2312" w:hAnsi="Arial" w:eastAsia="仿宋_GB2312" w:cs="Arial"/>
          <w:color w:val="000000"/>
          <w:kern w:val="0"/>
          <w:szCs w:val="21"/>
          <w:lang w:eastAsia="zh-CN"/>
        </w:rPr>
        <w:t>自然资源</w:t>
      </w:r>
      <w:r>
        <w:rPr>
          <w:rFonts w:hint="eastAsia" w:ascii="仿宋_GB2312" w:hAnsi="Arial" w:eastAsia="仿宋_GB2312" w:cs="Arial"/>
          <w:color w:val="000000"/>
          <w:kern w:val="0"/>
          <w:szCs w:val="21"/>
        </w:rPr>
        <w:t>局</w:t>
      </w:r>
      <w:r>
        <w:rPr>
          <w:rFonts w:hint="eastAsia" w:ascii="仿宋_GB2312" w:hAnsi="Arial" w:eastAsia="仿宋_GB2312" w:cs="Arial"/>
          <w:color w:val="000000"/>
          <w:kern w:val="0"/>
          <w:szCs w:val="21"/>
          <w:lang w:eastAsia="zh-CN"/>
        </w:rPr>
        <w:t>第一分局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EF20E"/>
    <w:multiLevelType w:val="singleLevel"/>
    <w:tmpl w:val="5E0EF20E"/>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37A31"/>
    <w:rsid w:val="043826E1"/>
    <w:rsid w:val="08A4575B"/>
    <w:rsid w:val="0E7B3F99"/>
    <w:rsid w:val="15FF7F5C"/>
    <w:rsid w:val="32F7771D"/>
    <w:rsid w:val="35276916"/>
    <w:rsid w:val="3A6B2358"/>
    <w:rsid w:val="42564250"/>
    <w:rsid w:val="481270C9"/>
    <w:rsid w:val="481E654B"/>
    <w:rsid w:val="54B37A31"/>
    <w:rsid w:val="581C61D8"/>
    <w:rsid w:val="5AAA2CB9"/>
    <w:rsid w:val="5AAF2CAF"/>
    <w:rsid w:val="5B057F80"/>
    <w:rsid w:val="633C08BB"/>
    <w:rsid w:val="677457E9"/>
    <w:rsid w:val="6860110F"/>
    <w:rsid w:val="7E5B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中山市城乡规划局</Company>
  <Pages>1</Pages>
  <Words>0</Words>
  <Characters>0</Characters>
  <Lines>0</Lines>
  <Paragraphs>0</Paragraphs>
  <TotalTime>161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2019-07-25T03:15:00Z</dcterms:created>
  <dc:creator>阮煜航(UE000211)</dc:creator>
  <cp:lastModifiedBy>阮煜航</cp:lastModifiedBy>
  <dcterms:modified xsi:type="dcterms:W3CDTF">2020-01-21T07:11:28Z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