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中山市粮食流通产业发展专项资金管理实施细则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为加强我局产业扶持专项资金的规范管理，切实提高专项资金使用的效益效率，保证资金使用和管理公开、公平、公正，依据 《广东省省级财政专项资金管理试行办法》（粤府〔2016〕86号）《中山市市级财政专项资金管理办法》（中府〔2014〕108号）等有关规定，结合工作实际，我局起草了《中山市发展和改革局产业扶持专项资金管理暂行办法》（下称《管理暂行办法》）。《管理暂行办法》明确了专项资金使用和管理原则、资金申报及审批工作流程、资金监督管理及项目验收、绩效评价、信息公开、责任追究等六大部分内容，还包括五个子项目实施细则，分别为《中山市现代服务业发展专项资金管理实施细则》、《中山市新能源汽车示范应用项目资助实施细则》、《中山市战略性新兴产业创新平台建设项目资助实施细则》、《中山市低碳发展专项资金管理实施细则》及《中山市粮食流通产业发展专项资金管理实施细则》。</w:t>
      </w:r>
    </w:p>
    <w:p>
      <w:pPr>
        <w:widowControl/>
        <w:shd w:val="clear" w:color="auto" w:fill="FFFFFF"/>
        <w:spacing w:line="560" w:lineRule="exact"/>
        <w:contextualSpacing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《中山市粮食流通产业发展专项资金管理实施细则</w:t>
      </w:r>
      <w:r>
        <w:rPr>
          <w:rFonts w:hint="eastAsia" w:ascii="仿宋_GB2312" w:eastAsia="仿宋_GB2312"/>
          <w:kern w:val="36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中明确了粮食流通产业发展专项资金的扶持范围、扶持标准、申报条件、申报材料、绩效目标等。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中山市粮食流通产业发展专项资金</w:t>
      </w:r>
      <w:r>
        <w:rPr>
          <w:rFonts w:hint="eastAsia" w:ascii="黑体" w:hAnsi="黑体" w:eastAsia="黑体" w:cs="黑体"/>
          <w:sz w:val="32"/>
          <w:szCs w:val="32"/>
        </w:rPr>
        <w:t>定义是什么？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细则所称的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粮食流通产业扶持专项资金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是指市财政每年安排给市发展改革局（粮食局）的专项用于扶持粮食流通产业发展的资金。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0" w:leftChars="0" w:firstLine="640" w:firstLineChars="200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专项资金扶持范围和标准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是什么？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专项资金扶持范围。主要支持粮食仓储设施、粮食加工生产线、粮食产后服务体系建设、绿色储粮技术、粮食流通市场发展、粮食重点扶持企业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</w:rPr>
        <w:t>对全市粮食流通具有重大影响、与粮食安全密切相关的重点项目。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专项资金扶持标准。资金采取定上限按比例补助或定额补助的扶持方式，同一企业的同一项目不重复补助。资金扶持标准如下：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（一）粮食仓储设施项目。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支持粮食流通企业投资新建（或扩建）超过300平方米建筑面积且具有完善的报建手续的粮食流通仓储设施项目，每个项目一次性按每平方米建筑面积100元给予资金补助，每个项目最高补助额为100万元。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（二）粮食加工生产线项目。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支持粮食流通企业投资新建（或重建）粮食加工生产线项目，每个项目一次性按加工生产设备投资额20%给予资金补助，每个项目最高补助额为50万元。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（三）粮食产后服务体系建设项目。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农民合作社、</w:t>
      </w:r>
      <w:r>
        <w:rPr>
          <w:rFonts w:hint="eastAsia" w:ascii="仿宋_GB2312" w:eastAsia="仿宋_GB2312"/>
          <w:color w:val="000000"/>
          <w:sz w:val="32"/>
          <w:szCs w:val="32"/>
        </w:rPr>
        <w:t>粮食加工企业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通过改造提升现有粮食流通设施建设粮食产后服务体系项目。建成具有为</w:t>
      </w:r>
      <w:r>
        <w:rPr>
          <w:rFonts w:ascii="仿宋_GB2312" w:hAnsi="华文中宋" w:eastAsia="仿宋_GB2312"/>
          <w:color w:val="000000"/>
          <w:sz w:val="32"/>
          <w:szCs w:val="32"/>
        </w:rPr>
        <w:t>种粮农民提供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“</w:t>
      </w:r>
      <w:r>
        <w:rPr>
          <w:rFonts w:ascii="仿宋_GB2312" w:hAnsi="华文中宋" w:eastAsia="仿宋_GB2312"/>
          <w:color w:val="000000"/>
          <w:sz w:val="32"/>
          <w:szCs w:val="32"/>
        </w:rPr>
        <w:t>代清理、代干燥、代储存、代加工、代销售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”</w:t>
      </w:r>
      <w:r>
        <w:rPr>
          <w:rFonts w:ascii="仿宋_GB2312" w:hAnsi="华文中宋" w:eastAsia="仿宋_GB2312"/>
          <w:color w:val="000000"/>
          <w:sz w:val="32"/>
          <w:szCs w:val="32"/>
        </w:rPr>
        <w:t>等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“五</w:t>
      </w:r>
      <w:r>
        <w:rPr>
          <w:rFonts w:ascii="仿宋_GB2312" w:hAnsi="华文中宋" w:eastAsia="仿宋_GB2312"/>
          <w:color w:val="000000"/>
          <w:sz w:val="32"/>
          <w:szCs w:val="32"/>
        </w:rPr>
        <w:t>代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”</w:t>
      </w:r>
      <w:r>
        <w:rPr>
          <w:rFonts w:ascii="仿宋_GB2312" w:hAnsi="华文中宋" w:eastAsia="仿宋_GB2312"/>
          <w:color w:val="000000"/>
          <w:sz w:val="32"/>
          <w:szCs w:val="32"/>
        </w:rPr>
        <w:t>服务基本功能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、年服务能力大于1万吨以上、申报为广东省粮食产后服务中心的项目，</w:t>
      </w:r>
      <w:r>
        <w:rPr>
          <w:rFonts w:hint="eastAsia" w:ascii="仿宋_GB2312" w:eastAsia="仿宋_GB2312"/>
          <w:color w:val="000000"/>
          <w:sz w:val="32"/>
          <w:szCs w:val="32"/>
        </w:rPr>
        <w:t>每个项目一次性按项目改建实际投资额20%给予资金补助，每个项目最高补助额为20万元。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（四）绿色储粮技术项目。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实施节粮减损配套设施建设项目，对在市内改造提升粮食储存仓容面积达300平方米以上，实施无公害治理虫霉、气调储粮、智能粮情监测、智能通风等绿色生态智能储粮技术的项目，每个项目一次性按设备投资额20%给予资金补助，每个项目最高补助额为20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（五）粮食流通市场发展项目</w:t>
      </w:r>
      <w:r>
        <w:rPr>
          <w:rFonts w:hint="eastAsia" w:ascii="仿宋_GB2312" w:eastAsia="仿宋_GB2312"/>
          <w:color w:val="000000"/>
          <w:sz w:val="32"/>
          <w:szCs w:val="32"/>
        </w:rPr>
        <w:t>。鼓励镇区依托现有粮食仓储物流资源、区域性粮食批发市场等设施条件，发展粮食流通综合物流园区项目。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对建成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集聚粮食批发、零售商家达到3家以上，粮食仓容面积达10</w:t>
      </w:r>
      <w:r>
        <w:rPr>
          <w:rFonts w:hint="eastAsia" w:ascii="仿宋_GB2312" w:eastAsia="仿宋_GB2312"/>
          <w:color w:val="000000"/>
          <w:sz w:val="32"/>
          <w:szCs w:val="32"/>
        </w:rPr>
        <w:t>00平方米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以上，</w:t>
      </w:r>
      <w:r>
        <w:rPr>
          <w:rFonts w:hint="eastAsia" w:ascii="仿宋_GB2312" w:eastAsia="仿宋_GB2312"/>
          <w:color w:val="000000"/>
          <w:sz w:val="32"/>
          <w:szCs w:val="32"/>
        </w:rPr>
        <w:t>实现市场规模化、产品优质化、服务多样化的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项目，</w:t>
      </w:r>
      <w:r>
        <w:rPr>
          <w:rFonts w:hint="eastAsia" w:ascii="仿宋_GB2312" w:eastAsia="仿宋_GB2312"/>
          <w:color w:val="000000"/>
          <w:sz w:val="32"/>
          <w:szCs w:val="32"/>
        </w:rPr>
        <w:t>每个项目一次性按每平方米建筑面积100元给予资金补助，每个项目最高补助额为20万元。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（六）粮食重点扶持企业项目。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建设申报粮食重点扶持企业项目，对于已建成粮食加工生产线，创立自有粮食销售品牌，销售收入超1000万元的粮食流通企业，每个企业给予5万元扶持；销售收入超2000万元的粮食流通企业，每个企业给予10万元扶持；销售收入超3000万元的粮食流通企业，每个企业给予15万元扶持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专项资金扶持条件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是什么？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（一）申报单位须为在工商行政管理部门注册登记，从事粮食购进并在中山市行政区域内进行加工、运输、销售及储备等经营活动的法人、企业或个体工商户；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（二）申报单位需建有完善粮食流通经营管理制度、粮食加工管理制度、粮食安全生产管理制度、粮食经营财务管理制度、粮食经营库存台账，并按时向粮食行政主管部门报送粮食流通报表；</w:t>
      </w:r>
    </w:p>
    <w:p>
      <w:pPr>
        <w:spacing w:line="560" w:lineRule="exact"/>
        <w:ind w:firstLine="960" w:firstLineChars="3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（三）社会经济效益良好、诚信经营、依法纳税。</w:t>
      </w:r>
    </w:p>
    <w:p>
      <w:pPr>
        <w:spacing w:line="560" w:lineRule="exact"/>
        <w:ind w:firstLine="960" w:firstLineChars="300"/>
        <w:contextualSpacing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申报材料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包括什么？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资金申报单位应提交以下相关材料，且须保证申报材料的真实性和有效性。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（一）《中山市粮食流通产业扶持专项资金申报表》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（二）工商营业执照（统一社会信用代码）、食品药品经营许可证、粮食收购许可证、SC生产许可证等有效证明材料（复印件加盖公章）；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（三）年度投资合同、发票、建设工程竣工验收备案登记证等有效证明材料（复印件加盖公章）；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（四）质量品牌建设等有效证明材料（复印件加盖公章）；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（五）年度粮食经营台账、粮食流通报表等有效证明材料（复印件加盖公章）；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（六）年度粮食质量检验报告、销售收入证明（以税务部门出具的证明为准）等有效证明材料（复印件加盖公章）；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（七）其他必要的相关证明材料。</w:t>
      </w:r>
    </w:p>
    <w:p>
      <w:pPr>
        <w:spacing w:line="560" w:lineRule="exact"/>
        <w:ind w:firstLine="640" w:firstLineChars="200"/>
        <w:contextualSpacing/>
        <w:rPr>
          <w:rFonts w:hint="eastAsia" w:ascii="黑体" w:hAnsi="黑体" w:eastAsia="黑体" w:cs="黑体"/>
          <w:spacing w:val="-6"/>
          <w:kern w:val="32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专项</w:t>
      </w:r>
      <w:r>
        <w:rPr>
          <w:rFonts w:hint="eastAsia" w:ascii="黑体" w:hAnsi="黑体" w:eastAsia="黑体" w:cs="黑体"/>
          <w:spacing w:val="-6"/>
          <w:kern w:val="32"/>
          <w:sz w:val="32"/>
          <w:szCs w:val="24"/>
        </w:rPr>
        <w:t>资金项目申报流程</w:t>
      </w:r>
      <w:r>
        <w:rPr>
          <w:rFonts w:hint="eastAsia" w:ascii="黑体" w:hAnsi="黑体" w:eastAsia="黑体" w:cs="黑体"/>
          <w:spacing w:val="-6"/>
          <w:kern w:val="32"/>
          <w:sz w:val="32"/>
          <w:szCs w:val="24"/>
          <w:lang w:val="en-US" w:eastAsia="zh-CN"/>
        </w:rPr>
        <w:t>等如何执行？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专项</w:t>
      </w:r>
      <w:r>
        <w:rPr>
          <w:rFonts w:hint="eastAsia" w:eastAsia="仿宋_GB2312"/>
          <w:spacing w:val="-6"/>
          <w:kern w:val="32"/>
          <w:sz w:val="32"/>
        </w:rPr>
        <w:t>资金项目申报流程、审核流程、资金监督管理、资金验收、绩效评价等按照</w:t>
      </w:r>
      <w:r>
        <w:rPr>
          <w:rFonts w:hint="eastAsia" w:ascii="仿宋_GB2312" w:eastAsia="仿宋_GB2312" w:cs="Arial"/>
          <w:kern w:val="0"/>
          <w:sz w:val="32"/>
          <w:szCs w:val="32"/>
        </w:rPr>
        <w:t>《</w:t>
      </w:r>
      <w:r>
        <w:rPr>
          <w:rFonts w:hint="eastAsia" w:ascii="仿宋_GB2312" w:eastAsia="仿宋_GB2312" w:cs="Arial"/>
          <w:bCs/>
          <w:kern w:val="0"/>
          <w:sz w:val="32"/>
          <w:szCs w:val="32"/>
        </w:rPr>
        <w:t>中山市发展和改革局产业扶持专项资金管理暂行办法</w:t>
      </w:r>
      <w:r>
        <w:rPr>
          <w:rFonts w:hint="eastAsia" w:ascii="仿宋_GB2312" w:eastAsia="仿宋_GB2312" w:cs="Arial"/>
          <w:kern w:val="0"/>
          <w:sz w:val="32"/>
          <w:szCs w:val="32"/>
        </w:rPr>
        <w:t>》执行</w:t>
      </w:r>
      <w:r>
        <w:rPr>
          <w:rFonts w:hint="eastAsia" w:ascii="仿宋_GB2312" w:eastAsia="仿宋_GB2312" w:cs="黑体"/>
          <w:sz w:val="32"/>
          <w:szCs w:val="32"/>
        </w:rPr>
        <w:t>。</w:t>
      </w:r>
    </w:p>
    <w:p>
      <w:pPr>
        <w:spacing w:line="560" w:lineRule="exact"/>
        <w:ind w:firstLine="616" w:firstLineChars="200"/>
        <w:contextualSpacing/>
        <w:rPr>
          <w:rFonts w:hint="eastAsia" w:ascii="黑体" w:hAnsi="黑体" w:eastAsia="黑体" w:cs="黑体"/>
          <w:spacing w:val="-6"/>
          <w:kern w:val="32"/>
          <w:sz w:val="32"/>
          <w:szCs w:val="24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320" w:firstLineChars="100"/>
        <w:contextualSpacing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contextualSpacing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9DB2"/>
    <w:multiLevelType w:val="singleLevel"/>
    <w:tmpl w:val="5B739DB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6F"/>
    <w:rsid w:val="000E43EB"/>
    <w:rsid w:val="003C4970"/>
    <w:rsid w:val="00A3146F"/>
    <w:rsid w:val="00AD4441"/>
    <w:rsid w:val="00D03A53"/>
    <w:rsid w:val="07563A77"/>
    <w:rsid w:val="3E4302F6"/>
    <w:rsid w:val="4AB53BB5"/>
    <w:rsid w:val="69A85B1F"/>
    <w:rsid w:val="72F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250</Words>
  <Characters>1426</Characters>
  <Lines>11</Lines>
  <Paragraphs>3</Paragraphs>
  <TotalTime>1</TotalTime>
  <ScaleCrop>false</ScaleCrop>
  <LinksUpToDate>false</LinksUpToDate>
  <CharactersWithSpaces>1673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2018-08-14T07:11:00Z</dcterms:created>
  <dc:creator>NTKO</dc:creator>
  <cp:lastModifiedBy>NTKO</cp:lastModifiedBy>
  <dcterms:modified xsi:type="dcterms:W3CDTF">2018-08-15T03:21:44Z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