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74" w:lineRule="exact"/>
        <w:jc w:val="center"/>
        <w:rPr>
          <w:rFonts w:hint="eastAsia" w:ascii="创艺简标宋" w:hAnsi="创艺简标宋" w:eastAsia="创艺简标宋" w:cs="创艺简标宋"/>
          <w:sz w:val="44"/>
          <w:szCs w:val="44"/>
        </w:rPr>
      </w:pPr>
      <w:bookmarkStart w:id="0" w:name="_GoBack"/>
      <w:bookmarkEnd w:id="0"/>
      <w:r>
        <w:rPr>
          <w:rFonts w:hint="eastAsia" w:ascii="创艺简标宋" w:hAnsi="创艺简标宋" w:eastAsia="创艺简标宋" w:cs="创艺简标宋"/>
          <w:sz w:val="44"/>
          <w:szCs w:val="44"/>
        </w:rPr>
        <w:t>《中山市流动人员积分入学管理规定》和</w:t>
      </w:r>
    </w:p>
    <w:p>
      <w:pPr>
        <w:spacing w:beforeLines="0" w:afterLines="0" w:line="574"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《中山市流动人员积分入学管理实施细则》解</w:t>
      </w:r>
      <w:r>
        <w:rPr>
          <w:rFonts w:hint="eastAsia" w:ascii="创艺简标宋" w:hAnsi="创艺简标宋" w:eastAsia="创艺简标宋" w:cs="创艺简标宋"/>
          <w:sz w:val="44"/>
          <w:szCs w:val="44"/>
          <w:lang w:val="en-US" w:eastAsia="zh-CN"/>
        </w:rPr>
        <w:t xml:space="preserve">  </w:t>
      </w:r>
      <w:r>
        <w:rPr>
          <w:rFonts w:hint="eastAsia" w:ascii="创艺简标宋" w:hAnsi="创艺简标宋" w:eastAsia="创艺简标宋" w:cs="创艺简标宋"/>
          <w:sz w:val="44"/>
          <w:szCs w:val="44"/>
        </w:rPr>
        <w:t>读</w:t>
      </w:r>
    </w:p>
    <w:p>
      <w:pPr>
        <w:spacing w:beforeLines="0" w:afterLines="0" w:line="574" w:lineRule="exact"/>
      </w:pP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由市教育和体育局牵头会同市公安局对原流动人员积分制管理及实施细则中积分入学相关条款进行修订并形成了《中山市流动人员积分入学管理规定》（以下简称《规定》）和《中山市流动人员积分入学管理实施细则》（以下简称《实施细则》）。根据《中山市行政机关规范性文件管理规定》（中府〔</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14</w:t>
      </w:r>
      <w:r>
        <w:rPr>
          <w:rFonts w:hint="eastAsia" w:ascii="仿宋_GB2312" w:eastAsia="仿宋_GB2312"/>
          <w:sz w:val="32"/>
          <w:szCs w:val="32"/>
        </w:rPr>
        <w:t>号）的相关规定，现就文件解读如下：</w:t>
      </w:r>
    </w:p>
    <w:p>
      <w:pPr>
        <w:keepNext/>
        <w:widowControl/>
        <w:spacing w:beforeLines="0" w:afterLines="0" w:line="574" w:lineRule="exact"/>
        <w:ind w:firstLine="640" w:firstLineChars="200"/>
        <w:rPr>
          <w:rFonts w:ascii="黑体" w:hAnsi="黑体" w:eastAsia="黑体"/>
          <w:sz w:val="32"/>
          <w:szCs w:val="32"/>
        </w:rPr>
      </w:pPr>
      <w:r>
        <w:rPr>
          <w:rFonts w:hint="eastAsia" w:ascii="黑体" w:hAnsi="黑体" w:eastAsia="黑体"/>
          <w:sz w:val="32"/>
          <w:szCs w:val="32"/>
        </w:rPr>
        <w:t>一、文件修订背景说明</w:t>
      </w:r>
    </w:p>
    <w:p>
      <w:pPr>
        <w:spacing w:beforeLines="0" w:afterLines="0" w:line="574" w:lineRule="exact"/>
        <w:ind w:firstLine="640" w:firstLineChars="200"/>
        <w:rPr>
          <w:rFonts w:ascii="楷体_GB2312" w:eastAsia="楷体_GB2312"/>
          <w:sz w:val="32"/>
          <w:szCs w:val="32"/>
        </w:rPr>
      </w:pPr>
      <w:r>
        <w:rPr>
          <w:rFonts w:hint="eastAsia" w:ascii="楷体_GB2312" w:eastAsia="楷体_GB2312"/>
          <w:sz w:val="32"/>
          <w:szCs w:val="32"/>
        </w:rPr>
        <w:t>（一）贯彻落实“四个走在前列”关于营造共建共治共享的社会治理格局的要求</w:t>
      </w: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习近平总书记强调，要形成有效的社会治理、良好的社会秩序，促进社会公平正义，让人民群众安居乐业，获得感、幸福感、安全感更加充实、更有保障、更可持续。在积分入学管理相关文件修订中，通过放宽积分门槛、优化指标体系、简化办事流程等方式，更加关注为中山作贡献的进城务工人员群体，千方百计让进城务工人员能够在中山稳定地工作生活。</w:t>
      </w:r>
    </w:p>
    <w:p>
      <w:pPr>
        <w:spacing w:beforeLines="0" w:afterLines="0" w:line="574" w:lineRule="exact"/>
        <w:ind w:firstLine="640" w:firstLineChars="200"/>
        <w:rPr>
          <w:rFonts w:ascii="楷体_GB2312" w:eastAsia="楷体_GB2312"/>
          <w:sz w:val="32"/>
          <w:szCs w:val="32"/>
        </w:rPr>
      </w:pPr>
      <w:r>
        <w:rPr>
          <w:rFonts w:hint="eastAsia" w:ascii="楷体_GB2312" w:eastAsia="楷体_GB2312"/>
          <w:sz w:val="32"/>
          <w:szCs w:val="32"/>
        </w:rPr>
        <w:t>（二）适应上级形势和要求的需要</w:t>
      </w: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一是随着国家二孩政策全面实施，原计划生育政策进行了较大的调整，原积分制管理中关于计划生育要求的内容相应需要进行修订；二是《中山市推动非户籍人口在城市落户实施方案》（中府办〔</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号）的发布，进一步放宽了流动人员入户的门槛，明确提出取消积分入户，原积分制管理中关于积分入户的内容相应需要进行修订。</w:t>
      </w:r>
    </w:p>
    <w:p>
      <w:pPr>
        <w:spacing w:beforeLines="0" w:afterLines="0" w:line="574" w:lineRule="exact"/>
        <w:ind w:firstLine="640" w:firstLineChars="200"/>
        <w:rPr>
          <w:rFonts w:ascii="楷体_GB2312" w:eastAsia="楷体_GB2312"/>
          <w:sz w:val="32"/>
          <w:szCs w:val="32"/>
        </w:rPr>
      </w:pPr>
      <w:r>
        <w:rPr>
          <w:rFonts w:hint="eastAsia" w:ascii="楷体_GB2312" w:eastAsia="楷体_GB2312"/>
          <w:sz w:val="32"/>
          <w:szCs w:val="32"/>
        </w:rPr>
        <w:t>（三）充分吸收积分入学管理实施经验的需要</w:t>
      </w: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在具体实施的过程中，相关职能部门和镇区对积分入学管理积累了新经验。在资料审核、资格核查过程中也发现了新情况、新问题，有必要从制度层面上予以完善；同时，部分积分项目的分值设置、实际操作性方面有待进一步优化。这些都需要在政策上进行调整和规范。</w:t>
      </w:r>
    </w:p>
    <w:p>
      <w:pPr>
        <w:keepNext/>
        <w:widowControl/>
        <w:spacing w:beforeLines="0" w:afterLines="0" w:line="574" w:lineRule="exact"/>
        <w:ind w:firstLine="640" w:firstLineChars="200"/>
        <w:rPr>
          <w:rFonts w:ascii="黑体" w:hAnsi="黑体" w:eastAsia="黑体"/>
          <w:sz w:val="32"/>
          <w:szCs w:val="32"/>
        </w:rPr>
      </w:pPr>
      <w:r>
        <w:rPr>
          <w:rFonts w:hint="eastAsia" w:ascii="黑体" w:hAnsi="黑体" w:eastAsia="黑体"/>
          <w:sz w:val="32"/>
          <w:szCs w:val="32"/>
        </w:rPr>
        <w:t>二、文件主要内容</w:t>
      </w: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为提高制度科学性、可操作性和便民性，本次修订对积分入学管理规定、计分指标和实施细则进行了精简。通过政策优化，为流动人员随迁子女入学提供更宽阔的通道和更便捷的办事流程。</w:t>
      </w:r>
    </w:p>
    <w:p>
      <w:pPr>
        <w:keepNext/>
        <w:widowControl/>
        <w:spacing w:beforeLines="0" w:afterLines="0" w:line="574" w:lineRule="exact"/>
        <w:ind w:firstLine="640" w:firstLineChars="200"/>
        <w:rPr>
          <w:rFonts w:ascii="楷体_GB2312" w:eastAsia="楷体_GB2312"/>
          <w:sz w:val="32"/>
          <w:szCs w:val="32"/>
        </w:rPr>
      </w:pPr>
      <w:r>
        <w:rPr>
          <w:rFonts w:hint="eastAsia" w:ascii="楷体_GB2312" w:eastAsia="楷体_GB2312"/>
          <w:sz w:val="32"/>
          <w:szCs w:val="32"/>
        </w:rPr>
        <w:t>（一）《中山市流动人员积分入学管理规定》修订的主要内容</w:t>
      </w:r>
    </w:p>
    <w:p>
      <w:pPr>
        <w:spacing w:beforeLines="0" w:afterLines="0" w:line="574"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取消积分入户政策。根据《中山市推动非户籍人口在城市落户实施方案》（中府办〔</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号）的规定，自</w:t>
      </w:r>
      <w:r>
        <w:rPr>
          <w:rFonts w:ascii="仿宋_GB2312" w:eastAsia="仿宋_GB2312"/>
          <w:sz w:val="32"/>
          <w:szCs w:val="32"/>
        </w:rPr>
        <w:t>2018</w:t>
      </w:r>
      <w:r>
        <w:rPr>
          <w:rFonts w:hint="eastAsia" w:ascii="仿宋_GB2312" w:eastAsia="仿宋_GB2312"/>
          <w:sz w:val="32"/>
          <w:szCs w:val="32"/>
        </w:rPr>
        <w:t>年起中山市不再实行积分入户政策，因此对相应的指标和描述进行修订。</w:t>
      </w:r>
    </w:p>
    <w:p>
      <w:pPr>
        <w:spacing w:beforeLines="0" w:afterLines="0" w:line="574"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删除了有关积分享受住房保障的内容。由市住建局牵头会同有关职能部门另行制定有关积分享受住房保障的管理规定及实施细则，因此对有关积分享受住房保障的内容进行删除。</w:t>
      </w: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调整了积分入学的申请条件。根据国务院办公厅印发《港澳台居民居住证申领发放办法》的相关规定，港澳台居民持《港澳台居民居住证》可申请纳入积分入学管理。为进一步降低申请积分入学管理的门槛，引导申请人在中山市依法参加社会保险，要求“提出申请的上月已在中山市缴纳社会保险（派驻中山分支机构，可在总部所在地缴纳社会保险），且缴纳社会保险累积满三个月以上（含三个月）”。</w:t>
      </w:r>
    </w:p>
    <w:p>
      <w:pPr>
        <w:spacing w:beforeLines="0" w:afterLines="0" w:line="574"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增加关于工作人员违反规定的处罚条款。相关部门工作人员在执行规定过程中，如有徇私舞弊、滥用职权、索贿受贿等行为的，由任免机关或者监察机关给予处分；涉嫌犯罪的，依法移送司法机关处理。</w:t>
      </w:r>
    </w:p>
    <w:p>
      <w:pPr>
        <w:spacing w:beforeLines="0" w:afterLines="0" w:line="574"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部分积分项目进行了较大调整</w:t>
      </w:r>
      <w:r>
        <w:rPr>
          <w:rFonts w:hint="eastAsia" w:ascii="仿宋_GB2312" w:eastAsia="仿宋_GB2312"/>
          <w:sz w:val="32"/>
          <w:szCs w:val="32"/>
          <w:lang w:eastAsia="zh-CN"/>
        </w:rPr>
        <w:t>。</w:t>
      </w:r>
      <w:r>
        <w:rPr>
          <w:rFonts w:hint="eastAsia" w:ascii="仿宋_GB2312" w:eastAsia="仿宋_GB2312"/>
          <w:sz w:val="32"/>
          <w:szCs w:val="32"/>
          <w:lang w:val="en-US" w:eastAsia="zh-CN"/>
        </w:rPr>
        <w:t>积分计分标准由原有14大项34小项调整为9大项18小项。</w:t>
      </w:r>
      <w:r>
        <w:rPr>
          <w:rFonts w:hint="eastAsia" w:ascii="仿宋_GB2312" w:eastAsia="仿宋_GB2312"/>
          <w:sz w:val="32"/>
          <w:szCs w:val="32"/>
        </w:rPr>
        <w:t>一是文化程度积分中大专积</w:t>
      </w:r>
      <w:r>
        <w:rPr>
          <w:rFonts w:hint="eastAsia" w:ascii="仿宋_GB2312" w:eastAsia="仿宋_GB2312"/>
          <w:sz w:val="32"/>
          <w:szCs w:val="32"/>
          <w:lang w:val="en-US" w:eastAsia="zh-CN"/>
        </w:rPr>
        <w:t>50</w:t>
      </w:r>
      <w:r>
        <w:rPr>
          <w:rFonts w:hint="eastAsia" w:ascii="仿宋_GB2312" w:eastAsia="仿宋_GB2312"/>
          <w:sz w:val="32"/>
          <w:szCs w:val="32"/>
        </w:rPr>
        <w:t>分、本科积9</w:t>
      </w:r>
      <w:r>
        <w:rPr>
          <w:rFonts w:ascii="仿宋_GB2312" w:eastAsia="仿宋_GB2312"/>
          <w:sz w:val="32"/>
          <w:szCs w:val="32"/>
        </w:rPr>
        <w:t>0</w:t>
      </w:r>
      <w:r>
        <w:rPr>
          <w:rFonts w:hint="eastAsia" w:ascii="仿宋_GB2312" w:eastAsia="仿宋_GB2312"/>
          <w:sz w:val="32"/>
          <w:szCs w:val="32"/>
        </w:rPr>
        <w:t>分，新增研究生学历或硕士学位以上积150分；二是职业资格或专业技术资格积分中初级技工积</w:t>
      </w:r>
      <w:r>
        <w:rPr>
          <w:rFonts w:hint="eastAsia" w:ascii="仿宋_GB2312" w:eastAsia="仿宋_GB2312"/>
          <w:sz w:val="32"/>
          <w:szCs w:val="32"/>
          <w:lang w:val="en-US" w:eastAsia="zh-CN"/>
        </w:rPr>
        <w:t>10</w:t>
      </w:r>
      <w:r>
        <w:rPr>
          <w:rFonts w:hint="eastAsia" w:ascii="仿宋_GB2312" w:eastAsia="仿宋_GB2312"/>
          <w:sz w:val="32"/>
          <w:szCs w:val="32"/>
        </w:rPr>
        <w:t>分、中级技工积</w:t>
      </w:r>
      <w:r>
        <w:rPr>
          <w:rFonts w:hint="eastAsia" w:ascii="仿宋_GB2312" w:eastAsia="仿宋_GB2312"/>
          <w:sz w:val="32"/>
          <w:szCs w:val="32"/>
          <w:lang w:val="en-US" w:eastAsia="zh-CN"/>
        </w:rPr>
        <w:t>20</w:t>
      </w:r>
      <w:r>
        <w:rPr>
          <w:rFonts w:hint="eastAsia" w:ascii="仿宋_GB2312" w:eastAsia="仿宋_GB2312"/>
          <w:sz w:val="32"/>
          <w:szCs w:val="32"/>
        </w:rPr>
        <w:t>分、高级技工或专业技术资格初级积50分、技师或专业技术资格中级积</w:t>
      </w:r>
      <w:r>
        <w:rPr>
          <w:rFonts w:hint="eastAsia" w:ascii="仿宋_GB2312" w:eastAsia="仿宋_GB2312"/>
          <w:sz w:val="32"/>
          <w:szCs w:val="32"/>
          <w:lang w:val="en-US" w:eastAsia="zh-CN"/>
        </w:rPr>
        <w:t>80</w:t>
      </w:r>
      <w:r>
        <w:rPr>
          <w:rFonts w:hint="eastAsia" w:ascii="仿宋_GB2312" w:eastAsia="仿宋_GB2312"/>
          <w:sz w:val="32"/>
          <w:szCs w:val="32"/>
        </w:rPr>
        <w:t>分、高级技师或专业技术资格高级积</w:t>
      </w:r>
      <w:r>
        <w:rPr>
          <w:rFonts w:hint="eastAsia" w:ascii="仿宋_GB2312" w:eastAsia="仿宋_GB2312"/>
          <w:sz w:val="32"/>
          <w:szCs w:val="32"/>
          <w:lang w:val="en-US" w:eastAsia="zh-CN"/>
        </w:rPr>
        <w:t>100</w:t>
      </w:r>
      <w:r>
        <w:rPr>
          <w:rFonts w:hint="eastAsia" w:ascii="仿宋_GB2312" w:eastAsia="仿宋_GB2312"/>
          <w:sz w:val="32"/>
          <w:szCs w:val="32"/>
        </w:rPr>
        <w:t>分；三是取消企业评定的相当岗位等级技术技能积分项目；四是参保情况积分中参加中山市社会保险每满半年积10分，外省、外市转入中山市的社保每满半年积</w:t>
      </w:r>
      <w:r>
        <w:rPr>
          <w:rFonts w:ascii="仿宋_GB2312" w:eastAsia="仿宋_GB2312"/>
          <w:sz w:val="32"/>
          <w:szCs w:val="32"/>
        </w:rPr>
        <w:t>2.5</w:t>
      </w:r>
      <w:r>
        <w:rPr>
          <w:rFonts w:hint="eastAsia" w:ascii="仿宋_GB2312" w:eastAsia="仿宋_GB2312"/>
          <w:sz w:val="32"/>
          <w:szCs w:val="32"/>
        </w:rPr>
        <w:t>分；五是房产情况积分</w:t>
      </w:r>
      <w:r>
        <w:rPr>
          <w:rFonts w:hint="eastAsia" w:ascii="仿宋_GB2312" w:eastAsia="仿宋_GB2312"/>
          <w:sz w:val="32"/>
          <w:szCs w:val="32"/>
          <w:lang w:eastAsia="zh-CN"/>
        </w:rPr>
        <w:t>调整</w:t>
      </w:r>
      <w:r>
        <w:rPr>
          <w:rFonts w:hint="eastAsia" w:ascii="仿宋_GB2312" w:eastAsia="仿宋_GB2312"/>
          <w:sz w:val="32"/>
          <w:szCs w:val="32"/>
        </w:rPr>
        <w:t>为</w:t>
      </w:r>
      <w:r>
        <w:rPr>
          <w:rFonts w:ascii="仿宋_GB2312" w:eastAsia="仿宋_GB2312"/>
          <w:sz w:val="32"/>
          <w:szCs w:val="32"/>
        </w:rPr>
        <w:t>100</w:t>
      </w:r>
      <w:r>
        <w:rPr>
          <w:rFonts w:hint="eastAsia" w:ascii="仿宋_GB2312" w:eastAsia="仿宋_GB2312"/>
          <w:sz w:val="32"/>
          <w:szCs w:val="32"/>
        </w:rPr>
        <w:t>分，当产权人为多人的，按申请人和配偶合计份额的比例进行积分，且多套房产（住宅）不可累积积分；六是办理居住证年限积分中在中山市内办理居住证每满半年积7.5分，取消“</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日以后，凡首次在中山办理《广东省居住证》的，其办理居住登记时间纳入居住证年限计算范围，最长不超过半年。”；七是住房公积金缴交情况积分中在本市按月缴交住房公积金的，每缴交</w:t>
      </w:r>
      <w:r>
        <w:rPr>
          <w:rFonts w:ascii="仿宋_GB2312" w:eastAsia="仿宋_GB2312"/>
          <w:sz w:val="32"/>
          <w:szCs w:val="32"/>
        </w:rPr>
        <w:t>3</w:t>
      </w:r>
      <w:r>
        <w:rPr>
          <w:rFonts w:hint="eastAsia" w:ascii="仿宋_GB2312" w:eastAsia="仿宋_GB2312"/>
          <w:sz w:val="32"/>
          <w:szCs w:val="32"/>
        </w:rPr>
        <w:t>个月积</w:t>
      </w:r>
      <w:r>
        <w:rPr>
          <w:rFonts w:ascii="仿宋_GB2312" w:eastAsia="仿宋_GB2312"/>
          <w:sz w:val="32"/>
          <w:szCs w:val="32"/>
        </w:rPr>
        <w:t>1.</w:t>
      </w:r>
      <w:r>
        <w:rPr>
          <w:rFonts w:hint="eastAsia" w:ascii="仿宋_GB2312" w:eastAsia="仿宋_GB2312"/>
          <w:sz w:val="32"/>
          <w:szCs w:val="32"/>
        </w:rPr>
        <w:t>5分，最高限</w:t>
      </w:r>
      <w:r>
        <w:rPr>
          <w:rFonts w:hint="eastAsia" w:ascii="仿宋_GB2312" w:eastAsia="仿宋_GB2312"/>
          <w:sz w:val="32"/>
          <w:szCs w:val="32"/>
          <w:lang w:val="en-US" w:eastAsia="zh-CN"/>
        </w:rPr>
        <w:t>48</w:t>
      </w:r>
      <w:r>
        <w:rPr>
          <w:rFonts w:hint="eastAsia" w:ascii="仿宋_GB2312" w:eastAsia="仿宋_GB2312"/>
          <w:sz w:val="32"/>
          <w:szCs w:val="32"/>
        </w:rPr>
        <w:t>分；八是取消原个人基本情况积分中针对“年龄”以及“卫生和计划生育情况”等积分项目；九是人才岗位积分中在我市高新技术企业就业的技术人员每满</w:t>
      </w:r>
      <w:r>
        <w:rPr>
          <w:rFonts w:ascii="仿宋_GB2312" w:eastAsia="仿宋_GB2312"/>
          <w:sz w:val="32"/>
          <w:szCs w:val="32"/>
        </w:rPr>
        <w:t>1</w:t>
      </w:r>
      <w:r>
        <w:rPr>
          <w:rFonts w:hint="eastAsia" w:ascii="仿宋_GB2312" w:eastAsia="仿宋_GB2312"/>
          <w:sz w:val="32"/>
          <w:szCs w:val="32"/>
        </w:rPr>
        <w:t>年积6分、最高限</w:t>
      </w:r>
      <w:r>
        <w:rPr>
          <w:rFonts w:hint="eastAsia" w:ascii="仿宋_GB2312" w:eastAsia="仿宋_GB2312"/>
          <w:sz w:val="32"/>
          <w:szCs w:val="32"/>
          <w:lang w:val="en-US" w:eastAsia="zh-CN"/>
        </w:rPr>
        <w:t>48</w:t>
      </w:r>
      <w:r>
        <w:rPr>
          <w:rFonts w:hint="eastAsia" w:ascii="仿宋_GB2312" w:eastAsia="仿宋_GB2312"/>
          <w:sz w:val="32"/>
          <w:szCs w:val="32"/>
        </w:rPr>
        <w:t>分，在我市总部企业就业的技术人员每连续满</w:t>
      </w:r>
      <w:r>
        <w:rPr>
          <w:rFonts w:ascii="仿宋_GB2312" w:eastAsia="仿宋_GB2312"/>
          <w:sz w:val="32"/>
          <w:szCs w:val="32"/>
        </w:rPr>
        <w:t>1</w:t>
      </w:r>
      <w:r>
        <w:rPr>
          <w:rFonts w:hint="eastAsia" w:ascii="仿宋_GB2312" w:eastAsia="仿宋_GB2312"/>
          <w:sz w:val="32"/>
          <w:szCs w:val="32"/>
        </w:rPr>
        <w:t>年积6分、最高限</w:t>
      </w:r>
      <w:r>
        <w:rPr>
          <w:rFonts w:hint="eastAsia" w:ascii="仿宋_GB2312" w:eastAsia="仿宋_GB2312"/>
          <w:sz w:val="32"/>
          <w:szCs w:val="32"/>
          <w:lang w:val="en-US" w:eastAsia="zh-CN"/>
        </w:rPr>
        <w:t>48</w:t>
      </w:r>
      <w:r>
        <w:rPr>
          <w:rFonts w:hint="eastAsia" w:ascii="仿宋_GB2312" w:eastAsia="仿宋_GB2312"/>
          <w:sz w:val="32"/>
          <w:szCs w:val="32"/>
        </w:rPr>
        <w:t>分，在中山市从事环卫工作每满1年积6分、最高限</w:t>
      </w:r>
      <w:r>
        <w:rPr>
          <w:rFonts w:hint="eastAsia" w:ascii="仿宋_GB2312" w:eastAsia="仿宋_GB2312"/>
          <w:sz w:val="32"/>
          <w:szCs w:val="32"/>
          <w:lang w:val="en-US" w:eastAsia="zh-CN"/>
        </w:rPr>
        <w:t>48</w:t>
      </w:r>
      <w:r>
        <w:rPr>
          <w:rFonts w:hint="eastAsia" w:ascii="仿宋_GB2312" w:eastAsia="仿宋_GB2312"/>
          <w:sz w:val="32"/>
          <w:szCs w:val="32"/>
        </w:rPr>
        <w:t>分，新增在中山市从事公交运输工作每满1年积6分、最高限</w:t>
      </w:r>
      <w:r>
        <w:rPr>
          <w:rFonts w:hint="eastAsia" w:ascii="仿宋_GB2312" w:eastAsia="仿宋_GB2312"/>
          <w:sz w:val="32"/>
          <w:szCs w:val="32"/>
          <w:lang w:val="en-US" w:eastAsia="zh-CN"/>
        </w:rPr>
        <w:t>48</w:t>
      </w:r>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lang w:val="en-US" w:eastAsia="zh-CN"/>
        </w:rPr>
        <w:t>体现对科技人才和特殊群体的关爱</w:t>
      </w:r>
      <w:r>
        <w:rPr>
          <w:rFonts w:hint="eastAsia" w:ascii="仿宋_GB2312" w:eastAsia="仿宋_GB2312"/>
          <w:sz w:val="32"/>
          <w:szCs w:val="32"/>
        </w:rPr>
        <w:t>；十是明确了表彰奖励积分的有效年限及表彰奖励的有效单位，对表彰奖励积分的最高上限调整为</w:t>
      </w:r>
      <w:r>
        <w:rPr>
          <w:rFonts w:ascii="仿宋_GB2312" w:eastAsia="仿宋_GB2312"/>
          <w:sz w:val="32"/>
          <w:szCs w:val="32"/>
        </w:rPr>
        <w:t>100</w:t>
      </w:r>
      <w:r>
        <w:rPr>
          <w:rFonts w:hint="eastAsia" w:ascii="仿宋_GB2312" w:eastAsia="仿宋_GB2312"/>
          <w:sz w:val="32"/>
          <w:szCs w:val="32"/>
        </w:rPr>
        <w:t>分，并对不同级别表彰奖励的积分值进行调整；十一是参加志愿服务计分的最高上限上调为5</w:t>
      </w:r>
      <w:r>
        <w:rPr>
          <w:rFonts w:ascii="仿宋_GB2312" w:eastAsia="仿宋_GB2312"/>
          <w:sz w:val="32"/>
          <w:szCs w:val="32"/>
        </w:rPr>
        <w:t>0</w:t>
      </w:r>
      <w:r>
        <w:rPr>
          <w:rFonts w:hint="eastAsia" w:ascii="仿宋_GB2312" w:eastAsia="仿宋_GB2312"/>
          <w:sz w:val="32"/>
          <w:szCs w:val="32"/>
        </w:rPr>
        <w:t>分，新增了“中山好人”、“广东好人”、“中国好人”的积分项目；十二是取消社会贡献积分中针对“在中山市登记成为中华骨髓库志愿者”、“个人捐赠”、“积极举报火宅隐患或违法犯罪线索”以及“担任流动人口和出租屋服务管理兼职联络员”的积分项目；十三是取消儿童随行卡办理的积分项目；十四是取消基础教育的积分项目。</w:t>
      </w:r>
    </w:p>
    <w:p>
      <w:pPr>
        <w:keepNext/>
        <w:widowControl/>
        <w:spacing w:beforeLines="0" w:afterLines="0" w:line="574" w:lineRule="exact"/>
        <w:ind w:firstLine="640" w:firstLineChars="200"/>
        <w:rPr>
          <w:rFonts w:ascii="楷体_GB2312" w:eastAsia="楷体_GB2312"/>
          <w:sz w:val="32"/>
          <w:szCs w:val="32"/>
        </w:rPr>
      </w:pPr>
      <w:r>
        <w:rPr>
          <w:rFonts w:hint="eastAsia" w:ascii="楷体_GB2312" w:eastAsia="楷体_GB2312"/>
          <w:sz w:val="32"/>
          <w:szCs w:val="32"/>
        </w:rPr>
        <w:t>（二）《中山市流动人员积分入学管理实施细则》修订的主要内容</w:t>
      </w: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一是取消各镇区卫生和计划生育局设立专门服务窗口，核查申请人的卫生和计划生育情况，为申请人开具卫生和计划生育情况审核表；二是取消由市人力资源考试院为无法在国家或广东省人力资源社会保障部门官方网站验证申请人的职业资格证书（该证书市人力资源社会保障局颁发）出具相关证明；三是取消由市人力资源和社会保障部门为申请人提供企业评定的相当岗位等级技术技能的备案文件；四是取消由镇区经（发）科信局为申请人的专利创新出具备案证明文件；五是取消市公安消防局为申请人出具举报火灾隐患证明；六是取消各镇区公安分局为申请人出具举报违法犯罪线索证明、负责对申请人有否被行政拘留或被刑事处罚情况进行核查；七是取消镇区流动人口办公室为申请人出具兼职联络员信息登记表；八是取消市流动人口管理办公室对《广东省居住证》（暂住证）、十六周岁以下儿童随行卡的核查；九是取消接收捐赠机构对本单位出具捐赠证明的核查；十是</w:t>
      </w:r>
      <w:r>
        <w:rPr>
          <w:rFonts w:hint="eastAsia" w:ascii="仿宋_GB2312" w:eastAsia="仿宋_GB2312"/>
          <w:sz w:val="32"/>
          <w:szCs w:val="32"/>
          <w:lang w:val="en-US" w:eastAsia="zh-CN"/>
        </w:rPr>
        <w:t>明确</w:t>
      </w:r>
      <w:r>
        <w:rPr>
          <w:rFonts w:hint="eastAsia" w:ascii="仿宋_GB2312" w:eastAsia="仿宋_GB2312"/>
          <w:sz w:val="32"/>
          <w:szCs w:val="32"/>
        </w:rPr>
        <w:t>市公安局负责对《广东省居住证》（暂住证）的核查；十一是</w:t>
      </w:r>
      <w:r>
        <w:rPr>
          <w:rFonts w:hint="eastAsia" w:ascii="仿宋_GB2312" w:eastAsia="仿宋_GB2312"/>
          <w:sz w:val="32"/>
          <w:szCs w:val="32"/>
          <w:lang w:val="en-US" w:eastAsia="zh-CN"/>
        </w:rPr>
        <w:t>明确</w:t>
      </w:r>
      <w:r>
        <w:rPr>
          <w:rFonts w:hint="eastAsia" w:ascii="仿宋_GB2312" w:eastAsia="仿宋_GB2312"/>
          <w:sz w:val="32"/>
          <w:szCs w:val="32"/>
        </w:rPr>
        <w:t>市城市管理和综合执法局负责对从事环卫工作情况证明材料的核查；十二是</w:t>
      </w:r>
      <w:r>
        <w:rPr>
          <w:rFonts w:hint="eastAsia" w:ascii="仿宋_GB2312" w:eastAsia="仿宋_GB2312"/>
          <w:sz w:val="32"/>
          <w:szCs w:val="32"/>
          <w:lang w:val="en-US" w:eastAsia="zh-CN"/>
        </w:rPr>
        <w:t>明确</w:t>
      </w:r>
      <w:r>
        <w:rPr>
          <w:rFonts w:hint="eastAsia" w:ascii="仿宋_GB2312" w:eastAsia="仿宋_GB2312"/>
          <w:sz w:val="32"/>
          <w:szCs w:val="32"/>
        </w:rPr>
        <w:t>市交通运输局负责对从事公交运输工作情况证明材料的核查；十三是</w:t>
      </w:r>
      <w:r>
        <w:rPr>
          <w:rFonts w:hint="eastAsia" w:ascii="仿宋_GB2312" w:eastAsia="仿宋_GB2312"/>
          <w:sz w:val="32"/>
          <w:szCs w:val="32"/>
          <w:lang w:val="en-US" w:eastAsia="zh-CN"/>
        </w:rPr>
        <w:t>明确</w:t>
      </w:r>
      <w:r>
        <w:rPr>
          <w:rFonts w:hint="eastAsia" w:ascii="仿宋_GB2312" w:eastAsia="仿宋_GB2312"/>
          <w:sz w:val="32"/>
          <w:szCs w:val="32"/>
        </w:rPr>
        <w:t>市文明办负责道德模范、身边好人评奖证明材料的核查；十四是</w:t>
      </w:r>
      <w:r>
        <w:rPr>
          <w:rFonts w:hint="eastAsia" w:ascii="仿宋_GB2312" w:eastAsia="仿宋_GB2312"/>
          <w:sz w:val="32"/>
          <w:szCs w:val="32"/>
          <w:lang w:val="en-US" w:eastAsia="zh-CN"/>
        </w:rPr>
        <w:t>明晰</w:t>
      </w:r>
      <w:r>
        <w:rPr>
          <w:rFonts w:hint="eastAsia" w:ascii="仿宋_GB2312" w:eastAsia="仿宋_GB2312"/>
          <w:sz w:val="32"/>
          <w:szCs w:val="32"/>
        </w:rPr>
        <w:t>“积分入学指标数”由公办学位和政府购买民办学位组成；十五是</w:t>
      </w:r>
      <w:r>
        <w:rPr>
          <w:rFonts w:hint="eastAsia" w:ascii="仿宋_GB2312" w:eastAsia="仿宋_GB2312"/>
          <w:sz w:val="32"/>
          <w:szCs w:val="32"/>
          <w:lang w:val="en-US" w:eastAsia="zh-CN"/>
        </w:rPr>
        <w:t>确定</w:t>
      </w:r>
      <w:r>
        <w:rPr>
          <w:rFonts w:hint="eastAsia" w:ascii="仿宋_GB2312" w:eastAsia="仿宋_GB2312"/>
          <w:sz w:val="32"/>
          <w:szCs w:val="32"/>
        </w:rPr>
        <w:t>受理</w:t>
      </w:r>
      <w:r>
        <w:rPr>
          <w:rFonts w:hint="eastAsia" w:ascii="仿宋_GB2312" w:eastAsia="仿宋_GB2312"/>
          <w:sz w:val="32"/>
          <w:szCs w:val="32"/>
          <w:lang w:val="en-US" w:eastAsia="zh-CN"/>
        </w:rPr>
        <w:t>2019年度</w:t>
      </w:r>
      <w:r>
        <w:rPr>
          <w:rFonts w:hint="eastAsia" w:ascii="仿宋_GB2312" w:eastAsia="仿宋_GB2312"/>
          <w:sz w:val="32"/>
          <w:szCs w:val="32"/>
        </w:rPr>
        <w:t>申请积分入学的时间自开始受理日起至申请积分入学当年5月</w:t>
      </w:r>
      <w:r>
        <w:rPr>
          <w:rFonts w:ascii="仿宋_GB2312" w:eastAsia="仿宋_GB2312"/>
          <w:sz w:val="32"/>
          <w:szCs w:val="32"/>
        </w:rPr>
        <w:t>15</w:t>
      </w:r>
      <w:r>
        <w:rPr>
          <w:rFonts w:hint="eastAsia" w:ascii="仿宋_GB2312" w:eastAsia="仿宋_GB2312"/>
          <w:sz w:val="32"/>
          <w:szCs w:val="32"/>
        </w:rPr>
        <w:t>日；十六是</w:t>
      </w:r>
      <w:r>
        <w:rPr>
          <w:rFonts w:hint="eastAsia" w:ascii="仿宋_GB2312" w:eastAsia="仿宋_GB2312"/>
          <w:sz w:val="32"/>
          <w:szCs w:val="32"/>
          <w:lang w:val="en-US" w:eastAsia="zh-CN"/>
        </w:rPr>
        <w:t>明确</w:t>
      </w:r>
      <w:r>
        <w:rPr>
          <w:rFonts w:hint="eastAsia" w:ascii="仿宋_GB2312" w:eastAsia="仿宋_GB2312"/>
          <w:sz w:val="32"/>
          <w:szCs w:val="32"/>
        </w:rPr>
        <w:t>各镇区根据公布的积分入学指标数和排名情况，统筹安排入学</w:t>
      </w:r>
      <w:r>
        <w:rPr>
          <w:rFonts w:hint="eastAsia" w:ascii="仿宋_GB2312" w:eastAsia="仿宋_GB2312"/>
          <w:sz w:val="32"/>
          <w:szCs w:val="32"/>
          <w:lang w:eastAsia="zh-CN"/>
        </w:rPr>
        <w:t>，</w:t>
      </w:r>
      <w:r>
        <w:rPr>
          <w:rFonts w:hint="eastAsia" w:ascii="仿宋_GB2312" w:eastAsia="仿宋_GB2312"/>
          <w:sz w:val="32"/>
          <w:szCs w:val="32"/>
        </w:rPr>
        <w:t>不服从安排者，原则上视为放弃学位，镇区可不再重新安排；十七是删除了原申请积分入户操作流程的内容；十八是删除了原申请积分享受住房保障的内容。</w:t>
      </w:r>
    </w:p>
    <w:p>
      <w:pPr>
        <w:keepNext/>
        <w:widowControl/>
        <w:spacing w:beforeLines="0" w:afterLines="0" w:line="574" w:lineRule="exact"/>
        <w:ind w:firstLine="640" w:firstLineChars="200"/>
        <w:rPr>
          <w:rFonts w:ascii="黑体" w:hAnsi="黑体" w:eastAsia="黑体"/>
          <w:sz w:val="32"/>
          <w:szCs w:val="32"/>
        </w:rPr>
      </w:pPr>
      <w:r>
        <w:rPr>
          <w:rFonts w:hint="eastAsia" w:ascii="黑体" w:hAnsi="黑体" w:eastAsia="黑体"/>
          <w:sz w:val="32"/>
          <w:szCs w:val="32"/>
        </w:rPr>
        <w:t>三、其他重要内容</w:t>
      </w: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本次修订围绕五个原则进行：一是公平性原则，最大限度确保积分资料的真实性；二是从上原则，与国家、省、市政策实现对接；三是向高学历、技能人员倾斜，惠及长期为中山作贡献的</w:t>
      </w:r>
      <w:r>
        <w:rPr>
          <w:rFonts w:hint="eastAsia" w:ascii="仿宋_GB2312" w:eastAsia="仿宋_GB2312"/>
          <w:sz w:val="32"/>
          <w:szCs w:val="32"/>
          <w:lang w:eastAsia="zh-CN"/>
        </w:rPr>
        <w:t>异地</w:t>
      </w:r>
      <w:r>
        <w:rPr>
          <w:rFonts w:hint="eastAsia" w:ascii="仿宋_GB2312" w:eastAsia="仿宋_GB2312"/>
          <w:sz w:val="32"/>
          <w:szCs w:val="32"/>
        </w:rPr>
        <w:t>务工人员，尊重科技人才、急需人才和特殊群体的贡献；四是最大程度尊重各镇区、部门及公众意见；五是具体操作上力求简化，提升行政效能。具体实施中提出如下要求：</w:t>
      </w:r>
    </w:p>
    <w:p>
      <w:pPr>
        <w:spacing w:beforeLines="0" w:afterLines="0" w:line="574" w:lineRule="exact"/>
        <w:ind w:firstLine="640" w:firstLineChars="200"/>
        <w:rPr>
          <w:rFonts w:ascii="楷体_GB2312" w:eastAsia="楷体_GB2312"/>
          <w:sz w:val="32"/>
          <w:szCs w:val="32"/>
        </w:rPr>
      </w:pPr>
      <w:r>
        <w:rPr>
          <w:rFonts w:hint="eastAsia" w:ascii="楷体_GB2312" w:eastAsia="楷体_GB2312"/>
          <w:sz w:val="32"/>
          <w:szCs w:val="32"/>
        </w:rPr>
        <w:t>（一）统一思想，提高认识</w:t>
      </w: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积分入学管理是一项系统工程，政策性强、影响面广、社会关注度高。各镇区、各相关职能部门要充分认识和深入理解积分入学管理在提高教育公共资源均等化服务效率、促进教育公平和社会和谐方面的重要性，准确把握积分入学管理的精神实质，真正实现好、发展好流动人口的合法权益，认真履行职责，切实做好流动人员随迁子女积分入学管理工作，确保《规定》和《实施细则》的各项要求落到实处。</w:t>
      </w:r>
    </w:p>
    <w:p>
      <w:pPr>
        <w:spacing w:beforeLines="0" w:afterLines="0" w:line="574" w:lineRule="exact"/>
        <w:ind w:firstLine="640" w:firstLineChars="200"/>
        <w:rPr>
          <w:rFonts w:ascii="楷体_GB2312" w:eastAsia="楷体_GB2312"/>
          <w:sz w:val="32"/>
          <w:szCs w:val="32"/>
        </w:rPr>
      </w:pPr>
      <w:r>
        <w:rPr>
          <w:rFonts w:hint="eastAsia" w:ascii="楷体_GB2312" w:eastAsia="楷体_GB2312"/>
          <w:sz w:val="32"/>
          <w:szCs w:val="32"/>
        </w:rPr>
        <w:t>（二）宣传引导，确保平稳</w:t>
      </w:r>
    </w:p>
    <w:p>
      <w:pPr>
        <w:spacing w:beforeLines="0" w:afterLines="0" w:line="574" w:lineRule="exact"/>
        <w:ind w:firstLine="640" w:firstLineChars="200"/>
        <w:rPr>
          <w:rFonts w:ascii="仿宋_GB2312" w:eastAsia="仿宋_GB2312"/>
          <w:sz w:val="32"/>
          <w:szCs w:val="32"/>
        </w:rPr>
      </w:pPr>
      <w:r>
        <w:rPr>
          <w:rFonts w:hint="eastAsia" w:ascii="仿宋_GB2312" w:eastAsia="仿宋_GB2312"/>
          <w:sz w:val="32"/>
          <w:szCs w:val="32"/>
        </w:rPr>
        <w:t>积分入学管理已实施</w:t>
      </w:r>
      <w:r>
        <w:rPr>
          <w:rFonts w:ascii="仿宋_GB2312" w:eastAsia="仿宋_GB2312"/>
          <w:sz w:val="32"/>
          <w:szCs w:val="32"/>
        </w:rPr>
        <w:t>9</w:t>
      </w:r>
      <w:r>
        <w:rPr>
          <w:rFonts w:hint="eastAsia" w:ascii="仿宋_GB2312" w:eastAsia="仿宋_GB2312"/>
          <w:sz w:val="32"/>
          <w:szCs w:val="32"/>
        </w:rPr>
        <w:t>个年度，事关流动人员切身利益，本次修订内容变动较大，势必引起流动人员的关注，</w:t>
      </w:r>
      <w:r>
        <w:rPr>
          <w:rFonts w:hint="eastAsia" w:ascii="仿宋_GB2312" w:eastAsia="仿宋_GB2312"/>
          <w:sz w:val="32"/>
          <w:szCs w:val="32"/>
          <w:lang w:eastAsia="zh-CN"/>
        </w:rPr>
        <w:t>并</w:t>
      </w:r>
      <w:r>
        <w:rPr>
          <w:rFonts w:hint="eastAsia" w:ascii="仿宋_GB2312" w:eastAsia="仿宋_GB2312"/>
          <w:sz w:val="32"/>
          <w:szCs w:val="32"/>
        </w:rPr>
        <w:t>且积分入学管理多年来一直是各级媒体和社会关注的焦点、热点。因此，务必强化宣传引导工作，让流动人员公正、客观认识文件的修订内容，引导媒体进行正面宣传报道，为《规定》和《实施细则》的实施营造良好的舆论氛围和社会环境。</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4</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20D"/>
    <w:rsid w:val="000358DC"/>
    <w:rsid w:val="00044791"/>
    <w:rsid w:val="00053263"/>
    <w:rsid w:val="000727BC"/>
    <w:rsid w:val="00073223"/>
    <w:rsid w:val="00073B31"/>
    <w:rsid w:val="0007755B"/>
    <w:rsid w:val="000A59A4"/>
    <w:rsid w:val="000A602B"/>
    <w:rsid w:val="000B2983"/>
    <w:rsid w:val="000C371C"/>
    <w:rsid w:val="000C6287"/>
    <w:rsid w:val="000D3D27"/>
    <w:rsid w:val="000F4C6E"/>
    <w:rsid w:val="00115900"/>
    <w:rsid w:val="00120735"/>
    <w:rsid w:val="00123BCC"/>
    <w:rsid w:val="001344D7"/>
    <w:rsid w:val="00136F5D"/>
    <w:rsid w:val="00142F5C"/>
    <w:rsid w:val="00154DE9"/>
    <w:rsid w:val="00163264"/>
    <w:rsid w:val="00172A27"/>
    <w:rsid w:val="00184EA7"/>
    <w:rsid w:val="001A34C0"/>
    <w:rsid w:val="001A506B"/>
    <w:rsid w:val="001B14FF"/>
    <w:rsid w:val="001D2EA1"/>
    <w:rsid w:val="001D59AB"/>
    <w:rsid w:val="001E1816"/>
    <w:rsid w:val="001E2F30"/>
    <w:rsid w:val="001E698D"/>
    <w:rsid w:val="001F549D"/>
    <w:rsid w:val="00213DA3"/>
    <w:rsid w:val="00222A51"/>
    <w:rsid w:val="00243A12"/>
    <w:rsid w:val="00245D15"/>
    <w:rsid w:val="002A7DAE"/>
    <w:rsid w:val="002B40C1"/>
    <w:rsid w:val="002B4869"/>
    <w:rsid w:val="002C5A54"/>
    <w:rsid w:val="002D2F15"/>
    <w:rsid w:val="002E0EA8"/>
    <w:rsid w:val="002E29CA"/>
    <w:rsid w:val="002E43CC"/>
    <w:rsid w:val="003105A9"/>
    <w:rsid w:val="00317432"/>
    <w:rsid w:val="00324370"/>
    <w:rsid w:val="0032490A"/>
    <w:rsid w:val="00334F29"/>
    <w:rsid w:val="00342DA6"/>
    <w:rsid w:val="00350503"/>
    <w:rsid w:val="00360A05"/>
    <w:rsid w:val="00364584"/>
    <w:rsid w:val="0036794A"/>
    <w:rsid w:val="00377D46"/>
    <w:rsid w:val="00380025"/>
    <w:rsid w:val="00385C22"/>
    <w:rsid w:val="003917D1"/>
    <w:rsid w:val="00394D4D"/>
    <w:rsid w:val="003A0ECE"/>
    <w:rsid w:val="003B361E"/>
    <w:rsid w:val="003B3B18"/>
    <w:rsid w:val="003B68C6"/>
    <w:rsid w:val="003B7ACA"/>
    <w:rsid w:val="003F5885"/>
    <w:rsid w:val="00407BC8"/>
    <w:rsid w:val="0042142C"/>
    <w:rsid w:val="00452D9A"/>
    <w:rsid w:val="00473AC2"/>
    <w:rsid w:val="004744F7"/>
    <w:rsid w:val="00484C27"/>
    <w:rsid w:val="00487FD5"/>
    <w:rsid w:val="004A46BC"/>
    <w:rsid w:val="004D33AE"/>
    <w:rsid w:val="004F6FB0"/>
    <w:rsid w:val="005139C1"/>
    <w:rsid w:val="005272C1"/>
    <w:rsid w:val="00536EED"/>
    <w:rsid w:val="00544F82"/>
    <w:rsid w:val="0055065A"/>
    <w:rsid w:val="00550CF9"/>
    <w:rsid w:val="00551266"/>
    <w:rsid w:val="00552576"/>
    <w:rsid w:val="00560723"/>
    <w:rsid w:val="00565F11"/>
    <w:rsid w:val="0057261C"/>
    <w:rsid w:val="00587B78"/>
    <w:rsid w:val="00590843"/>
    <w:rsid w:val="005B0FD2"/>
    <w:rsid w:val="005C3410"/>
    <w:rsid w:val="005C7E6B"/>
    <w:rsid w:val="005D1738"/>
    <w:rsid w:val="005D379C"/>
    <w:rsid w:val="005D42D1"/>
    <w:rsid w:val="005D60E1"/>
    <w:rsid w:val="005E02BC"/>
    <w:rsid w:val="005F0F58"/>
    <w:rsid w:val="00610ECD"/>
    <w:rsid w:val="00612934"/>
    <w:rsid w:val="0061674A"/>
    <w:rsid w:val="00621BF2"/>
    <w:rsid w:val="006222CD"/>
    <w:rsid w:val="006347F0"/>
    <w:rsid w:val="0064527D"/>
    <w:rsid w:val="00660581"/>
    <w:rsid w:val="00660826"/>
    <w:rsid w:val="00662810"/>
    <w:rsid w:val="00673CCA"/>
    <w:rsid w:val="0068172F"/>
    <w:rsid w:val="0068349F"/>
    <w:rsid w:val="00683710"/>
    <w:rsid w:val="00683B67"/>
    <w:rsid w:val="00695733"/>
    <w:rsid w:val="006B0623"/>
    <w:rsid w:val="006C3A98"/>
    <w:rsid w:val="006E3A61"/>
    <w:rsid w:val="006F5264"/>
    <w:rsid w:val="00703B88"/>
    <w:rsid w:val="00703D8D"/>
    <w:rsid w:val="007157D8"/>
    <w:rsid w:val="00725B95"/>
    <w:rsid w:val="00733CD0"/>
    <w:rsid w:val="00741AFD"/>
    <w:rsid w:val="00764650"/>
    <w:rsid w:val="00770898"/>
    <w:rsid w:val="0077214E"/>
    <w:rsid w:val="00772C54"/>
    <w:rsid w:val="00783317"/>
    <w:rsid w:val="00792981"/>
    <w:rsid w:val="007949B4"/>
    <w:rsid w:val="0079774F"/>
    <w:rsid w:val="007A73DE"/>
    <w:rsid w:val="007B3503"/>
    <w:rsid w:val="007E41FB"/>
    <w:rsid w:val="007F45F5"/>
    <w:rsid w:val="00802A11"/>
    <w:rsid w:val="00802E1A"/>
    <w:rsid w:val="00813C76"/>
    <w:rsid w:val="00837CB7"/>
    <w:rsid w:val="00841B89"/>
    <w:rsid w:val="00844CCD"/>
    <w:rsid w:val="00844CFE"/>
    <w:rsid w:val="00860B18"/>
    <w:rsid w:val="00861AE0"/>
    <w:rsid w:val="00864375"/>
    <w:rsid w:val="00865AE8"/>
    <w:rsid w:val="00871325"/>
    <w:rsid w:val="00872221"/>
    <w:rsid w:val="0088346C"/>
    <w:rsid w:val="00885143"/>
    <w:rsid w:val="008961DD"/>
    <w:rsid w:val="00896D05"/>
    <w:rsid w:val="008A2C80"/>
    <w:rsid w:val="008C1FC4"/>
    <w:rsid w:val="009158E8"/>
    <w:rsid w:val="00916667"/>
    <w:rsid w:val="00920F7D"/>
    <w:rsid w:val="00926BAF"/>
    <w:rsid w:val="009456F3"/>
    <w:rsid w:val="00945AB7"/>
    <w:rsid w:val="009729EF"/>
    <w:rsid w:val="00976EC1"/>
    <w:rsid w:val="00990842"/>
    <w:rsid w:val="00990B1F"/>
    <w:rsid w:val="00991924"/>
    <w:rsid w:val="00995688"/>
    <w:rsid w:val="009A106F"/>
    <w:rsid w:val="009A1C2C"/>
    <w:rsid w:val="009B0AC5"/>
    <w:rsid w:val="009B442F"/>
    <w:rsid w:val="009B6324"/>
    <w:rsid w:val="009E21C4"/>
    <w:rsid w:val="009F4DB5"/>
    <w:rsid w:val="009F7457"/>
    <w:rsid w:val="00A11E52"/>
    <w:rsid w:val="00A3499D"/>
    <w:rsid w:val="00A35FD6"/>
    <w:rsid w:val="00A37E37"/>
    <w:rsid w:val="00A4097C"/>
    <w:rsid w:val="00A631C2"/>
    <w:rsid w:val="00A77D32"/>
    <w:rsid w:val="00A81A28"/>
    <w:rsid w:val="00A81F1F"/>
    <w:rsid w:val="00A871E0"/>
    <w:rsid w:val="00AA10CF"/>
    <w:rsid w:val="00AB050A"/>
    <w:rsid w:val="00AB4950"/>
    <w:rsid w:val="00AC28B4"/>
    <w:rsid w:val="00AD059B"/>
    <w:rsid w:val="00AD368C"/>
    <w:rsid w:val="00AD6EAC"/>
    <w:rsid w:val="00AF470D"/>
    <w:rsid w:val="00B002BE"/>
    <w:rsid w:val="00B03445"/>
    <w:rsid w:val="00B13FDB"/>
    <w:rsid w:val="00B179CE"/>
    <w:rsid w:val="00B27674"/>
    <w:rsid w:val="00B30908"/>
    <w:rsid w:val="00B30F61"/>
    <w:rsid w:val="00B34B30"/>
    <w:rsid w:val="00B36183"/>
    <w:rsid w:val="00B419FF"/>
    <w:rsid w:val="00B64B88"/>
    <w:rsid w:val="00B736A9"/>
    <w:rsid w:val="00B8684B"/>
    <w:rsid w:val="00B909D1"/>
    <w:rsid w:val="00B917CA"/>
    <w:rsid w:val="00BB05A7"/>
    <w:rsid w:val="00BB13E6"/>
    <w:rsid w:val="00BC066D"/>
    <w:rsid w:val="00BC406A"/>
    <w:rsid w:val="00BC6A3B"/>
    <w:rsid w:val="00BC6E66"/>
    <w:rsid w:val="00BE2401"/>
    <w:rsid w:val="00BE58B9"/>
    <w:rsid w:val="00BF1564"/>
    <w:rsid w:val="00C0028D"/>
    <w:rsid w:val="00C0123C"/>
    <w:rsid w:val="00C15A20"/>
    <w:rsid w:val="00C311A8"/>
    <w:rsid w:val="00C36DE2"/>
    <w:rsid w:val="00C6037B"/>
    <w:rsid w:val="00C607D1"/>
    <w:rsid w:val="00C64536"/>
    <w:rsid w:val="00C6647D"/>
    <w:rsid w:val="00C74E12"/>
    <w:rsid w:val="00C7662C"/>
    <w:rsid w:val="00C80714"/>
    <w:rsid w:val="00CA12C4"/>
    <w:rsid w:val="00CB3623"/>
    <w:rsid w:val="00CC34DB"/>
    <w:rsid w:val="00CC3FB0"/>
    <w:rsid w:val="00CD1C20"/>
    <w:rsid w:val="00CE5077"/>
    <w:rsid w:val="00CF3540"/>
    <w:rsid w:val="00D06E00"/>
    <w:rsid w:val="00D11451"/>
    <w:rsid w:val="00D14F30"/>
    <w:rsid w:val="00D1723A"/>
    <w:rsid w:val="00D20E3B"/>
    <w:rsid w:val="00D236D9"/>
    <w:rsid w:val="00D33F63"/>
    <w:rsid w:val="00D41FC3"/>
    <w:rsid w:val="00D62A43"/>
    <w:rsid w:val="00D72E8D"/>
    <w:rsid w:val="00D819B1"/>
    <w:rsid w:val="00D82550"/>
    <w:rsid w:val="00D850AA"/>
    <w:rsid w:val="00DC01C4"/>
    <w:rsid w:val="00DE0605"/>
    <w:rsid w:val="00DF1014"/>
    <w:rsid w:val="00DF76D4"/>
    <w:rsid w:val="00E04049"/>
    <w:rsid w:val="00E1314B"/>
    <w:rsid w:val="00E13E40"/>
    <w:rsid w:val="00E21C07"/>
    <w:rsid w:val="00E30518"/>
    <w:rsid w:val="00E32EAA"/>
    <w:rsid w:val="00E44C66"/>
    <w:rsid w:val="00E51422"/>
    <w:rsid w:val="00E83317"/>
    <w:rsid w:val="00E8365C"/>
    <w:rsid w:val="00EA2A1E"/>
    <w:rsid w:val="00EA4449"/>
    <w:rsid w:val="00EB2D21"/>
    <w:rsid w:val="00EB7484"/>
    <w:rsid w:val="00ED1A5F"/>
    <w:rsid w:val="00EE0568"/>
    <w:rsid w:val="00EE518B"/>
    <w:rsid w:val="00F05DC7"/>
    <w:rsid w:val="00F061C6"/>
    <w:rsid w:val="00F10D75"/>
    <w:rsid w:val="00F11C70"/>
    <w:rsid w:val="00F165D6"/>
    <w:rsid w:val="00F255F0"/>
    <w:rsid w:val="00F31A4C"/>
    <w:rsid w:val="00F33621"/>
    <w:rsid w:val="00F407B0"/>
    <w:rsid w:val="00F4459F"/>
    <w:rsid w:val="00F44EDE"/>
    <w:rsid w:val="00F47496"/>
    <w:rsid w:val="00F5482F"/>
    <w:rsid w:val="00F6223E"/>
    <w:rsid w:val="00F64B14"/>
    <w:rsid w:val="00F66824"/>
    <w:rsid w:val="00F669D4"/>
    <w:rsid w:val="00F73374"/>
    <w:rsid w:val="00F74A5C"/>
    <w:rsid w:val="00F801CA"/>
    <w:rsid w:val="00F90724"/>
    <w:rsid w:val="00F93C76"/>
    <w:rsid w:val="00F95323"/>
    <w:rsid w:val="00FA1476"/>
    <w:rsid w:val="00FA29F3"/>
    <w:rsid w:val="00FA5738"/>
    <w:rsid w:val="00FB29ED"/>
    <w:rsid w:val="00FC4113"/>
    <w:rsid w:val="00FE665D"/>
    <w:rsid w:val="00FF7290"/>
    <w:rsid w:val="02451A07"/>
    <w:rsid w:val="0427209D"/>
    <w:rsid w:val="050106C1"/>
    <w:rsid w:val="05AD2549"/>
    <w:rsid w:val="05F76E69"/>
    <w:rsid w:val="062D67A0"/>
    <w:rsid w:val="074D2DE6"/>
    <w:rsid w:val="077944B9"/>
    <w:rsid w:val="07D26564"/>
    <w:rsid w:val="086B4CF0"/>
    <w:rsid w:val="091B561A"/>
    <w:rsid w:val="091F25D3"/>
    <w:rsid w:val="0B1A0445"/>
    <w:rsid w:val="0B430B19"/>
    <w:rsid w:val="0B9F544B"/>
    <w:rsid w:val="0C2F7901"/>
    <w:rsid w:val="0C7610E6"/>
    <w:rsid w:val="0C9D5CF8"/>
    <w:rsid w:val="0CF55087"/>
    <w:rsid w:val="0D2A0A12"/>
    <w:rsid w:val="0E9E5667"/>
    <w:rsid w:val="0ED23A36"/>
    <w:rsid w:val="0EFF6D5A"/>
    <w:rsid w:val="101B100A"/>
    <w:rsid w:val="1054373A"/>
    <w:rsid w:val="105B2A37"/>
    <w:rsid w:val="10D568C5"/>
    <w:rsid w:val="112C747C"/>
    <w:rsid w:val="124E1A0F"/>
    <w:rsid w:val="13FB532F"/>
    <w:rsid w:val="14B14E6E"/>
    <w:rsid w:val="15990A8F"/>
    <w:rsid w:val="16550ACC"/>
    <w:rsid w:val="17DF3FB2"/>
    <w:rsid w:val="18A672B9"/>
    <w:rsid w:val="191A5240"/>
    <w:rsid w:val="1A555B21"/>
    <w:rsid w:val="1A8C3D52"/>
    <w:rsid w:val="1AC225FE"/>
    <w:rsid w:val="1B1F3622"/>
    <w:rsid w:val="1C493DF5"/>
    <w:rsid w:val="1D6D3B67"/>
    <w:rsid w:val="1D704ABA"/>
    <w:rsid w:val="1E1853F6"/>
    <w:rsid w:val="1E526D48"/>
    <w:rsid w:val="1E5D7FDF"/>
    <w:rsid w:val="1E6C4547"/>
    <w:rsid w:val="1ED85EBE"/>
    <w:rsid w:val="1F7A0BCE"/>
    <w:rsid w:val="1FD127BC"/>
    <w:rsid w:val="20320F12"/>
    <w:rsid w:val="20411E9D"/>
    <w:rsid w:val="20453136"/>
    <w:rsid w:val="209521B5"/>
    <w:rsid w:val="21F23227"/>
    <w:rsid w:val="220C24B5"/>
    <w:rsid w:val="22104270"/>
    <w:rsid w:val="222361FE"/>
    <w:rsid w:val="22E828AD"/>
    <w:rsid w:val="23166F92"/>
    <w:rsid w:val="24794CD6"/>
    <w:rsid w:val="24902A7E"/>
    <w:rsid w:val="24D01598"/>
    <w:rsid w:val="25040973"/>
    <w:rsid w:val="25802E60"/>
    <w:rsid w:val="25EF0E1E"/>
    <w:rsid w:val="25F61C49"/>
    <w:rsid w:val="26770BE0"/>
    <w:rsid w:val="2711520B"/>
    <w:rsid w:val="28217611"/>
    <w:rsid w:val="282A5354"/>
    <w:rsid w:val="28A553A8"/>
    <w:rsid w:val="29980EDD"/>
    <w:rsid w:val="29FE5C0E"/>
    <w:rsid w:val="2BA43903"/>
    <w:rsid w:val="2BBC751B"/>
    <w:rsid w:val="2BE13F07"/>
    <w:rsid w:val="2BEB2E31"/>
    <w:rsid w:val="2C807939"/>
    <w:rsid w:val="2CDA4183"/>
    <w:rsid w:val="2CED767E"/>
    <w:rsid w:val="2D47461D"/>
    <w:rsid w:val="2DAB3351"/>
    <w:rsid w:val="2DB15E54"/>
    <w:rsid w:val="2E540AD9"/>
    <w:rsid w:val="2EBB7AA3"/>
    <w:rsid w:val="2ED374E9"/>
    <w:rsid w:val="2FA15109"/>
    <w:rsid w:val="302A5E7B"/>
    <w:rsid w:val="316F4C6B"/>
    <w:rsid w:val="326346B2"/>
    <w:rsid w:val="34080DC5"/>
    <w:rsid w:val="346E35E7"/>
    <w:rsid w:val="350112F7"/>
    <w:rsid w:val="355F7591"/>
    <w:rsid w:val="35A0724D"/>
    <w:rsid w:val="360055A8"/>
    <w:rsid w:val="360572CD"/>
    <w:rsid w:val="36583351"/>
    <w:rsid w:val="372E7487"/>
    <w:rsid w:val="376515D8"/>
    <w:rsid w:val="37C64B05"/>
    <w:rsid w:val="38323188"/>
    <w:rsid w:val="38380F8A"/>
    <w:rsid w:val="38F40E53"/>
    <w:rsid w:val="39870AFD"/>
    <w:rsid w:val="39A151E5"/>
    <w:rsid w:val="3B192B30"/>
    <w:rsid w:val="3B234ED1"/>
    <w:rsid w:val="3B2A7277"/>
    <w:rsid w:val="3BF06528"/>
    <w:rsid w:val="3C6A343E"/>
    <w:rsid w:val="3CF10FE9"/>
    <w:rsid w:val="3E0A7248"/>
    <w:rsid w:val="3F093757"/>
    <w:rsid w:val="3F3328CF"/>
    <w:rsid w:val="3F4E6163"/>
    <w:rsid w:val="41783A26"/>
    <w:rsid w:val="4198547C"/>
    <w:rsid w:val="41B119D5"/>
    <w:rsid w:val="42551FB9"/>
    <w:rsid w:val="450D39E5"/>
    <w:rsid w:val="45323721"/>
    <w:rsid w:val="45430100"/>
    <w:rsid w:val="45666079"/>
    <w:rsid w:val="457A5571"/>
    <w:rsid w:val="458E564C"/>
    <w:rsid w:val="45DE2620"/>
    <w:rsid w:val="46116584"/>
    <w:rsid w:val="46851329"/>
    <w:rsid w:val="46AB53CD"/>
    <w:rsid w:val="47B54B2D"/>
    <w:rsid w:val="4A044459"/>
    <w:rsid w:val="4A351929"/>
    <w:rsid w:val="4A4E53E8"/>
    <w:rsid w:val="4A5A2CCD"/>
    <w:rsid w:val="4B217E3F"/>
    <w:rsid w:val="4B83683F"/>
    <w:rsid w:val="4C515A8E"/>
    <w:rsid w:val="4C596F16"/>
    <w:rsid w:val="4D5D4BEE"/>
    <w:rsid w:val="4E4C0479"/>
    <w:rsid w:val="4E4C1454"/>
    <w:rsid w:val="4E8D1212"/>
    <w:rsid w:val="4FD911ED"/>
    <w:rsid w:val="50202120"/>
    <w:rsid w:val="50A2034A"/>
    <w:rsid w:val="50BB7CF0"/>
    <w:rsid w:val="513062E4"/>
    <w:rsid w:val="51BE6EB9"/>
    <w:rsid w:val="52AF34A8"/>
    <w:rsid w:val="52B94E0E"/>
    <w:rsid w:val="53B62DB2"/>
    <w:rsid w:val="53D33234"/>
    <w:rsid w:val="541B22CE"/>
    <w:rsid w:val="55C179C5"/>
    <w:rsid w:val="56140955"/>
    <w:rsid w:val="59493025"/>
    <w:rsid w:val="598678FE"/>
    <w:rsid w:val="59C25381"/>
    <w:rsid w:val="5BC16E36"/>
    <w:rsid w:val="5BD03579"/>
    <w:rsid w:val="5BFC15BC"/>
    <w:rsid w:val="5BFE2BC0"/>
    <w:rsid w:val="5C4E6C62"/>
    <w:rsid w:val="5D525954"/>
    <w:rsid w:val="5DB5066A"/>
    <w:rsid w:val="5E7A3630"/>
    <w:rsid w:val="5F0A326D"/>
    <w:rsid w:val="5F4B3238"/>
    <w:rsid w:val="5F505C52"/>
    <w:rsid w:val="601E5C1A"/>
    <w:rsid w:val="610442F3"/>
    <w:rsid w:val="62526AA8"/>
    <w:rsid w:val="6272518A"/>
    <w:rsid w:val="629356DB"/>
    <w:rsid w:val="62961EDE"/>
    <w:rsid w:val="63762048"/>
    <w:rsid w:val="6477032F"/>
    <w:rsid w:val="64A50098"/>
    <w:rsid w:val="66973A58"/>
    <w:rsid w:val="67450884"/>
    <w:rsid w:val="67FA424D"/>
    <w:rsid w:val="68DE0390"/>
    <w:rsid w:val="69A65690"/>
    <w:rsid w:val="69DE01EF"/>
    <w:rsid w:val="6ADB5649"/>
    <w:rsid w:val="6B067B0C"/>
    <w:rsid w:val="6CC45847"/>
    <w:rsid w:val="6D2E1E93"/>
    <w:rsid w:val="6D8924BA"/>
    <w:rsid w:val="6E7219AD"/>
    <w:rsid w:val="6F4E4949"/>
    <w:rsid w:val="7074751D"/>
    <w:rsid w:val="70F67DBA"/>
    <w:rsid w:val="72303DA7"/>
    <w:rsid w:val="726E019B"/>
    <w:rsid w:val="727356B6"/>
    <w:rsid w:val="728836CB"/>
    <w:rsid w:val="72DB253C"/>
    <w:rsid w:val="734B608A"/>
    <w:rsid w:val="7387084D"/>
    <w:rsid w:val="73C54904"/>
    <w:rsid w:val="748B434C"/>
    <w:rsid w:val="753A64D8"/>
    <w:rsid w:val="76372AC0"/>
    <w:rsid w:val="76915B64"/>
    <w:rsid w:val="76D50617"/>
    <w:rsid w:val="77D77B85"/>
    <w:rsid w:val="784D0856"/>
    <w:rsid w:val="78F553CD"/>
    <w:rsid w:val="797F5963"/>
    <w:rsid w:val="79994CFF"/>
    <w:rsid w:val="79A73D31"/>
    <w:rsid w:val="79EC5AEC"/>
    <w:rsid w:val="7A3C068D"/>
    <w:rsid w:val="7BDC7B56"/>
    <w:rsid w:val="7BE71A21"/>
    <w:rsid w:val="7C3C1EC4"/>
    <w:rsid w:val="7CD02FEF"/>
    <w:rsid w:val="7D4F5C83"/>
    <w:rsid w:val="7D8A6B17"/>
    <w:rsid w:val="7DD05598"/>
    <w:rsid w:val="7DE92E52"/>
    <w:rsid w:val="7E0441EA"/>
    <w:rsid w:val="7E5A4809"/>
    <w:rsid w:val="7F1D448E"/>
    <w:rsid w:val="7F2B6CD9"/>
    <w:rsid w:val="7F827275"/>
    <w:rsid w:val="7F873E59"/>
    <w:rsid w:val="7F9612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99"/>
    <w:pPr>
      <w:jc w:val="left"/>
      <w:outlineLvl w:val="1"/>
    </w:pPr>
    <w:rPr>
      <w:rFonts w:ascii="宋体" w:hAnsi="宋体"/>
      <w:b/>
      <w:color w:val="666666"/>
      <w:kern w:val="0"/>
      <w:sz w:val="18"/>
      <w:szCs w:val="18"/>
    </w:rPr>
  </w:style>
  <w:style w:type="character" w:default="1" w:styleId="9">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qFormat/>
    <w:uiPriority w:val="99"/>
    <w:rPr>
      <w:b/>
      <w:bCs/>
    </w:rPr>
  </w:style>
  <w:style w:type="paragraph" w:styleId="4">
    <w:name w:val="annotation text"/>
    <w:basedOn w:val="1"/>
    <w:link w:val="26"/>
    <w:qFormat/>
    <w:uiPriority w:val="99"/>
    <w:pPr>
      <w:jc w:val="left"/>
    </w:pPr>
    <w:rPr>
      <w:sz w:val="24"/>
    </w:rPr>
  </w:style>
  <w:style w:type="paragraph" w:styleId="5">
    <w:name w:val="Balloon Text"/>
    <w:basedOn w:val="1"/>
    <w:link w:val="28"/>
    <w:qFormat/>
    <w:uiPriority w:val="99"/>
    <w:rPr>
      <w:sz w:val="18"/>
      <w:szCs w:val="18"/>
    </w:rPr>
  </w:style>
  <w:style w:type="paragraph" w:styleId="6">
    <w:name w:val="footer"/>
    <w:basedOn w:val="1"/>
    <w:link w:val="30"/>
    <w:qFormat/>
    <w:uiPriority w:val="99"/>
    <w:pPr>
      <w:tabs>
        <w:tab w:val="center" w:pos="4153"/>
        <w:tab w:val="right" w:pos="8306"/>
      </w:tabs>
      <w:snapToGrid w:val="0"/>
      <w:jc w:val="left"/>
    </w:pPr>
    <w:rPr>
      <w:sz w:val="18"/>
      <w:szCs w:val="18"/>
    </w:rPr>
  </w:style>
  <w:style w:type="paragraph" w:styleId="7">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jc w:val="left"/>
    </w:pPr>
    <w:rPr>
      <w:rFonts w:ascii="宋体" w:hAnsi="宋体"/>
      <w:color w:val="666666"/>
      <w:kern w:val="0"/>
      <w:sz w:val="18"/>
      <w:szCs w:val="18"/>
    </w:r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styleId="12">
    <w:name w:val="FollowedHyperlink"/>
    <w:basedOn w:val="9"/>
    <w:qFormat/>
    <w:uiPriority w:val="99"/>
    <w:rPr>
      <w:rFonts w:ascii="宋体" w:hAnsi="宋体" w:eastAsia="宋体" w:cs="宋体"/>
      <w:color w:val="666666"/>
      <w:sz w:val="18"/>
      <w:szCs w:val="18"/>
      <w:u w:val="none"/>
    </w:rPr>
  </w:style>
  <w:style w:type="character" w:styleId="13">
    <w:name w:val="Emphasis"/>
    <w:basedOn w:val="9"/>
    <w:qFormat/>
    <w:uiPriority w:val="99"/>
    <w:rPr>
      <w:rFonts w:cs="Times New Roman"/>
    </w:rPr>
  </w:style>
  <w:style w:type="character" w:styleId="14">
    <w:name w:val="Hyperlink"/>
    <w:basedOn w:val="9"/>
    <w:qFormat/>
    <w:uiPriority w:val="99"/>
    <w:rPr>
      <w:rFonts w:ascii="宋体" w:hAnsi="宋体" w:eastAsia="宋体" w:cs="宋体"/>
      <w:color w:val="666666"/>
      <w:sz w:val="18"/>
      <w:szCs w:val="18"/>
      <w:u w:val="none"/>
    </w:rPr>
  </w:style>
  <w:style w:type="character" w:styleId="15">
    <w:name w:val="annotation reference"/>
    <w:basedOn w:val="9"/>
    <w:qFormat/>
    <w:uiPriority w:val="99"/>
    <w:rPr>
      <w:rFonts w:cs="Times New Roman"/>
      <w:sz w:val="21"/>
      <w:szCs w:val="21"/>
    </w:rPr>
  </w:style>
  <w:style w:type="character" w:customStyle="1" w:styleId="17">
    <w:name w:val="标题 2 Char"/>
    <w:basedOn w:val="9"/>
    <w:link w:val="2"/>
    <w:semiHidden/>
    <w:qFormat/>
    <w:locked/>
    <w:uiPriority w:val="99"/>
    <w:rPr>
      <w:rFonts w:ascii="Cambria" w:hAnsi="Cambria" w:eastAsia="宋体" w:cs="Times New Roman"/>
      <w:b/>
      <w:bCs/>
      <w:sz w:val="32"/>
      <w:szCs w:val="32"/>
    </w:rPr>
  </w:style>
  <w:style w:type="character" w:customStyle="1" w:styleId="18">
    <w:name w:val="Comment Text Char"/>
    <w:qFormat/>
    <w:locked/>
    <w:uiPriority w:val="99"/>
    <w:rPr>
      <w:kern w:val="2"/>
      <w:sz w:val="24"/>
    </w:rPr>
  </w:style>
  <w:style w:type="character" w:customStyle="1" w:styleId="19">
    <w:name w:val="Comment Subject Char"/>
    <w:qFormat/>
    <w:locked/>
    <w:uiPriority w:val="99"/>
    <w:rPr>
      <w:b/>
      <w:kern w:val="2"/>
      <w:sz w:val="24"/>
    </w:rPr>
  </w:style>
  <w:style w:type="character" w:customStyle="1" w:styleId="20">
    <w:name w:val="gwds_nopic2"/>
    <w:basedOn w:val="9"/>
    <w:qFormat/>
    <w:uiPriority w:val="99"/>
    <w:rPr>
      <w:rFonts w:cs="Times New Roman"/>
    </w:rPr>
  </w:style>
  <w:style w:type="character" w:customStyle="1" w:styleId="21">
    <w:name w:val="Header Char"/>
    <w:qFormat/>
    <w:locked/>
    <w:uiPriority w:val="99"/>
    <w:rPr>
      <w:kern w:val="2"/>
      <w:sz w:val="18"/>
    </w:rPr>
  </w:style>
  <w:style w:type="character" w:customStyle="1" w:styleId="22">
    <w:name w:val="gwds_nopic1"/>
    <w:basedOn w:val="9"/>
    <w:qFormat/>
    <w:uiPriority w:val="99"/>
    <w:rPr>
      <w:rFonts w:cs="Times New Roman"/>
    </w:rPr>
  </w:style>
  <w:style w:type="character" w:customStyle="1" w:styleId="23">
    <w:name w:val="gwds_nopic"/>
    <w:basedOn w:val="9"/>
    <w:qFormat/>
    <w:uiPriority w:val="99"/>
    <w:rPr>
      <w:rFonts w:cs="Times New Roman"/>
    </w:rPr>
  </w:style>
  <w:style w:type="character" w:customStyle="1" w:styleId="24">
    <w:name w:val="Footer Char"/>
    <w:qFormat/>
    <w:locked/>
    <w:uiPriority w:val="99"/>
    <w:rPr>
      <w:kern w:val="2"/>
      <w:sz w:val="18"/>
    </w:rPr>
  </w:style>
  <w:style w:type="paragraph" w:customStyle="1" w:styleId="25">
    <w:name w:val="Char"/>
    <w:basedOn w:val="1"/>
    <w:qFormat/>
    <w:uiPriority w:val="99"/>
    <w:pPr>
      <w:widowControl/>
      <w:spacing w:after="160" w:line="240" w:lineRule="exact"/>
      <w:jc w:val="left"/>
    </w:pPr>
  </w:style>
  <w:style w:type="character" w:customStyle="1" w:styleId="26">
    <w:name w:val="批注文字 Char"/>
    <w:basedOn w:val="9"/>
    <w:link w:val="4"/>
    <w:semiHidden/>
    <w:qFormat/>
    <w:locked/>
    <w:uiPriority w:val="99"/>
    <w:rPr>
      <w:rFonts w:cs="Times New Roman"/>
      <w:sz w:val="24"/>
      <w:szCs w:val="24"/>
    </w:rPr>
  </w:style>
  <w:style w:type="character" w:customStyle="1" w:styleId="27">
    <w:name w:val="批注主题 Char"/>
    <w:basedOn w:val="18"/>
    <w:link w:val="3"/>
    <w:semiHidden/>
    <w:qFormat/>
    <w:locked/>
    <w:uiPriority w:val="99"/>
    <w:rPr>
      <w:rFonts w:cs="Times New Roman"/>
      <w:b/>
      <w:bCs/>
      <w:szCs w:val="24"/>
    </w:rPr>
  </w:style>
  <w:style w:type="character" w:customStyle="1" w:styleId="28">
    <w:name w:val="批注框文本 Char"/>
    <w:basedOn w:val="9"/>
    <w:link w:val="5"/>
    <w:semiHidden/>
    <w:qFormat/>
    <w:locked/>
    <w:uiPriority w:val="99"/>
    <w:rPr>
      <w:rFonts w:cs="Times New Roman"/>
      <w:sz w:val="2"/>
    </w:rPr>
  </w:style>
  <w:style w:type="character" w:customStyle="1" w:styleId="29">
    <w:name w:val="页眉 Char"/>
    <w:basedOn w:val="9"/>
    <w:link w:val="7"/>
    <w:semiHidden/>
    <w:qFormat/>
    <w:locked/>
    <w:uiPriority w:val="99"/>
    <w:rPr>
      <w:rFonts w:cs="Times New Roman"/>
      <w:sz w:val="18"/>
      <w:szCs w:val="18"/>
    </w:rPr>
  </w:style>
  <w:style w:type="character" w:customStyle="1" w:styleId="30">
    <w:name w:val="页脚 Char"/>
    <w:basedOn w:val="9"/>
    <w:link w:val="6"/>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501</Words>
  <Characters>2861</Characters>
  <Lines>23</Lines>
  <Paragraphs>6</Paragraphs>
  <TotalTime>8</TotalTime>
  <ScaleCrop>false</ScaleCrop>
  <LinksUpToDate>false</LinksUpToDate>
  <CharactersWithSpaces>3356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2019-02-14T07:32:00Z</dcterms:created>
  <dc:creator>陈晴</dc:creator>
  <cp:lastModifiedBy>李志雄</cp:lastModifiedBy>
  <cp:lastPrinted>2018-11-06T07:58:00Z</cp:lastPrinted>
  <dcterms:modified xsi:type="dcterms:W3CDTF">2019-03-18T02:50:08Z</dcterms:modified>
  <dc:title>《中山市流动人员积分制管理规定》和《中山市流动人员积分制管理实施细则》解读</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