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w:t>
      </w:r>
      <w:r>
        <w:rPr>
          <w:rFonts w:hint="eastAsia" w:ascii="宋体" w:hAnsi="宋体" w:eastAsia="宋体" w:cs="宋体"/>
          <w:b/>
          <w:bCs/>
          <w:sz w:val="44"/>
          <w:szCs w:val="44"/>
          <w:lang w:val="en-US" w:eastAsia="zh-CN"/>
        </w:rPr>
        <w:t>中山市</w:t>
      </w:r>
      <w:r>
        <w:rPr>
          <w:rFonts w:hint="eastAsia" w:ascii="宋体" w:hAnsi="宋体" w:eastAsia="宋体" w:cs="宋体"/>
          <w:b/>
          <w:bCs/>
          <w:sz w:val="44"/>
          <w:szCs w:val="44"/>
          <w:u w:val="none"/>
        </w:rPr>
        <w:t>古镇利和灯博中心</w:t>
      </w:r>
      <w:r>
        <w:rPr>
          <w:rFonts w:hint="eastAsia" w:ascii="宋体" w:hAnsi="宋体" w:eastAsia="宋体" w:cs="宋体"/>
          <w:b/>
          <w:bCs/>
          <w:sz w:val="44"/>
          <w:szCs w:val="44"/>
          <w:lang w:val="en-US" w:eastAsia="zh-CN"/>
        </w:rPr>
        <w:t>市场采购贸易监管暂行办法</w:t>
      </w:r>
      <w:r>
        <w:rPr>
          <w:rFonts w:hint="eastAsia" w:ascii="宋体" w:hAnsi="宋体" w:cs="宋体"/>
          <w:b/>
          <w:bCs/>
          <w:sz w:val="44"/>
          <w:szCs w:val="44"/>
          <w:lang w:val="en-US" w:eastAsia="zh-CN"/>
        </w:rPr>
        <w:t>》政策解读</w:t>
      </w:r>
    </w:p>
    <w:p>
      <w:pPr>
        <w:jc w:val="left"/>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局</w:t>
      </w:r>
      <w:r>
        <w:rPr>
          <w:rFonts w:hint="eastAsia" w:ascii="仿宋" w:hAnsi="仿宋" w:eastAsia="仿宋" w:cs="仿宋"/>
          <w:sz w:val="32"/>
          <w:szCs w:val="32"/>
        </w:rPr>
        <w:t>制定了规范性文件《中山市古镇利和灯博中心市场采购贸易监管暂行办法》</w:t>
      </w:r>
      <w:r>
        <w:rPr>
          <w:rFonts w:hint="eastAsia" w:ascii="仿宋" w:hAnsi="仿宋" w:eastAsia="仿宋" w:cs="仿宋"/>
          <w:sz w:val="32"/>
          <w:szCs w:val="32"/>
          <w:lang w:eastAsia="zh-CN"/>
        </w:rPr>
        <w:t>（以下简称《暂行办法》）</w:t>
      </w:r>
      <w:r>
        <w:rPr>
          <w:rFonts w:hint="eastAsia" w:ascii="仿宋" w:hAnsi="仿宋" w:eastAsia="仿宋" w:cs="仿宋"/>
          <w:sz w:val="32"/>
          <w:szCs w:val="32"/>
        </w:rPr>
        <w:t>，</w:t>
      </w:r>
      <w:r>
        <w:rPr>
          <w:rFonts w:hint="eastAsia" w:ascii="仿宋" w:hAnsi="仿宋" w:eastAsia="仿宋" w:cs="仿宋"/>
          <w:sz w:val="32"/>
          <w:szCs w:val="32"/>
          <w:lang w:eastAsia="zh-CN"/>
        </w:rPr>
        <w:t>随中山市古镇利和灯博中心市场采购试点开展之日</w:t>
      </w:r>
      <w:r>
        <w:rPr>
          <w:rFonts w:hint="eastAsia" w:ascii="仿宋" w:hAnsi="仿宋" w:eastAsia="仿宋" w:cs="仿宋"/>
          <w:sz w:val="32"/>
          <w:szCs w:val="32"/>
        </w:rPr>
        <w:t>起实施。根据《中山市行政机关规范性文件管理规定》（中府[2015]14号）的相关规定，现就文件解读如下：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一、文件的制定背景说明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场采购贸易方式试点是商务部等国家部门推动的重点改革事项，2011年起国家先后批准在义乌、广州花都等三批试点地区开展市场采购贸易方式试点，前三批先行试点地区都出台了相关政策。中山市利和灯博中心作为第四批市场采购贸易方式试点区，我局制定《暂行办法》的目的，是为完善支撑试点运行的配套规范性文件，促进市场采购试点区文明诚信经营，提高市场采购经营规范化水平，促进市场采购贸易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暂行办法》是在国家推行商贸试点工作的前提下，在现行法律规范下，以市商务局制定并即将出台的综合管理规范《中山市市场采购贸易综合管理办法》作为框架支撑，围绕工商行政管理部门的监管职责起草制定的，《暂行办法》的法律政策依据主要包括：《中华人民共和国产品质量法》、《中华人民共和国商标法》、《中华人民共和国反不正当竞争法》、《无证无照经营查处办法》、《企业信息公示暂行条例》、</w:t>
      </w:r>
      <w:r>
        <w:rPr>
          <w:rFonts w:hint="eastAsia" w:ascii="仿宋" w:hAnsi="仿宋" w:eastAsia="仿宋" w:cs="仿宋"/>
          <w:b w:val="0"/>
          <w:bCs w:val="0"/>
          <w:color w:val="auto"/>
          <w:sz w:val="32"/>
          <w:szCs w:val="32"/>
          <w:lang w:val="en-US" w:eastAsia="zh-CN"/>
        </w:rPr>
        <w:t>《广东省商事登记条例</w:t>
      </w:r>
      <w:r>
        <w:rPr>
          <w:rFonts w:hint="eastAsia" w:ascii="仿宋" w:hAnsi="仿宋" w:eastAsia="仿宋" w:cs="仿宋"/>
          <w:b w:val="0"/>
          <w:bCs w:val="0"/>
          <w:sz w:val="32"/>
          <w:szCs w:val="32"/>
          <w:lang w:val="en-US" w:eastAsia="zh-CN"/>
        </w:rPr>
        <w:t>》、《广东省商品交易市场管理条例》等法律、法规、规章，并参考了《广州市市场采购贸易方式试点政策汇编》。</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二、主要条文解读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第一条是制定本办法的目的和依据。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第二条是本办法确定的市场采购贸易监管的原则与工作机制。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条是本办法适用的监管对象范围。根据市商务局制定的《中山市市场采购贸易综合管理办法》以及相关政策规定，参与市场采购贸易方式的经营主体，包括了供货商（古镇试点区内登记注册的商事主体）、采购商（境外采购者）、贸易经营（外贸经营者），按照属地监管原则以及工商行政管理职责分工，本办法主要规定了以试点区属地登记的供货商等经营主体为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第四条对应市商务局制定的《中山市市场采购贸易综合管理办法》所确定的信息平台管理模式，进行相应的平台注册与应用规定。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第五条至第九条规定了监管对象在经营过程中应当遵守的义务，主要包括了现行商事登记、产品质量、商标专用权保护、公平交易等相关领域法律、法规、规章所规定的法定义务。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第十条至第十二条规定了工商行政管理部门的监管职责。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第十三条至第十五条规定了对监管对象的信用信息采集、公示以及奖惩等应用。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第十六条规定部门联动的综合管理机制。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第十七条规定了违反规定的法律责任追究。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p>
    <w:p>
      <w:pPr>
        <w:jc w:val="left"/>
        <w:rPr>
          <w:rFonts w:hint="eastAsia" w:ascii="仿宋" w:hAnsi="仿宋" w:eastAsia="仿宋" w:cs="仿宋"/>
          <w:b w:val="0"/>
          <w:bCs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大标宋简">
    <w:altName w:val="Arial Unicode MS"/>
    <w:panose1 w:val="02010609010101010101"/>
    <w:charset w:val="00"/>
    <w:family w:val="auto"/>
    <w:pitch w:val="default"/>
    <w:sig w:usb0="00000000" w:usb1="00000000" w:usb2="00000000" w:usb3="00000000" w:csb0="00000000" w:csb1="00000000"/>
  </w:font>
  <w:font w:name="文鼎小标宋简">
    <w:altName w:val="Arial Unicode MS"/>
    <w:panose1 w:val="02010609010101010101"/>
    <w:charset w:val="00"/>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Light">
    <w:altName w:val="黑体"/>
    <w:panose1 w:val="020B0502040204020203"/>
    <w:charset w:val="86"/>
    <w:family w:val="auto"/>
    <w:pitch w:val="default"/>
    <w:sig w:usb0="00000000" w:usb1="00000000" w:usb2="00000016" w:usb3="00000000" w:csb0="0004001F" w:csb1="00000000"/>
  </w:font>
  <w:font w:name="Calibri">
    <w:panose1 w:val="020F0502020204030204"/>
    <w:charset w:val="86"/>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11DBE"/>
    <w:rsid w:val="20E56251"/>
    <w:rsid w:val="3F252525"/>
    <w:rsid w:val="6EB66EA2"/>
    <w:rsid w:val="78F11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2018-10-15T04:04:00Z</dcterms:created>
  <dc:creator>陈俭滔</dc:creator>
  <cp:lastModifiedBy>陈俭滔</cp:lastModifiedBy>
  <dcterms:modified xsi:type="dcterms:W3CDTF">2018-10-23T13:33:31Z</dcterms:modified>
  <dc:title>《中山市古镇利和灯博中心市场采购贸易监管暂行办法》（试行）政策解读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